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B12B3" w14:textId="3462A693"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479D219B" w14:textId="721F06BB"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2B522274" w14:textId="090092FC"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76139507" w14:textId="77777777"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2F2187C7" w14:textId="77777777"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19CBA524" w14:textId="5F893E22" w:rsidR="006B66B7" w:rsidRPr="008C49B7" w:rsidRDefault="002349C6" w:rsidP="00F73301">
      <w:pPr>
        <w:snapToGrid w:val="0"/>
        <w:spacing w:beforeLines="50" w:before="156" w:afterLines="50" w:after="156"/>
        <w:jc w:val="center"/>
        <w:rPr>
          <w:rFonts w:ascii="Times New Roman" w:eastAsia="宋体" w:hAnsi="Times New Roman" w:cs="Times New Roman"/>
          <w:b/>
          <w:bCs/>
          <w:sz w:val="32"/>
          <w:szCs w:val="32"/>
        </w:rPr>
      </w:pPr>
      <w:r w:rsidRPr="008C49B7">
        <w:rPr>
          <w:rFonts w:ascii="Times New Roman" w:eastAsia="宋体" w:hAnsi="Times New Roman" w:cs="Times New Roman"/>
          <w:b/>
          <w:bCs/>
          <w:sz w:val="32"/>
          <w:szCs w:val="32"/>
        </w:rPr>
        <w:t xml:space="preserve">Yangzhou </w:t>
      </w:r>
      <w:proofErr w:type="spellStart"/>
      <w:r w:rsidRPr="008C49B7">
        <w:rPr>
          <w:rFonts w:ascii="Times New Roman" w:eastAsia="宋体" w:hAnsi="Times New Roman" w:cs="Times New Roman"/>
          <w:b/>
          <w:bCs/>
          <w:sz w:val="32"/>
          <w:szCs w:val="32"/>
        </w:rPr>
        <w:t>Yangjie</w:t>
      </w:r>
      <w:proofErr w:type="spellEnd"/>
      <w:r w:rsidRPr="008C49B7">
        <w:rPr>
          <w:rFonts w:ascii="Times New Roman" w:eastAsia="宋体" w:hAnsi="Times New Roman" w:cs="Times New Roman"/>
          <w:b/>
          <w:bCs/>
          <w:sz w:val="32"/>
          <w:szCs w:val="32"/>
        </w:rPr>
        <w:t xml:space="preserve"> Electronic Technology Co., Ltd.</w:t>
      </w:r>
    </w:p>
    <w:p w14:paraId="348B14F2" w14:textId="68491252" w:rsidR="006B66B7" w:rsidRDefault="002349C6" w:rsidP="00F73301">
      <w:pPr>
        <w:snapToGrid w:val="0"/>
        <w:spacing w:beforeLines="50" w:before="156" w:afterLines="50" w:after="156"/>
        <w:jc w:val="center"/>
        <w:rPr>
          <w:rFonts w:ascii="Times New Roman" w:eastAsia="宋体" w:hAnsi="Times New Roman" w:cs="Times New Roman"/>
          <w:b/>
          <w:bCs/>
          <w:sz w:val="32"/>
          <w:szCs w:val="32"/>
        </w:rPr>
      </w:pPr>
      <w:r w:rsidRPr="008C49B7">
        <w:rPr>
          <w:rFonts w:ascii="Times New Roman" w:eastAsia="宋体" w:hAnsi="Times New Roman" w:cs="Times New Roman"/>
          <w:b/>
          <w:bCs/>
          <w:sz w:val="32"/>
          <w:szCs w:val="32"/>
        </w:rPr>
        <w:t>2023 Semi-annual Report</w:t>
      </w:r>
    </w:p>
    <w:p w14:paraId="5650B977" w14:textId="71E7F6B9"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6AF11802" w14:textId="3E32E7DB"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41F5A263" w14:textId="0763840A"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6571732A" w14:textId="4CA29693" w:rsidR="00E01218" w:rsidRPr="00A77FCE" w:rsidRDefault="00E01218" w:rsidP="00E01218">
      <w:pPr>
        <w:spacing w:before="1000" w:line="240" w:lineRule="exact"/>
        <w:jc w:val="center"/>
        <w:rPr>
          <w:rFonts w:ascii="Times New Roman" w:eastAsia="宋体" w:hAnsi="Times New Roman" w:cs="Times New Roman"/>
          <w:b/>
          <w:bCs/>
          <w:szCs w:val="21"/>
        </w:rPr>
      </w:pPr>
      <w:r w:rsidRPr="00A77FCE">
        <w:rPr>
          <w:rFonts w:ascii="Times New Roman" w:eastAsia="宋体" w:hAnsi="Times New Roman" w:cs="Times New Roman"/>
          <w:b/>
          <w:bCs/>
          <w:szCs w:val="21"/>
        </w:rPr>
        <w:t>202</w:t>
      </w:r>
      <w:r w:rsidR="000E1650">
        <w:rPr>
          <w:rFonts w:ascii="Times New Roman" w:eastAsia="宋体" w:hAnsi="Times New Roman" w:cs="Times New Roman"/>
          <w:b/>
          <w:bCs/>
          <w:szCs w:val="21"/>
        </w:rPr>
        <w:t>3</w:t>
      </w:r>
      <w:r w:rsidRPr="00A77FCE">
        <w:rPr>
          <w:rFonts w:ascii="Times New Roman" w:eastAsia="宋体" w:hAnsi="Times New Roman" w:cs="Times New Roman"/>
          <w:b/>
          <w:bCs/>
          <w:szCs w:val="21"/>
        </w:rPr>
        <w:t>-075</w:t>
      </w:r>
    </w:p>
    <w:p w14:paraId="0FCD1F78" w14:textId="4B3CFC09" w:rsidR="008C49B7" w:rsidRPr="00E01218"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7D9DBD02" w14:textId="2768EA77"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7EF7B111" w14:textId="7F50D135"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5A76DE28" w14:textId="1D3580C5" w:rsidR="008C49B7" w:rsidRDefault="008C49B7" w:rsidP="00F73301">
      <w:pPr>
        <w:snapToGrid w:val="0"/>
        <w:spacing w:beforeLines="50" w:before="156" w:afterLines="50" w:after="156"/>
        <w:jc w:val="center"/>
        <w:rPr>
          <w:rFonts w:ascii="Times New Roman" w:eastAsia="宋体" w:hAnsi="Times New Roman" w:cs="Times New Roman"/>
          <w:b/>
          <w:bCs/>
          <w:sz w:val="32"/>
          <w:szCs w:val="32"/>
        </w:rPr>
      </w:pPr>
    </w:p>
    <w:p w14:paraId="1DCDC2C0" w14:textId="77777777" w:rsidR="006B66B7" w:rsidRPr="008C49B7" w:rsidRDefault="006B66B7" w:rsidP="00F73301">
      <w:pPr>
        <w:snapToGrid w:val="0"/>
        <w:spacing w:beforeLines="50" w:before="156" w:afterLines="50" w:after="156"/>
        <w:jc w:val="center"/>
        <w:rPr>
          <w:rFonts w:ascii="Times New Roman" w:eastAsia="宋体" w:hAnsi="Times New Roman" w:cs="Times New Roman"/>
          <w:sz w:val="32"/>
          <w:szCs w:val="32"/>
        </w:rPr>
      </w:pPr>
    </w:p>
    <w:p w14:paraId="79B4FA31" w14:textId="1477531B" w:rsidR="006B66B7" w:rsidRPr="008C49B7" w:rsidRDefault="002349C6" w:rsidP="00F73301">
      <w:pPr>
        <w:snapToGrid w:val="0"/>
        <w:spacing w:beforeLines="50" w:before="156" w:afterLines="50" w:after="156"/>
        <w:jc w:val="center"/>
        <w:rPr>
          <w:rFonts w:ascii="Times New Roman" w:eastAsia="宋体" w:hAnsi="Times New Roman" w:cs="Times New Roman"/>
          <w:b/>
          <w:bCs/>
          <w:sz w:val="32"/>
          <w:szCs w:val="32"/>
        </w:rPr>
      </w:pPr>
      <w:r w:rsidRPr="008C49B7">
        <w:rPr>
          <w:rFonts w:ascii="Times New Roman" w:eastAsia="宋体" w:hAnsi="Times New Roman" w:cs="Times New Roman"/>
          <w:b/>
          <w:bCs/>
          <w:sz w:val="32"/>
          <w:szCs w:val="32"/>
        </w:rPr>
        <w:t>[</w:t>
      </w:r>
      <w:r w:rsidR="00E01218">
        <w:rPr>
          <w:rFonts w:ascii="Times New Roman" w:eastAsia="宋体" w:hAnsi="Times New Roman" w:cs="Times New Roman" w:hint="eastAsia"/>
          <w:b/>
          <w:bCs/>
          <w:sz w:val="32"/>
          <w:szCs w:val="32"/>
        </w:rPr>
        <w:t>August</w:t>
      </w:r>
      <w:r w:rsidR="00E01218">
        <w:rPr>
          <w:rFonts w:ascii="Times New Roman" w:eastAsia="宋体" w:hAnsi="Times New Roman" w:cs="Times New Roman"/>
          <w:b/>
          <w:bCs/>
          <w:sz w:val="32"/>
          <w:szCs w:val="32"/>
        </w:rPr>
        <w:t xml:space="preserve"> 2023</w:t>
      </w:r>
      <w:r w:rsidRPr="008C49B7">
        <w:rPr>
          <w:rFonts w:ascii="Times New Roman" w:eastAsia="宋体" w:hAnsi="Times New Roman" w:cs="Times New Roman"/>
          <w:b/>
          <w:bCs/>
          <w:sz w:val="32"/>
          <w:szCs w:val="32"/>
        </w:rPr>
        <w:t>]</w:t>
      </w:r>
    </w:p>
    <w:p w14:paraId="2EEF1DB7" w14:textId="77777777" w:rsidR="006B66B7" w:rsidRPr="00F73301" w:rsidRDefault="002349C6" w:rsidP="00F73301">
      <w:pPr>
        <w:snapToGrid w:val="0"/>
        <w:spacing w:beforeLines="50" w:before="156" w:afterLines="50" w:after="156"/>
        <w:rPr>
          <w:rFonts w:ascii="Times New Roman" w:hAnsi="Times New Roman" w:cs="Times New Roman"/>
          <w:sz w:val="24"/>
          <w:szCs w:val="24"/>
        </w:rPr>
      </w:pPr>
      <w:r w:rsidRPr="00F73301">
        <w:rPr>
          <w:rFonts w:ascii="Times New Roman" w:hAnsi="Times New Roman" w:cs="Times New Roman"/>
          <w:sz w:val="24"/>
          <w:szCs w:val="24"/>
        </w:rPr>
        <w:br w:type="page"/>
      </w:r>
    </w:p>
    <w:p w14:paraId="2653CF52" w14:textId="77777777" w:rsidR="006B66B7" w:rsidRPr="00F73301" w:rsidRDefault="002349C6" w:rsidP="008C49B7">
      <w:pPr>
        <w:pStyle w:val="headingh1"/>
      </w:pPr>
      <w:bookmarkStart w:id="0" w:name="_Toc988889"/>
      <w:r w:rsidRPr="00F73301">
        <w:lastRenderedPageBreak/>
        <w:t>Section I Important Notice, Table of Contents and Definitions</w:t>
      </w:r>
      <w:bookmarkEnd w:id="0"/>
    </w:p>
    <w:p w14:paraId="78454E75"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b/>
          <w:bCs/>
          <w:sz w:val="24"/>
          <w:szCs w:val="24"/>
        </w:rPr>
      </w:pPr>
      <w:r w:rsidRPr="00F73301">
        <w:rPr>
          <w:rFonts w:ascii="Times New Roman" w:eastAsia="宋体" w:hAnsi="Times New Roman" w:cs="Times New Roman"/>
          <w:b/>
          <w:bCs/>
          <w:sz w:val="24"/>
          <w:szCs w:val="24"/>
        </w:rPr>
        <w:t>The Board of Directors, the Board of Supervisors and the directors, supervisors and senior management of the Company warrant the truthfulness, accuracy and completeness of the contents of the semi-annual report (hereinafter referred to as this "Report"), guarantee that there are no false records, misleading statements or material omissions contained in this Report, and assume individual and joint and several legal liability arising therefrom.</w:t>
      </w:r>
    </w:p>
    <w:p w14:paraId="15DFDE42"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b/>
          <w:bCs/>
          <w:sz w:val="24"/>
          <w:szCs w:val="24"/>
        </w:rPr>
      </w:pPr>
      <w:r w:rsidRPr="00F73301">
        <w:rPr>
          <w:rFonts w:ascii="Times New Roman" w:eastAsia="宋体" w:hAnsi="Times New Roman" w:cs="Times New Roman"/>
          <w:b/>
          <w:bCs/>
          <w:sz w:val="24"/>
          <w:szCs w:val="24"/>
        </w:rPr>
        <w:t>Liang Qin, the person in charge of the Company, Dai Juan, the person in charge of accounting of the Company, and She Jing, the person in charge of the Company's accounting department (Accounting Officer), declare that they warrant the truthfulness, accuracy and completeness of the financial statements in this Report.</w:t>
      </w:r>
    </w:p>
    <w:p w14:paraId="485E5847"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b/>
          <w:bCs/>
          <w:sz w:val="24"/>
          <w:szCs w:val="24"/>
        </w:rPr>
      </w:pPr>
      <w:r w:rsidRPr="00F73301">
        <w:rPr>
          <w:rFonts w:ascii="Times New Roman" w:eastAsia="宋体" w:hAnsi="Times New Roman" w:cs="Times New Roman"/>
          <w:b/>
          <w:bCs/>
          <w:sz w:val="24"/>
          <w:szCs w:val="24"/>
        </w:rPr>
        <w:t>All directors were present in person at the Board of Directors meeting to consider and approve this Report.</w:t>
      </w:r>
    </w:p>
    <w:p w14:paraId="3B0D3F03" w14:textId="77777777" w:rsidR="00134899" w:rsidRPr="00A51E09" w:rsidRDefault="00134899" w:rsidP="008C49B7">
      <w:pPr>
        <w:pStyle w:val="a3"/>
        <w:adjustRightInd w:val="0"/>
        <w:snapToGrid w:val="0"/>
        <w:spacing w:beforeLines="50" w:before="156" w:beforeAutospacing="0" w:afterLines="50" w:after="156" w:afterAutospacing="0"/>
        <w:jc w:val="both"/>
        <w:rPr>
          <w:rFonts w:ascii="Times New Roman" w:hAnsi="Times New Roman" w:cs="Times New Roman"/>
          <w:b/>
          <w:bCs/>
        </w:rPr>
      </w:pPr>
      <w:r w:rsidRPr="00A51E09">
        <w:rPr>
          <w:rFonts w:ascii="Times New Roman" w:hAnsi="Times New Roman" w:cs="Times New Roman"/>
          <w:b/>
          <w:bCs/>
        </w:rPr>
        <w:t>1. Risk in market competition</w:t>
      </w:r>
    </w:p>
    <w:p w14:paraId="06371EB3" w14:textId="77777777" w:rsidR="00134899" w:rsidRPr="00A51E09" w:rsidRDefault="00134899" w:rsidP="008C49B7">
      <w:pPr>
        <w:pStyle w:val="a3"/>
        <w:adjustRightInd w:val="0"/>
        <w:snapToGrid w:val="0"/>
        <w:spacing w:beforeLines="50" w:before="156" w:beforeAutospacing="0" w:afterLines="50" w:after="156" w:afterAutospacing="0"/>
        <w:jc w:val="both"/>
        <w:rPr>
          <w:rFonts w:ascii="Times New Roman" w:hAnsi="Times New Roman" w:cs="Times New Roman"/>
          <w:b/>
          <w:bCs/>
        </w:rPr>
      </w:pPr>
      <w:r w:rsidRPr="00A51E09">
        <w:rPr>
          <w:rFonts w:ascii="Times New Roman" w:hAnsi="Times New Roman" w:cs="Times New Roman"/>
          <w:b/>
          <w:bCs/>
        </w:rPr>
        <w:t>The semiconductor industry is characterized by a high degree of market-oriented development, fierce market competition, and an apparent industry cycle. The Company is targeting middle- and high-end markets and import substitution in terms of product positioning to directly engage in the strong competition against international brands. In the future, if the Company fails to adapt to market changes in terms of new product R&amp;D, lean management capabilities, market positioning, and the building of marketing networks, it will face an increased risk in market competition, which may affect its share in middle- and high-end markets and leading position in several market segments.</w:t>
      </w:r>
    </w:p>
    <w:p w14:paraId="0BA16CE2" w14:textId="77777777" w:rsidR="00134899" w:rsidRPr="00A51E09" w:rsidRDefault="00134899" w:rsidP="008C49B7">
      <w:pPr>
        <w:pStyle w:val="a3"/>
        <w:adjustRightInd w:val="0"/>
        <w:snapToGrid w:val="0"/>
        <w:spacing w:beforeLines="50" w:before="156" w:beforeAutospacing="0" w:afterLines="50" w:after="156" w:afterAutospacing="0"/>
        <w:jc w:val="both"/>
        <w:rPr>
          <w:rFonts w:ascii="Times New Roman" w:hAnsi="Times New Roman" w:cs="Times New Roman"/>
          <w:b/>
          <w:bCs/>
        </w:rPr>
      </w:pPr>
      <w:r w:rsidRPr="00A51E09">
        <w:rPr>
          <w:rFonts w:ascii="Times New Roman" w:hAnsi="Times New Roman" w:cs="Times New Roman"/>
          <w:b/>
          <w:bCs/>
        </w:rPr>
        <w:t>2. Technological risk</w:t>
      </w:r>
    </w:p>
    <w:p w14:paraId="4ADAC1E3" w14:textId="77777777" w:rsidR="00134899" w:rsidRPr="00A51E09" w:rsidRDefault="00134899" w:rsidP="008C49B7">
      <w:pPr>
        <w:pStyle w:val="a3"/>
        <w:adjustRightInd w:val="0"/>
        <w:snapToGrid w:val="0"/>
        <w:spacing w:beforeLines="50" w:before="156" w:beforeAutospacing="0" w:afterLines="50" w:after="156" w:afterAutospacing="0"/>
        <w:jc w:val="both"/>
        <w:rPr>
          <w:rFonts w:ascii="Times New Roman" w:hAnsi="Times New Roman" w:cs="Times New Roman"/>
          <w:b/>
          <w:bCs/>
        </w:rPr>
      </w:pPr>
      <w:r w:rsidRPr="00A51E09">
        <w:rPr>
          <w:rFonts w:ascii="Times New Roman" w:hAnsi="Times New Roman" w:cs="Times New Roman"/>
          <w:b/>
          <w:bCs/>
        </w:rPr>
        <w:t>The industry where the Company is demonstrates rapid development with a high speed of iteration and updating in the fields of technology, products and downstream applications. In terms of the pace and speed of investment in technological fields such as large-sized high-end wafers and advanced packaging, the Company is facing a risk to the realization of the design technology of high-end products and the opportunities for their applications to be chosen by downstream customers. Moreover, in terms of the pace and speed of investment in fields related to the third generation semiconductors, such as technological cooperation, talent introduction, R&amp;D platform construction and the planning of wafer production lines, the Company is at risk from the rapid emergence of silica-based alternatives to its products in the field of downstream applications. If the Company fails to make timely and accurate judgments on the development trend of the industry, fails to catch up the industry's technological development in terms of product R&amp;D and technological innovation, or deviates from the correct technological route or market direction, its profitability and market competitiveness may be influenced, so as to threaten its current leading position in the industry.</w:t>
      </w:r>
    </w:p>
    <w:p w14:paraId="454D0C9D" w14:textId="77777777" w:rsidR="00134899" w:rsidRPr="00A51E09" w:rsidRDefault="00134899" w:rsidP="008C49B7">
      <w:pPr>
        <w:pStyle w:val="a3"/>
        <w:adjustRightInd w:val="0"/>
        <w:snapToGrid w:val="0"/>
        <w:spacing w:beforeLines="50" w:before="156" w:beforeAutospacing="0" w:afterLines="50" w:after="156" w:afterAutospacing="0"/>
        <w:jc w:val="both"/>
        <w:rPr>
          <w:rFonts w:ascii="Times New Roman" w:hAnsi="Times New Roman" w:cs="Times New Roman"/>
          <w:b/>
          <w:bCs/>
        </w:rPr>
      </w:pPr>
      <w:r w:rsidRPr="00A51E09">
        <w:rPr>
          <w:rFonts w:ascii="Times New Roman" w:hAnsi="Times New Roman" w:cs="Times New Roman"/>
          <w:b/>
          <w:bCs/>
        </w:rPr>
        <w:t>3. Management risk</w:t>
      </w:r>
    </w:p>
    <w:p w14:paraId="37E9B322" w14:textId="32075E0A" w:rsidR="00134899" w:rsidRPr="00A51E09" w:rsidRDefault="00134899" w:rsidP="008C49B7">
      <w:pPr>
        <w:pStyle w:val="a3"/>
        <w:adjustRightInd w:val="0"/>
        <w:snapToGrid w:val="0"/>
        <w:spacing w:beforeLines="50" w:before="156" w:beforeAutospacing="0" w:afterLines="50" w:after="156" w:afterAutospacing="0"/>
        <w:jc w:val="both"/>
        <w:rPr>
          <w:rFonts w:ascii="Times New Roman" w:hAnsi="Times New Roman" w:cs="Times New Roman"/>
          <w:b/>
          <w:bCs/>
        </w:rPr>
      </w:pPr>
      <w:r w:rsidRPr="00A51E09">
        <w:rPr>
          <w:rFonts w:ascii="Times New Roman" w:hAnsi="Times New Roman" w:cs="Times New Roman"/>
          <w:b/>
          <w:bCs/>
        </w:rPr>
        <w:t>In recent years, the Company has continuously expanded its business scale &amp; scope and staff size with the rapid expansion of the departments related to its business department system, R&amp;D system, extended investment system and decision-making support system, which has imposed higher requirements for the leadership and the ability to maneuver business risks of the Company's management a</w:t>
      </w:r>
      <w:r w:rsidR="004547D5" w:rsidRPr="00A51E09">
        <w:rPr>
          <w:rFonts w:ascii="Times New Roman" w:hAnsi="Times New Roman" w:cs="Times New Roman"/>
          <w:b/>
          <w:bCs/>
        </w:rPr>
        <w:t>n</w:t>
      </w:r>
      <w:r w:rsidRPr="00A51E09">
        <w:rPr>
          <w:rFonts w:ascii="Times New Roman" w:hAnsi="Times New Roman" w:cs="Times New Roman"/>
          <w:b/>
          <w:bCs/>
        </w:rPr>
        <w:t>d the quality and the ability</w:t>
      </w:r>
      <w:r w:rsidR="002B6206" w:rsidRPr="00A51E09">
        <w:rPr>
          <w:rFonts w:ascii="Times New Roman" w:hAnsi="Times New Roman" w:cs="Times New Roman"/>
          <w:b/>
          <w:bCs/>
        </w:rPr>
        <w:t xml:space="preserve"> of the Company's managers</w:t>
      </w:r>
      <w:r w:rsidRPr="00A51E09">
        <w:rPr>
          <w:rFonts w:ascii="Times New Roman" w:hAnsi="Times New Roman" w:cs="Times New Roman"/>
          <w:b/>
          <w:bCs/>
        </w:rPr>
        <w:t xml:space="preserve"> to adapt to rapid changes. Although the Company has continued to strengthen the construction of its internal management system and improve the system-based development of its organizational capabilities, the Company's operation and development will still be affected if </w:t>
      </w:r>
      <w:r w:rsidRPr="00A51E09">
        <w:rPr>
          <w:rFonts w:ascii="Times New Roman" w:hAnsi="Times New Roman" w:cs="Times New Roman"/>
          <w:b/>
          <w:bCs/>
        </w:rPr>
        <w:lastRenderedPageBreak/>
        <w:t>the Company's organizational capabilities, management mode and talent development fail to adapt to the changes in the Company's internal and external environments in the future.</w:t>
      </w:r>
    </w:p>
    <w:p w14:paraId="1B89FFDD" w14:textId="77777777" w:rsidR="00134899" w:rsidRPr="00A51E09" w:rsidRDefault="00134899" w:rsidP="008C49B7">
      <w:pPr>
        <w:pStyle w:val="a3"/>
        <w:adjustRightInd w:val="0"/>
        <w:snapToGrid w:val="0"/>
        <w:spacing w:beforeLines="50" w:before="156" w:beforeAutospacing="0" w:afterLines="50" w:after="156" w:afterAutospacing="0"/>
        <w:jc w:val="both"/>
        <w:rPr>
          <w:rFonts w:ascii="Times New Roman" w:hAnsi="Times New Roman" w:cs="Times New Roman"/>
          <w:b/>
          <w:bCs/>
        </w:rPr>
      </w:pPr>
      <w:r w:rsidRPr="00A51E09">
        <w:rPr>
          <w:rFonts w:ascii="Times New Roman" w:hAnsi="Times New Roman" w:cs="Times New Roman"/>
          <w:b/>
          <w:bCs/>
        </w:rPr>
        <w:t>4. M&amp;A risk</w:t>
      </w:r>
    </w:p>
    <w:p w14:paraId="00934484" w14:textId="182972F7" w:rsidR="00134899" w:rsidRPr="00F73301" w:rsidRDefault="00134899" w:rsidP="008C49B7">
      <w:pPr>
        <w:adjustRightInd w:val="0"/>
        <w:snapToGrid w:val="0"/>
        <w:spacing w:beforeLines="50" w:before="156" w:afterLines="50" w:after="156"/>
        <w:jc w:val="both"/>
        <w:rPr>
          <w:rFonts w:ascii="Times New Roman" w:eastAsia="宋体" w:hAnsi="Times New Roman" w:cs="Times New Roman"/>
          <w:b/>
          <w:bCs/>
          <w:sz w:val="24"/>
          <w:szCs w:val="24"/>
        </w:rPr>
      </w:pPr>
      <w:r w:rsidRPr="00A51E09">
        <w:rPr>
          <w:rFonts w:ascii="Times New Roman" w:hAnsi="Times New Roman" w:cs="Times New Roman"/>
          <w:b/>
          <w:bCs/>
          <w:sz w:val="24"/>
          <w:szCs w:val="24"/>
        </w:rPr>
        <w:t>The Company attaches great importance to a development strategy that values both endogenous growth and extended development and actively improves its industry chain and enriches its product family through M&amp;A. However, the Company takes risks in the integration with the targets of M&amp;A in terms of corporate culture, management teams, technological R&amp;D and customer resource management. If they fail to achieve effective integration, the Company's investment may not result in the expected effect, thereby influencing the Company's business performance.</w:t>
      </w:r>
    </w:p>
    <w:p w14:paraId="2CFB2884"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b/>
          <w:bCs/>
          <w:sz w:val="24"/>
          <w:szCs w:val="24"/>
        </w:rPr>
      </w:pPr>
      <w:r w:rsidRPr="00F73301">
        <w:rPr>
          <w:rFonts w:ascii="Times New Roman" w:eastAsia="宋体" w:hAnsi="Times New Roman" w:cs="Times New Roman"/>
          <w:b/>
          <w:bCs/>
          <w:sz w:val="24"/>
          <w:szCs w:val="24"/>
        </w:rPr>
        <w:t>The Company does not propose distribution of cash dividends or bonus shares, and there will be no increase of share capital from reserves.</w:t>
      </w:r>
    </w:p>
    <w:p w14:paraId="3A4E139D" w14:textId="77777777" w:rsidR="006B66B7" w:rsidRPr="00F73301" w:rsidRDefault="002349C6" w:rsidP="008C49B7">
      <w:pPr>
        <w:adjustRightInd w:val="0"/>
        <w:snapToGrid w:val="0"/>
        <w:spacing w:beforeLines="50" w:before="156" w:afterLines="50" w:after="156"/>
        <w:jc w:val="both"/>
        <w:rPr>
          <w:rFonts w:ascii="Times New Roman" w:hAnsi="Times New Roman" w:cs="Times New Roman"/>
          <w:sz w:val="24"/>
          <w:szCs w:val="24"/>
        </w:rPr>
      </w:pPr>
      <w:r w:rsidRPr="00F73301">
        <w:rPr>
          <w:rFonts w:ascii="Times New Roman" w:hAnsi="Times New Roman" w:cs="Times New Roman"/>
          <w:sz w:val="24"/>
          <w:szCs w:val="24"/>
        </w:rPr>
        <w:br w:type="page"/>
      </w:r>
    </w:p>
    <w:p w14:paraId="605348B2" w14:textId="76847299" w:rsidR="006B66B7" w:rsidRDefault="002349C6" w:rsidP="008C49B7">
      <w:pPr>
        <w:adjustRightInd w:val="0"/>
        <w:snapToGrid w:val="0"/>
        <w:spacing w:beforeLines="50" w:before="156" w:afterLines="50" w:after="156"/>
        <w:jc w:val="center"/>
        <w:rPr>
          <w:rFonts w:ascii="Times New Roman" w:eastAsia="宋体" w:hAnsi="Times New Roman" w:cs="Times New Roman"/>
          <w:b/>
          <w:bCs/>
          <w:sz w:val="24"/>
          <w:szCs w:val="24"/>
        </w:rPr>
      </w:pPr>
      <w:r w:rsidRPr="00F73301">
        <w:rPr>
          <w:rFonts w:ascii="Times New Roman" w:eastAsia="宋体" w:hAnsi="Times New Roman" w:cs="Times New Roman"/>
          <w:b/>
          <w:bCs/>
          <w:sz w:val="24"/>
          <w:szCs w:val="24"/>
        </w:rPr>
        <w:lastRenderedPageBreak/>
        <w:t>CONTENTS</w:t>
      </w:r>
    </w:p>
    <w:p w14:paraId="522D4427" w14:textId="77777777" w:rsidR="00026C0F" w:rsidRPr="00F73301" w:rsidRDefault="00026C0F" w:rsidP="008C49B7">
      <w:pPr>
        <w:adjustRightInd w:val="0"/>
        <w:snapToGrid w:val="0"/>
        <w:spacing w:beforeLines="50" w:before="156" w:afterLines="50" w:after="156"/>
        <w:jc w:val="center"/>
        <w:rPr>
          <w:rFonts w:ascii="Times New Roman" w:eastAsia="宋体" w:hAnsi="Times New Roman" w:cs="Times New Roman"/>
          <w:b/>
          <w:bCs/>
          <w:sz w:val="24"/>
          <w:szCs w:val="24"/>
        </w:rPr>
      </w:pPr>
      <w:bookmarkStart w:id="1" w:name="_GoBack"/>
      <w:bookmarkEnd w:id="1"/>
    </w:p>
    <w:p w14:paraId="7618CC9F" w14:textId="4E01A004" w:rsidR="006B66B7" w:rsidRPr="008C49B7" w:rsidRDefault="002349C6"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r w:rsidRPr="008C49B7">
        <w:rPr>
          <w:rFonts w:ascii="Times New Roman" w:hAnsi="Times New Roman" w:cs="Times New Roman"/>
          <w:b/>
          <w:bCs/>
          <w:sz w:val="24"/>
          <w:szCs w:val="24"/>
        </w:rPr>
        <w:fldChar w:fldCharType="begin"/>
      </w:r>
      <w:r w:rsidRPr="008C49B7">
        <w:rPr>
          <w:rFonts w:ascii="Times New Roman" w:hAnsi="Times New Roman" w:cs="Times New Roman"/>
          <w:b/>
          <w:bCs/>
          <w:sz w:val="24"/>
          <w:szCs w:val="24"/>
        </w:rPr>
        <w:instrText xml:space="preserve"> </w:instrText>
      </w:r>
      <w:r w:rsidRPr="008C49B7">
        <w:rPr>
          <w:rFonts w:ascii="Times New Roman" w:eastAsia="宋体" w:hAnsi="Times New Roman" w:cs="Times New Roman"/>
          <w:b/>
          <w:bCs/>
          <w:sz w:val="24"/>
          <w:szCs w:val="24"/>
        </w:rPr>
        <w:instrText>TOC \o "1-2" \h \z \u</w:instrText>
      </w:r>
      <w:r w:rsidRPr="008C49B7">
        <w:rPr>
          <w:rFonts w:ascii="Times New Roman" w:hAnsi="Times New Roman" w:cs="Times New Roman"/>
          <w:b/>
          <w:bCs/>
          <w:sz w:val="24"/>
          <w:szCs w:val="24"/>
        </w:rPr>
        <w:instrText xml:space="preserve"> </w:instrText>
      </w:r>
      <w:r w:rsidRPr="008C49B7">
        <w:rPr>
          <w:rFonts w:ascii="Times New Roman" w:hAnsi="Times New Roman" w:cs="Times New Roman"/>
          <w:b/>
          <w:bCs/>
          <w:sz w:val="24"/>
          <w:szCs w:val="24"/>
        </w:rPr>
        <w:fldChar w:fldCharType="separate"/>
      </w:r>
      <w:hyperlink w:anchor="_Toc988889" w:history="1">
        <w:r w:rsidRPr="008C49B7">
          <w:rPr>
            <w:rFonts w:ascii="Times New Roman" w:eastAsia="宋体" w:hAnsi="Times New Roman" w:cs="Times New Roman"/>
            <w:b/>
            <w:bCs/>
            <w:noProof/>
            <w:sz w:val="24"/>
            <w:szCs w:val="24"/>
          </w:rPr>
          <w:t>Section I Important Notice, Table of Contents and Definitions</w:t>
        </w:r>
        <w:r w:rsidRPr="008C49B7">
          <w:rPr>
            <w:rFonts w:ascii="Times New Roman" w:hAnsi="Times New Roman" w:cs="Times New Roman"/>
            <w:b/>
            <w:bCs/>
            <w:noProof/>
            <w:webHidden/>
            <w:sz w:val="24"/>
            <w:szCs w:val="24"/>
          </w:rPr>
          <w:tab/>
        </w:r>
        <w:r w:rsidRPr="008C49B7">
          <w:rPr>
            <w:rFonts w:ascii="Times New Roman" w:hAnsi="Times New Roman" w:cs="Times New Roman"/>
            <w:b/>
            <w:bCs/>
            <w:noProof/>
            <w:webHidden/>
            <w:sz w:val="24"/>
            <w:szCs w:val="24"/>
          </w:rPr>
          <w:fldChar w:fldCharType="begin"/>
        </w:r>
        <w:r w:rsidRPr="008C49B7">
          <w:rPr>
            <w:rFonts w:ascii="Times New Roman" w:hAnsi="Times New Roman" w:cs="Times New Roman"/>
            <w:b/>
            <w:bCs/>
            <w:noProof/>
            <w:webHidden/>
            <w:sz w:val="24"/>
            <w:szCs w:val="24"/>
          </w:rPr>
          <w:instrText xml:space="preserve"> PAGEREF _Toc988889 \h </w:instrText>
        </w:r>
        <w:r w:rsidRPr="008C49B7">
          <w:rPr>
            <w:rFonts w:ascii="Times New Roman" w:hAnsi="Times New Roman" w:cs="Times New Roman"/>
            <w:b/>
            <w:bCs/>
            <w:noProof/>
            <w:webHidden/>
            <w:sz w:val="24"/>
            <w:szCs w:val="24"/>
          </w:rPr>
        </w:r>
        <w:r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2</w:t>
        </w:r>
        <w:r w:rsidRPr="008C49B7">
          <w:rPr>
            <w:rFonts w:ascii="Times New Roman" w:hAnsi="Times New Roman" w:cs="Times New Roman"/>
            <w:b/>
            <w:bCs/>
            <w:noProof/>
            <w:webHidden/>
            <w:sz w:val="24"/>
            <w:szCs w:val="24"/>
          </w:rPr>
          <w:fldChar w:fldCharType="end"/>
        </w:r>
      </w:hyperlink>
    </w:p>
    <w:p w14:paraId="306EE88C" w14:textId="55944F68" w:rsidR="006B66B7" w:rsidRPr="008C49B7" w:rsidRDefault="00EB45EB"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hyperlink w:anchor="_Toc988890" w:history="1">
        <w:r w:rsidR="002349C6" w:rsidRPr="008C49B7">
          <w:rPr>
            <w:rFonts w:ascii="Times New Roman" w:eastAsia="宋体" w:hAnsi="Times New Roman" w:cs="Times New Roman"/>
            <w:b/>
            <w:bCs/>
            <w:noProof/>
            <w:sz w:val="24"/>
            <w:szCs w:val="24"/>
          </w:rPr>
          <w:t>Section II Company Profile and Principal Financial Indicators</w:t>
        </w:r>
        <w:r w:rsidR="002349C6" w:rsidRPr="008C49B7">
          <w:rPr>
            <w:rFonts w:ascii="Times New Roman" w:hAnsi="Times New Roman" w:cs="Times New Roman"/>
            <w:b/>
            <w:bCs/>
            <w:noProof/>
            <w:webHidden/>
            <w:sz w:val="24"/>
            <w:szCs w:val="24"/>
          </w:rPr>
          <w:tab/>
        </w:r>
        <w:r w:rsidR="002349C6" w:rsidRPr="008C49B7">
          <w:rPr>
            <w:rFonts w:ascii="Times New Roman" w:hAnsi="Times New Roman" w:cs="Times New Roman"/>
            <w:b/>
            <w:bCs/>
            <w:noProof/>
            <w:webHidden/>
            <w:sz w:val="24"/>
            <w:szCs w:val="24"/>
          </w:rPr>
          <w:fldChar w:fldCharType="begin"/>
        </w:r>
        <w:r w:rsidR="002349C6" w:rsidRPr="008C49B7">
          <w:rPr>
            <w:rFonts w:ascii="Times New Roman" w:hAnsi="Times New Roman" w:cs="Times New Roman"/>
            <w:b/>
            <w:bCs/>
            <w:noProof/>
            <w:webHidden/>
            <w:sz w:val="24"/>
            <w:szCs w:val="24"/>
          </w:rPr>
          <w:instrText xml:space="preserve"> PAGEREF _Toc988890 \h </w:instrText>
        </w:r>
        <w:r w:rsidR="002349C6" w:rsidRPr="008C49B7">
          <w:rPr>
            <w:rFonts w:ascii="Times New Roman" w:hAnsi="Times New Roman" w:cs="Times New Roman"/>
            <w:b/>
            <w:bCs/>
            <w:noProof/>
            <w:webHidden/>
            <w:sz w:val="24"/>
            <w:szCs w:val="24"/>
          </w:rPr>
        </w:r>
        <w:r w:rsidR="002349C6"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8</w:t>
        </w:r>
        <w:r w:rsidR="002349C6" w:rsidRPr="008C49B7">
          <w:rPr>
            <w:rFonts w:ascii="Times New Roman" w:hAnsi="Times New Roman" w:cs="Times New Roman"/>
            <w:b/>
            <w:bCs/>
            <w:noProof/>
            <w:webHidden/>
            <w:sz w:val="24"/>
            <w:szCs w:val="24"/>
          </w:rPr>
          <w:fldChar w:fldCharType="end"/>
        </w:r>
      </w:hyperlink>
    </w:p>
    <w:p w14:paraId="29DC1535" w14:textId="36C0EDDE" w:rsidR="006B66B7" w:rsidRPr="008C49B7" w:rsidRDefault="00EB45EB"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hyperlink w:anchor="_Toc988902" w:history="1">
        <w:r w:rsidR="002349C6" w:rsidRPr="008C49B7">
          <w:rPr>
            <w:rFonts w:ascii="Times New Roman" w:eastAsia="宋体" w:hAnsi="Times New Roman" w:cs="Times New Roman"/>
            <w:b/>
            <w:bCs/>
            <w:noProof/>
            <w:sz w:val="24"/>
            <w:szCs w:val="24"/>
          </w:rPr>
          <w:t>Part III Management Discussion and Analysis</w:t>
        </w:r>
        <w:r w:rsidR="002349C6" w:rsidRPr="008C49B7">
          <w:rPr>
            <w:rFonts w:ascii="Times New Roman" w:hAnsi="Times New Roman" w:cs="Times New Roman"/>
            <w:b/>
            <w:bCs/>
            <w:noProof/>
            <w:webHidden/>
            <w:sz w:val="24"/>
            <w:szCs w:val="24"/>
          </w:rPr>
          <w:tab/>
        </w:r>
        <w:r w:rsidR="002349C6" w:rsidRPr="008C49B7">
          <w:rPr>
            <w:rFonts w:ascii="Times New Roman" w:hAnsi="Times New Roman" w:cs="Times New Roman"/>
            <w:b/>
            <w:bCs/>
            <w:noProof/>
            <w:webHidden/>
            <w:sz w:val="24"/>
            <w:szCs w:val="24"/>
          </w:rPr>
          <w:fldChar w:fldCharType="begin"/>
        </w:r>
        <w:r w:rsidR="002349C6" w:rsidRPr="008C49B7">
          <w:rPr>
            <w:rFonts w:ascii="Times New Roman" w:hAnsi="Times New Roman" w:cs="Times New Roman"/>
            <w:b/>
            <w:bCs/>
            <w:noProof/>
            <w:webHidden/>
            <w:sz w:val="24"/>
            <w:szCs w:val="24"/>
          </w:rPr>
          <w:instrText xml:space="preserve"> PAGEREF _Toc988902 \h </w:instrText>
        </w:r>
        <w:r w:rsidR="002349C6" w:rsidRPr="008C49B7">
          <w:rPr>
            <w:rFonts w:ascii="Times New Roman" w:hAnsi="Times New Roman" w:cs="Times New Roman"/>
            <w:b/>
            <w:bCs/>
            <w:noProof/>
            <w:webHidden/>
            <w:sz w:val="24"/>
            <w:szCs w:val="24"/>
          </w:rPr>
        </w:r>
        <w:r w:rsidR="002349C6"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11</w:t>
        </w:r>
        <w:r w:rsidR="002349C6" w:rsidRPr="008C49B7">
          <w:rPr>
            <w:rFonts w:ascii="Times New Roman" w:hAnsi="Times New Roman" w:cs="Times New Roman"/>
            <w:b/>
            <w:bCs/>
            <w:noProof/>
            <w:webHidden/>
            <w:sz w:val="24"/>
            <w:szCs w:val="24"/>
          </w:rPr>
          <w:fldChar w:fldCharType="end"/>
        </w:r>
      </w:hyperlink>
    </w:p>
    <w:p w14:paraId="7B265DA1" w14:textId="23A71DC0" w:rsidR="006B66B7" w:rsidRPr="008C49B7" w:rsidRDefault="00EB45EB"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hyperlink w:anchor="_Toc988932" w:history="1">
        <w:r w:rsidR="002349C6" w:rsidRPr="008C49B7">
          <w:rPr>
            <w:rFonts w:ascii="Times New Roman" w:eastAsia="宋体" w:hAnsi="Times New Roman" w:cs="Times New Roman"/>
            <w:b/>
            <w:bCs/>
            <w:noProof/>
            <w:sz w:val="24"/>
            <w:szCs w:val="24"/>
          </w:rPr>
          <w:t>Section IV Corporate Governance</w:t>
        </w:r>
        <w:r w:rsidR="002349C6" w:rsidRPr="008C49B7">
          <w:rPr>
            <w:rFonts w:ascii="Times New Roman" w:hAnsi="Times New Roman" w:cs="Times New Roman"/>
            <w:b/>
            <w:bCs/>
            <w:noProof/>
            <w:webHidden/>
            <w:sz w:val="24"/>
            <w:szCs w:val="24"/>
          </w:rPr>
          <w:tab/>
        </w:r>
        <w:r w:rsidR="002349C6" w:rsidRPr="008C49B7">
          <w:rPr>
            <w:rFonts w:ascii="Times New Roman" w:hAnsi="Times New Roman" w:cs="Times New Roman"/>
            <w:b/>
            <w:bCs/>
            <w:noProof/>
            <w:webHidden/>
            <w:sz w:val="24"/>
            <w:szCs w:val="24"/>
          </w:rPr>
          <w:fldChar w:fldCharType="begin"/>
        </w:r>
        <w:r w:rsidR="002349C6" w:rsidRPr="008C49B7">
          <w:rPr>
            <w:rFonts w:ascii="Times New Roman" w:hAnsi="Times New Roman" w:cs="Times New Roman"/>
            <w:b/>
            <w:bCs/>
            <w:noProof/>
            <w:webHidden/>
            <w:sz w:val="24"/>
            <w:szCs w:val="24"/>
          </w:rPr>
          <w:instrText xml:space="preserve"> PAGEREF _Toc988932 \h </w:instrText>
        </w:r>
        <w:r w:rsidR="002349C6" w:rsidRPr="008C49B7">
          <w:rPr>
            <w:rFonts w:ascii="Times New Roman" w:hAnsi="Times New Roman" w:cs="Times New Roman"/>
            <w:b/>
            <w:bCs/>
            <w:noProof/>
            <w:webHidden/>
            <w:sz w:val="24"/>
            <w:szCs w:val="24"/>
          </w:rPr>
        </w:r>
        <w:r w:rsidR="002349C6"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32</w:t>
        </w:r>
        <w:r w:rsidR="002349C6" w:rsidRPr="008C49B7">
          <w:rPr>
            <w:rFonts w:ascii="Times New Roman" w:hAnsi="Times New Roman" w:cs="Times New Roman"/>
            <w:b/>
            <w:bCs/>
            <w:noProof/>
            <w:webHidden/>
            <w:sz w:val="24"/>
            <w:szCs w:val="24"/>
          </w:rPr>
          <w:fldChar w:fldCharType="end"/>
        </w:r>
      </w:hyperlink>
    </w:p>
    <w:p w14:paraId="09E2DF5B" w14:textId="50B1230B" w:rsidR="006B66B7" w:rsidRPr="008C49B7" w:rsidRDefault="00EB45EB"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hyperlink w:anchor="_Toc988939" w:history="1">
        <w:r w:rsidR="002349C6" w:rsidRPr="008C49B7">
          <w:rPr>
            <w:rFonts w:ascii="Times New Roman" w:eastAsia="宋体" w:hAnsi="Times New Roman" w:cs="Times New Roman"/>
            <w:b/>
            <w:bCs/>
            <w:noProof/>
            <w:sz w:val="24"/>
            <w:szCs w:val="24"/>
          </w:rPr>
          <w:t>Section V Environmental and Social Responsibility</w:t>
        </w:r>
        <w:r w:rsidR="002349C6" w:rsidRPr="008C49B7">
          <w:rPr>
            <w:rFonts w:ascii="Times New Roman" w:hAnsi="Times New Roman" w:cs="Times New Roman"/>
            <w:b/>
            <w:bCs/>
            <w:noProof/>
            <w:webHidden/>
            <w:sz w:val="24"/>
            <w:szCs w:val="24"/>
          </w:rPr>
          <w:tab/>
        </w:r>
        <w:r w:rsidR="002349C6" w:rsidRPr="008C49B7">
          <w:rPr>
            <w:rFonts w:ascii="Times New Roman" w:hAnsi="Times New Roman" w:cs="Times New Roman"/>
            <w:b/>
            <w:bCs/>
            <w:noProof/>
            <w:webHidden/>
            <w:sz w:val="24"/>
            <w:szCs w:val="24"/>
          </w:rPr>
          <w:fldChar w:fldCharType="begin"/>
        </w:r>
        <w:r w:rsidR="002349C6" w:rsidRPr="008C49B7">
          <w:rPr>
            <w:rFonts w:ascii="Times New Roman" w:hAnsi="Times New Roman" w:cs="Times New Roman"/>
            <w:b/>
            <w:bCs/>
            <w:noProof/>
            <w:webHidden/>
            <w:sz w:val="24"/>
            <w:szCs w:val="24"/>
          </w:rPr>
          <w:instrText xml:space="preserve"> PAGEREF _Toc988939 \h </w:instrText>
        </w:r>
        <w:r w:rsidR="002349C6" w:rsidRPr="008C49B7">
          <w:rPr>
            <w:rFonts w:ascii="Times New Roman" w:hAnsi="Times New Roman" w:cs="Times New Roman"/>
            <w:b/>
            <w:bCs/>
            <w:noProof/>
            <w:webHidden/>
            <w:sz w:val="24"/>
            <w:szCs w:val="24"/>
          </w:rPr>
        </w:r>
        <w:r w:rsidR="002349C6"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34</w:t>
        </w:r>
        <w:r w:rsidR="002349C6" w:rsidRPr="008C49B7">
          <w:rPr>
            <w:rFonts w:ascii="Times New Roman" w:hAnsi="Times New Roman" w:cs="Times New Roman"/>
            <w:b/>
            <w:bCs/>
            <w:noProof/>
            <w:webHidden/>
            <w:sz w:val="24"/>
            <w:szCs w:val="24"/>
          </w:rPr>
          <w:fldChar w:fldCharType="end"/>
        </w:r>
      </w:hyperlink>
    </w:p>
    <w:p w14:paraId="5F9F4EE5" w14:textId="54A0CAF8" w:rsidR="006B66B7" w:rsidRPr="008C49B7" w:rsidRDefault="00EB45EB"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hyperlink w:anchor="_Toc988942" w:history="1">
        <w:r w:rsidR="002349C6" w:rsidRPr="008C49B7">
          <w:rPr>
            <w:rFonts w:ascii="Times New Roman" w:eastAsia="宋体" w:hAnsi="Times New Roman" w:cs="Times New Roman"/>
            <w:b/>
            <w:bCs/>
            <w:noProof/>
            <w:sz w:val="24"/>
            <w:szCs w:val="24"/>
          </w:rPr>
          <w:t>Section VI Significant Events</w:t>
        </w:r>
        <w:r w:rsidR="002349C6" w:rsidRPr="008C49B7">
          <w:rPr>
            <w:rFonts w:ascii="Times New Roman" w:hAnsi="Times New Roman" w:cs="Times New Roman"/>
            <w:b/>
            <w:bCs/>
            <w:noProof/>
            <w:webHidden/>
            <w:sz w:val="24"/>
            <w:szCs w:val="24"/>
          </w:rPr>
          <w:tab/>
        </w:r>
        <w:r w:rsidR="002349C6" w:rsidRPr="008C49B7">
          <w:rPr>
            <w:rFonts w:ascii="Times New Roman" w:hAnsi="Times New Roman" w:cs="Times New Roman"/>
            <w:b/>
            <w:bCs/>
            <w:noProof/>
            <w:webHidden/>
            <w:sz w:val="24"/>
            <w:szCs w:val="24"/>
          </w:rPr>
          <w:fldChar w:fldCharType="begin"/>
        </w:r>
        <w:r w:rsidR="002349C6" w:rsidRPr="008C49B7">
          <w:rPr>
            <w:rFonts w:ascii="Times New Roman" w:hAnsi="Times New Roman" w:cs="Times New Roman"/>
            <w:b/>
            <w:bCs/>
            <w:noProof/>
            <w:webHidden/>
            <w:sz w:val="24"/>
            <w:szCs w:val="24"/>
          </w:rPr>
          <w:instrText xml:space="preserve"> PAGEREF _Toc988942 \h </w:instrText>
        </w:r>
        <w:r w:rsidR="002349C6" w:rsidRPr="008C49B7">
          <w:rPr>
            <w:rFonts w:ascii="Times New Roman" w:hAnsi="Times New Roman" w:cs="Times New Roman"/>
            <w:b/>
            <w:bCs/>
            <w:noProof/>
            <w:webHidden/>
            <w:sz w:val="24"/>
            <w:szCs w:val="24"/>
          </w:rPr>
        </w:r>
        <w:r w:rsidR="002349C6"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38</w:t>
        </w:r>
        <w:r w:rsidR="002349C6" w:rsidRPr="008C49B7">
          <w:rPr>
            <w:rFonts w:ascii="Times New Roman" w:hAnsi="Times New Roman" w:cs="Times New Roman"/>
            <w:b/>
            <w:bCs/>
            <w:noProof/>
            <w:webHidden/>
            <w:sz w:val="24"/>
            <w:szCs w:val="24"/>
          </w:rPr>
          <w:fldChar w:fldCharType="end"/>
        </w:r>
      </w:hyperlink>
    </w:p>
    <w:p w14:paraId="7DA280CD" w14:textId="332175E0" w:rsidR="006B66B7" w:rsidRPr="008C49B7" w:rsidRDefault="00EB45EB"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hyperlink w:anchor="_Toc988971" w:history="1">
        <w:r w:rsidR="002349C6" w:rsidRPr="008C49B7">
          <w:rPr>
            <w:rFonts w:ascii="Times New Roman" w:eastAsia="宋体" w:hAnsi="Times New Roman" w:cs="Times New Roman"/>
            <w:b/>
            <w:bCs/>
            <w:noProof/>
            <w:sz w:val="24"/>
            <w:szCs w:val="24"/>
          </w:rPr>
          <w:t>Section VII Share Changes and Shareholder Status</w:t>
        </w:r>
        <w:r w:rsidR="002349C6" w:rsidRPr="008C49B7">
          <w:rPr>
            <w:rFonts w:ascii="Times New Roman" w:hAnsi="Times New Roman" w:cs="Times New Roman"/>
            <w:b/>
            <w:bCs/>
            <w:noProof/>
            <w:webHidden/>
            <w:sz w:val="24"/>
            <w:szCs w:val="24"/>
          </w:rPr>
          <w:tab/>
        </w:r>
        <w:r w:rsidR="002349C6" w:rsidRPr="008C49B7">
          <w:rPr>
            <w:rFonts w:ascii="Times New Roman" w:hAnsi="Times New Roman" w:cs="Times New Roman"/>
            <w:b/>
            <w:bCs/>
            <w:noProof/>
            <w:webHidden/>
            <w:sz w:val="24"/>
            <w:szCs w:val="24"/>
          </w:rPr>
          <w:fldChar w:fldCharType="begin"/>
        </w:r>
        <w:r w:rsidR="002349C6" w:rsidRPr="008C49B7">
          <w:rPr>
            <w:rFonts w:ascii="Times New Roman" w:hAnsi="Times New Roman" w:cs="Times New Roman"/>
            <w:b/>
            <w:bCs/>
            <w:noProof/>
            <w:webHidden/>
            <w:sz w:val="24"/>
            <w:szCs w:val="24"/>
          </w:rPr>
          <w:instrText xml:space="preserve"> PAGEREF _Toc988971 \h </w:instrText>
        </w:r>
        <w:r w:rsidR="002349C6" w:rsidRPr="008C49B7">
          <w:rPr>
            <w:rFonts w:ascii="Times New Roman" w:hAnsi="Times New Roman" w:cs="Times New Roman"/>
            <w:b/>
            <w:bCs/>
            <w:noProof/>
            <w:webHidden/>
            <w:sz w:val="24"/>
            <w:szCs w:val="24"/>
          </w:rPr>
        </w:r>
        <w:r w:rsidR="002349C6"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43</w:t>
        </w:r>
        <w:r w:rsidR="002349C6" w:rsidRPr="008C49B7">
          <w:rPr>
            <w:rFonts w:ascii="Times New Roman" w:hAnsi="Times New Roman" w:cs="Times New Roman"/>
            <w:b/>
            <w:bCs/>
            <w:noProof/>
            <w:webHidden/>
            <w:sz w:val="24"/>
            <w:szCs w:val="24"/>
          </w:rPr>
          <w:fldChar w:fldCharType="end"/>
        </w:r>
      </w:hyperlink>
    </w:p>
    <w:p w14:paraId="5E3441F7" w14:textId="6059DCBA" w:rsidR="006B66B7" w:rsidRPr="008C49B7" w:rsidRDefault="00EB45EB"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hyperlink w:anchor="_Toc988980" w:history="1">
        <w:r w:rsidR="002349C6" w:rsidRPr="008C49B7">
          <w:rPr>
            <w:rFonts w:ascii="Times New Roman" w:eastAsia="宋体" w:hAnsi="Times New Roman" w:cs="Times New Roman"/>
            <w:b/>
            <w:bCs/>
            <w:noProof/>
            <w:sz w:val="24"/>
            <w:szCs w:val="24"/>
          </w:rPr>
          <w:t>Section VIII Relevant Information about Preferred Shares</w:t>
        </w:r>
        <w:r w:rsidR="002349C6" w:rsidRPr="008C49B7">
          <w:rPr>
            <w:rFonts w:ascii="Times New Roman" w:hAnsi="Times New Roman" w:cs="Times New Roman"/>
            <w:b/>
            <w:bCs/>
            <w:noProof/>
            <w:webHidden/>
            <w:sz w:val="24"/>
            <w:szCs w:val="24"/>
          </w:rPr>
          <w:tab/>
        </w:r>
        <w:r w:rsidR="002349C6" w:rsidRPr="008C49B7">
          <w:rPr>
            <w:rFonts w:ascii="Times New Roman" w:hAnsi="Times New Roman" w:cs="Times New Roman"/>
            <w:b/>
            <w:bCs/>
            <w:noProof/>
            <w:webHidden/>
            <w:sz w:val="24"/>
            <w:szCs w:val="24"/>
          </w:rPr>
          <w:fldChar w:fldCharType="begin"/>
        </w:r>
        <w:r w:rsidR="002349C6" w:rsidRPr="008C49B7">
          <w:rPr>
            <w:rFonts w:ascii="Times New Roman" w:hAnsi="Times New Roman" w:cs="Times New Roman"/>
            <w:b/>
            <w:bCs/>
            <w:noProof/>
            <w:webHidden/>
            <w:sz w:val="24"/>
            <w:szCs w:val="24"/>
          </w:rPr>
          <w:instrText xml:space="preserve"> PAGEREF _Toc988980 \h </w:instrText>
        </w:r>
        <w:r w:rsidR="002349C6" w:rsidRPr="008C49B7">
          <w:rPr>
            <w:rFonts w:ascii="Times New Roman" w:hAnsi="Times New Roman" w:cs="Times New Roman"/>
            <w:b/>
            <w:bCs/>
            <w:noProof/>
            <w:webHidden/>
            <w:sz w:val="24"/>
            <w:szCs w:val="24"/>
          </w:rPr>
        </w:r>
        <w:r w:rsidR="002349C6"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49</w:t>
        </w:r>
        <w:r w:rsidR="002349C6" w:rsidRPr="008C49B7">
          <w:rPr>
            <w:rFonts w:ascii="Times New Roman" w:hAnsi="Times New Roman" w:cs="Times New Roman"/>
            <w:b/>
            <w:bCs/>
            <w:noProof/>
            <w:webHidden/>
            <w:sz w:val="24"/>
            <w:szCs w:val="24"/>
          </w:rPr>
          <w:fldChar w:fldCharType="end"/>
        </w:r>
      </w:hyperlink>
    </w:p>
    <w:p w14:paraId="15D38690" w14:textId="476D4904" w:rsidR="006B66B7" w:rsidRPr="008C49B7" w:rsidRDefault="00EB45EB"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hyperlink w:anchor="_Toc988981" w:history="1">
        <w:r w:rsidR="002349C6" w:rsidRPr="008C49B7">
          <w:rPr>
            <w:rFonts w:ascii="Times New Roman" w:eastAsia="宋体" w:hAnsi="Times New Roman" w:cs="Times New Roman"/>
            <w:b/>
            <w:bCs/>
            <w:noProof/>
            <w:sz w:val="24"/>
            <w:szCs w:val="24"/>
          </w:rPr>
          <w:t>Section IX Relevant Information about Bonds</w:t>
        </w:r>
        <w:r w:rsidR="002349C6" w:rsidRPr="008C49B7">
          <w:rPr>
            <w:rFonts w:ascii="Times New Roman" w:hAnsi="Times New Roman" w:cs="Times New Roman"/>
            <w:b/>
            <w:bCs/>
            <w:noProof/>
            <w:webHidden/>
            <w:sz w:val="24"/>
            <w:szCs w:val="24"/>
          </w:rPr>
          <w:tab/>
        </w:r>
        <w:r w:rsidR="002349C6" w:rsidRPr="008C49B7">
          <w:rPr>
            <w:rFonts w:ascii="Times New Roman" w:hAnsi="Times New Roman" w:cs="Times New Roman"/>
            <w:b/>
            <w:bCs/>
            <w:noProof/>
            <w:webHidden/>
            <w:sz w:val="24"/>
            <w:szCs w:val="24"/>
          </w:rPr>
          <w:fldChar w:fldCharType="begin"/>
        </w:r>
        <w:r w:rsidR="002349C6" w:rsidRPr="008C49B7">
          <w:rPr>
            <w:rFonts w:ascii="Times New Roman" w:hAnsi="Times New Roman" w:cs="Times New Roman"/>
            <w:b/>
            <w:bCs/>
            <w:noProof/>
            <w:webHidden/>
            <w:sz w:val="24"/>
            <w:szCs w:val="24"/>
          </w:rPr>
          <w:instrText xml:space="preserve"> PAGEREF _Toc988981 \h </w:instrText>
        </w:r>
        <w:r w:rsidR="002349C6" w:rsidRPr="008C49B7">
          <w:rPr>
            <w:rFonts w:ascii="Times New Roman" w:hAnsi="Times New Roman" w:cs="Times New Roman"/>
            <w:b/>
            <w:bCs/>
            <w:noProof/>
            <w:webHidden/>
            <w:sz w:val="24"/>
            <w:szCs w:val="24"/>
          </w:rPr>
        </w:r>
        <w:r w:rsidR="002349C6"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50</w:t>
        </w:r>
        <w:r w:rsidR="002349C6" w:rsidRPr="008C49B7">
          <w:rPr>
            <w:rFonts w:ascii="Times New Roman" w:hAnsi="Times New Roman" w:cs="Times New Roman"/>
            <w:b/>
            <w:bCs/>
            <w:noProof/>
            <w:webHidden/>
            <w:sz w:val="24"/>
            <w:szCs w:val="24"/>
          </w:rPr>
          <w:fldChar w:fldCharType="end"/>
        </w:r>
      </w:hyperlink>
    </w:p>
    <w:p w14:paraId="6EDDF004" w14:textId="7AE502E4" w:rsidR="006B66B7" w:rsidRPr="008C49B7" w:rsidRDefault="00EB45EB" w:rsidP="008C49B7">
      <w:pPr>
        <w:pStyle w:val="1"/>
        <w:tabs>
          <w:tab w:val="left" w:leader="dot" w:pos="9214"/>
        </w:tabs>
        <w:adjustRightInd w:val="0"/>
        <w:snapToGrid w:val="0"/>
        <w:spacing w:beforeLines="50" w:before="156" w:afterLines="50" w:after="156"/>
        <w:jc w:val="both"/>
        <w:rPr>
          <w:rFonts w:ascii="Times New Roman" w:hAnsi="Times New Roman" w:cs="Times New Roman"/>
          <w:b/>
          <w:bCs/>
          <w:noProof/>
          <w:sz w:val="24"/>
          <w:szCs w:val="24"/>
        </w:rPr>
      </w:pPr>
      <w:hyperlink w:anchor="_Toc988982" w:history="1">
        <w:r w:rsidR="002349C6" w:rsidRPr="008C49B7">
          <w:rPr>
            <w:rFonts w:ascii="Times New Roman" w:eastAsia="宋体" w:hAnsi="Times New Roman" w:cs="Times New Roman"/>
            <w:b/>
            <w:bCs/>
            <w:noProof/>
            <w:sz w:val="24"/>
            <w:szCs w:val="24"/>
          </w:rPr>
          <w:t>Section X Financial Statement</w:t>
        </w:r>
        <w:r w:rsidR="002349C6" w:rsidRPr="008C49B7">
          <w:rPr>
            <w:rFonts w:ascii="Times New Roman" w:hAnsi="Times New Roman" w:cs="Times New Roman"/>
            <w:b/>
            <w:bCs/>
            <w:noProof/>
            <w:webHidden/>
            <w:sz w:val="24"/>
            <w:szCs w:val="24"/>
          </w:rPr>
          <w:tab/>
        </w:r>
        <w:r w:rsidR="002349C6" w:rsidRPr="008C49B7">
          <w:rPr>
            <w:rFonts w:ascii="Times New Roman" w:hAnsi="Times New Roman" w:cs="Times New Roman"/>
            <w:b/>
            <w:bCs/>
            <w:noProof/>
            <w:webHidden/>
            <w:sz w:val="24"/>
            <w:szCs w:val="24"/>
          </w:rPr>
          <w:fldChar w:fldCharType="begin"/>
        </w:r>
        <w:r w:rsidR="002349C6" w:rsidRPr="008C49B7">
          <w:rPr>
            <w:rFonts w:ascii="Times New Roman" w:hAnsi="Times New Roman" w:cs="Times New Roman"/>
            <w:b/>
            <w:bCs/>
            <w:noProof/>
            <w:webHidden/>
            <w:sz w:val="24"/>
            <w:szCs w:val="24"/>
          </w:rPr>
          <w:instrText xml:space="preserve"> PAGEREF _Toc988982 \h </w:instrText>
        </w:r>
        <w:r w:rsidR="002349C6" w:rsidRPr="008C49B7">
          <w:rPr>
            <w:rFonts w:ascii="Times New Roman" w:hAnsi="Times New Roman" w:cs="Times New Roman"/>
            <w:b/>
            <w:bCs/>
            <w:noProof/>
            <w:webHidden/>
            <w:sz w:val="24"/>
            <w:szCs w:val="24"/>
          </w:rPr>
        </w:r>
        <w:r w:rsidR="002349C6" w:rsidRPr="008C49B7">
          <w:rPr>
            <w:rFonts w:ascii="Times New Roman" w:hAnsi="Times New Roman" w:cs="Times New Roman"/>
            <w:b/>
            <w:bCs/>
            <w:noProof/>
            <w:webHidden/>
            <w:sz w:val="24"/>
            <w:szCs w:val="24"/>
          </w:rPr>
          <w:fldChar w:fldCharType="separate"/>
        </w:r>
        <w:r w:rsidR="00026C0F">
          <w:rPr>
            <w:rFonts w:ascii="Times New Roman" w:hAnsi="Times New Roman" w:cs="Times New Roman"/>
            <w:b/>
            <w:bCs/>
            <w:noProof/>
            <w:webHidden/>
            <w:sz w:val="24"/>
            <w:szCs w:val="24"/>
          </w:rPr>
          <w:t>51</w:t>
        </w:r>
        <w:r w:rsidR="002349C6" w:rsidRPr="008C49B7">
          <w:rPr>
            <w:rFonts w:ascii="Times New Roman" w:hAnsi="Times New Roman" w:cs="Times New Roman"/>
            <w:b/>
            <w:bCs/>
            <w:noProof/>
            <w:webHidden/>
            <w:sz w:val="24"/>
            <w:szCs w:val="24"/>
          </w:rPr>
          <w:fldChar w:fldCharType="end"/>
        </w:r>
      </w:hyperlink>
      <w:r w:rsidR="002349C6" w:rsidRPr="008C49B7">
        <w:rPr>
          <w:rFonts w:ascii="Times New Roman" w:hAnsi="Times New Roman" w:cs="Times New Roman"/>
          <w:b/>
          <w:bCs/>
          <w:sz w:val="24"/>
          <w:szCs w:val="24"/>
        </w:rPr>
        <w:fldChar w:fldCharType="end"/>
      </w:r>
    </w:p>
    <w:p w14:paraId="534DC203" w14:textId="77777777" w:rsidR="006B66B7" w:rsidRPr="00F73301" w:rsidRDefault="002349C6" w:rsidP="008C49B7">
      <w:pPr>
        <w:adjustRightInd w:val="0"/>
        <w:snapToGrid w:val="0"/>
        <w:spacing w:beforeLines="50" w:before="156" w:afterLines="50" w:after="156"/>
        <w:jc w:val="both"/>
        <w:rPr>
          <w:rFonts w:ascii="Times New Roman" w:hAnsi="Times New Roman" w:cs="Times New Roman"/>
          <w:sz w:val="24"/>
          <w:szCs w:val="24"/>
        </w:rPr>
      </w:pPr>
      <w:r w:rsidRPr="00F73301">
        <w:rPr>
          <w:rFonts w:ascii="Times New Roman" w:hAnsi="Times New Roman" w:cs="Times New Roman"/>
          <w:sz w:val="24"/>
          <w:szCs w:val="24"/>
        </w:rPr>
        <w:br w:type="page"/>
      </w:r>
    </w:p>
    <w:p w14:paraId="6918D0F8" w14:textId="77777777" w:rsidR="006B66B7" w:rsidRPr="00F73301" w:rsidRDefault="002349C6" w:rsidP="008C49B7">
      <w:pPr>
        <w:adjustRightInd w:val="0"/>
        <w:snapToGrid w:val="0"/>
        <w:spacing w:beforeLines="50" w:before="156" w:afterLines="50" w:after="156"/>
        <w:jc w:val="center"/>
        <w:rPr>
          <w:rFonts w:ascii="Times New Roman" w:eastAsia="宋体" w:hAnsi="Times New Roman" w:cs="Times New Roman"/>
          <w:b/>
          <w:bCs/>
          <w:sz w:val="24"/>
          <w:szCs w:val="24"/>
        </w:rPr>
      </w:pPr>
      <w:r w:rsidRPr="00F73301">
        <w:rPr>
          <w:rFonts w:ascii="Times New Roman" w:eastAsia="宋体" w:hAnsi="Times New Roman" w:cs="Times New Roman"/>
          <w:b/>
          <w:bCs/>
          <w:sz w:val="24"/>
          <w:szCs w:val="24"/>
        </w:rPr>
        <w:lastRenderedPageBreak/>
        <w:t>List of Reference Documents</w:t>
      </w:r>
    </w:p>
    <w:p w14:paraId="781598CD" w14:textId="77777777" w:rsidR="00273CFE" w:rsidRPr="00F73301" w:rsidRDefault="002349C6" w:rsidP="008C49B7">
      <w:pPr>
        <w:pStyle w:val="a3"/>
        <w:adjustRightInd w:val="0"/>
        <w:snapToGrid w:val="0"/>
        <w:spacing w:beforeLines="50" w:before="156" w:beforeAutospacing="0" w:afterLines="50" w:after="156" w:afterAutospacing="0"/>
        <w:jc w:val="both"/>
        <w:divId w:val="1296251136"/>
        <w:rPr>
          <w:rFonts w:ascii="Times New Roman" w:hAnsi="Times New Roman" w:cs="Times New Roman"/>
        </w:rPr>
      </w:pPr>
      <w:r w:rsidRPr="00F73301">
        <w:rPr>
          <w:rFonts w:ascii="Times New Roman" w:hAnsi="Times New Roman" w:cs="Times New Roman"/>
        </w:rPr>
        <w:t>I. Financial statements bearing the signatures and seals of the person in charge of the Company, the person in charge of accounting and the Accounting Officer.</w:t>
      </w:r>
    </w:p>
    <w:p w14:paraId="6F93E116" w14:textId="77777777" w:rsidR="00273CFE" w:rsidRPr="00F73301" w:rsidRDefault="002349C6" w:rsidP="008C49B7">
      <w:pPr>
        <w:pStyle w:val="a3"/>
        <w:adjustRightInd w:val="0"/>
        <w:snapToGrid w:val="0"/>
        <w:spacing w:beforeLines="50" w:before="156" w:beforeAutospacing="0" w:afterLines="50" w:after="156" w:afterAutospacing="0"/>
        <w:jc w:val="both"/>
        <w:divId w:val="1296251136"/>
        <w:rPr>
          <w:rFonts w:ascii="Times New Roman" w:hAnsi="Times New Roman" w:cs="Times New Roman"/>
        </w:rPr>
      </w:pPr>
      <w:r w:rsidRPr="00F73301">
        <w:rPr>
          <w:rFonts w:ascii="Times New Roman" w:hAnsi="Times New Roman" w:cs="Times New Roman"/>
        </w:rPr>
        <w:t>II. Originals of all documents and manuscripts of all announcements publicly disclosed by the Company on the website designated by the China Securities Regulatory Commission (CSRC) during the Reporting Period.</w:t>
      </w:r>
    </w:p>
    <w:p w14:paraId="172F097F" w14:textId="77777777" w:rsidR="00273CFE" w:rsidRPr="00F73301" w:rsidRDefault="002349C6" w:rsidP="008C49B7">
      <w:pPr>
        <w:pStyle w:val="a3"/>
        <w:adjustRightInd w:val="0"/>
        <w:snapToGrid w:val="0"/>
        <w:spacing w:beforeLines="50" w:before="156" w:beforeAutospacing="0" w:afterLines="50" w:after="156" w:afterAutospacing="0"/>
        <w:jc w:val="both"/>
        <w:divId w:val="1296251136"/>
        <w:rPr>
          <w:rFonts w:ascii="Times New Roman" w:hAnsi="Times New Roman" w:cs="Times New Roman"/>
        </w:rPr>
      </w:pPr>
      <w:r w:rsidRPr="00F73301">
        <w:rPr>
          <w:rFonts w:ascii="Times New Roman" w:hAnsi="Times New Roman" w:cs="Times New Roman"/>
        </w:rPr>
        <w:t>III. Other reference documents.</w:t>
      </w:r>
    </w:p>
    <w:p w14:paraId="028C1466" w14:textId="77777777" w:rsidR="00273CFE" w:rsidRPr="00F73301" w:rsidRDefault="002349C6" w:rsidP="008C49B7">
      <w:pPr>
        <w:pStyle w:val="a3"/>
        <w:adjustRightInd w:val="0"/>
        <w:snapToGrid w:val="0"/>
        <w:spacing w:beforeLines="50" w:before="156" w:beforeAutospacing="0" w:afterLines="50" w:after="156" w:afterAutospacing="0"/>
        <w:jc w:val="both"/>
        <w:divId w:val="1296251136"/>
        <w:rPr>
          <w:rFonts w:ascii="Times New Roman" w:hAnsi="Times New Roman" w:cs="Times New Roman"/>
        </w:rPr>
      </w:pPr>
      <w:r w:rsidRPr="00F73301">
        <w:rPr>
          <w:rFonts w:ascii="Times New Roman" w:hAnsi="Times New Roman" w:cs="Times New Roman"/>
        </w:rPr>
        <w:t>Place where the aforesaid reference documents can be obtained: The Securities Investment Department of the Company.</w:t>
      </w:r>
    </w:p>
    <w:p w14:paraId="52F73690" w14:textId="77777777" w:rsidR="006B66B7" w:rsidRPr="00F73301" w:rsidRDefault="002349C6" w:rsidP="00F73301">
      <w:pPr>
        <w:snapToGrid w:val="0"/>
        <w:spacing w:beforeLines="50" w:before="156" w:afterLines="50" w:after="156"/>
        <w:rPr>
          <w:rFonts w:ascii="Times New Roman" w:hAnsi="Times New Roman" w:cs="Times New Roman"/>
          <w:sz w:val="24"/>
          <w:szCs w:val="24"/>
        </w:rPr>
      </w:pPr>
      <w:r w:rsidRPr="00F73301">
        <w:rPr>
          <w:rFonts w:ascii="Times New Roman" w:hAnsi="Times New Roman" w:cs="Times New Roman"/>
          <w:sz w:val="24"/>
          <w:szCs w:val="24"/>
        </w:rPr>
        <w:br w:type="page"/>
      </w:r>
    </w:p>
    <w:p w14:paraId="70F52447" w14:textId="77777777" w:rsidR="006B66B7" w:rsidRPr="00F73301" w:rsidRDefault="002349C6" w:rsidP="00F73301">
      <w:pPr>
        <w:snapToGrid w:val="0"/>
        <w:spacing w:beforeLines="50" w:before="156" w:afterLines="50" w:after="156"/>
        <w:jc w:val="center"/>
        <w:rPr>
          <w:rFonts w:ascii="Times New Roman" w:eastAsia="宋体" w:hAnsi="Times New Roman" w:cs="Times New Roman"/>
          <w:b/>
          <w:bCs/>
          <w:sz w:val="24"/>
          <w:szCs w:val="24"/>
        </w:rPr>
      </w:pPr>
      <w:r w:rsidRPr="00F73301">
        <w:rPr>
          <w:rFonts w:ascii="Times New Roman" w:eastAsia="宋体" w:hAnsi="Times New Roman" w:cs="Times New Roman"/>
          <w:b/>
          <w:bCs/>
          <w:sz w:val="24"/>
          <w:szCs w:val="24"/>
        </w:rPr>
        <w:lastRenderedPageBreak/>
        <w:t>Definitions</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1148"/>
        <w:gridCol w:w="5278"/>
      </w:tblGrid>
      <w:tr w:rsidR="006B66B7" w:rsidRPr="008C49B7" w14:paraId="69C068A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7DB33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Item</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7C508BA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shd w:val="clear" w:color="auto" w:fill="D3D3D3"/>
            <w:vAlign w:val="center"/>
          </w:tcPr>
          <w:p w14:paraId="390AADF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Definition</w:t>
            </w:r>
          </w:p>
        </w:tc>
      </w:tr>
      <w:tr w:rsidR="006B66B7" w:rsidRPr="008C49B7" w14:paraId="5DF32A2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57B573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The Company, Company, and </w:t>
            </w: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Technology</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37CD813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61E3099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Yangzhou </w:t>
            </w: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Electronic Technology Co., Ltd.</w:t>
            </w:r>
          </w:p>
        </w:tc>
      </w:tr>
      <w:tr w:rsidR="006B66B7" w:rsidRPr="008C49B7" w14:paraId="37A5388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4A4637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Semiconductor</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188DBDE"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3A67B55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 substance with a conductivity that is intermediate between those of a conductor and an insulator, such as silicon and germanium</w:t>
            </w:r>
          </w:p>
        </w:tc>
      </w:tr>
      <w:tr w:rsidR="006B66B7" w:rsidRPr="008C49B7" w14:paraId="565C59A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8757B89"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MOSFET and MOS</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2E112C5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63DE927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Metal-Oxide-Semiconductor-Field-Effect Transistor. It is a field-effect transistor that can be extensively used in analog and digital circuits</w:t>
            </w:r>
          </w:p>
          <w:p w14:paraId="6CA6CEE7" w14:textId="77777777" w:rsidR="006B66B7" w:rsidRPr="008C49B7" w:rsidRDefault="006B66B7" w:rsidP="008C49B7">
            <w:pPr>
              <w:snapToGrid w:val="0"/>
              <w:rPr>
                <w:rFonts w:ascii="Times New Roman" w:eastAsia="宋体" w:hAnsi="Times New Roman" w:cs="Times New Roman"/>
                <w:sz w:val="18"/>
                <w:szCs w:val="18"/>
              </w:rPr>
            </w:pPr>
          </w:p>
        </w:tc>
      </w:tr>
      <w:tr w:rsidR="006B66B7" w:rsidRPr="008C49B7" w14:paraId="32B73C2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FE8E8B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IGBT</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535588E"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3A92F469"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Insulated Gate Bipolar Transistor. It is a composite fully controlled voltage-driven power semiconductor component that consists of BJT (bipolar junction transistor) and MOS (insulated gate field-effect tube)</w:t>
            </w:r>
          </w:p>
        </w:tc>
      </w:tr>
      <w:tr w:rsidR="006B66B7" w:rsidRPr="008C49B7" w14:paraId="5DF76F2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A8BA678"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SiC</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A7E1E91"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7367536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Silicon carbide. It is a silicon carbide compound, which is the main material of the third generation of semiconductor</w:t>
            </w:r>
          </w:p>
        </w:tc>
      </w:tr>
      <w:tr w:rsidR="006B66B7" w:rsidRPr="008C49B7" w14:paraId="5B5AA3C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86F4796"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GaN</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601A365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68A349F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Gallium nitride. It is a gallium nitride compound, which is a kind of direct bandgap semiconductor</w:t>
            </w:r>
          </w:p>
        </w:tc>
      </w:tr>
      <w:tr w:rsidR="006B66B7" w:rsidRPr="008C49B7" w14:paraId="75AD1CC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F4A424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Wafer and chip</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EDDFCC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45374DB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 functional semiconductor component that is made by multiple processes on a semiconductor sheet (monocrystalline silicon) such as diffusion, lithography, etching, cleaning, passivation, metallization, etc.</w:t>
            </w:r>
          </w:p>
        </w:tc>
      </w:tr>
      <w:tr w:rsidR="006B66B7" w:rsidRPr="008C49B7" w14:paraId="2921936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D35DA1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Integrated circuit</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65FC1EB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1433FA9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 semiconductor component that performs a circuit or system function by integrating a certain number of transistors, diodes, resistors, capacitors and inductors</w:t>
            </w:r>
          </w:p>
        </w:tc>
      </w:tr>
      <w:tr w:rsidR="006B66B7" w:rsidRPr="008C49B7" w14:paraId="2AB9B65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821A04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Encapsulation</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0D0DA76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5FDC8A7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 series of processes after the manufacturing of a wafter, that is, segmenting a wafer into a single chip, the leads are welded and placed and connected to a capsule</w:t>
            </w:r>
          </w:p>
        </w:tc>
      </w:tr>
      <w:tr w:rsidR="006B66B7" w:rsidRPr="008C49B7" w14:paraId="7323918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195657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Power electronic device</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B62B76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25240D6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It is also known as a power semiconductor device, which is mainly used for power conversion and control circuits for power equipment</w:t>
            </w:r>
          </w:p>
        </w:tc>
      </w:tr>
      <w:tr w:rsidR="006B66B7" w:rsidRPr="008C49B7" w14:paraId="2CE711E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692786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Diode</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2C20EBC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06029A5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 semiconductor component with positive wizard pass and reverse cutoff features</w:t>
            </w:r>
          </w:p>
        </w:tc>
      </w:tr>
      <w:tr w:rsidR="006B66B7" w:rsidRPr="008C49B7" w14:paraId="13E6ADD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7A5D9A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Rectifier bridge</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709AB6C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7A61C59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 rectifier component that consists of two or four diodes</w:t>
            </w:r>
          </w:p>
        </w:tc>
      </w:tr>
      <w:tr w:rsidR="006B66B7" w:rsidRPr="008C49B7" w14:paraId="780153B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3A7E58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Power module</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2B1E20E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3DE0E6C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It is embedded by power electronic devices according to a certain combination of functions</w:t>
            </w:r>
          </w:p>
        </w:tc>
      </w:tr>
      <w:tr w:rsidR="006B66B7" w:rsidRPr="008C49B7" w14:paraId="5514E8A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5F5E9B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IDM</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26135DD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50046EA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Integrated Design and Manufacture. It refers to a semiconductor-integrated design and manufacturing company that handles the design, manufacturing, encapsulation tests, and sales of its brand</w:t>
            </w:r>
          </w:p>
        </w:tc>
      </w:tr>
      <w:tr w:rsidR="006B66B7" w:rsidRPr="008C49B7" w14:paraId="73887FA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E2F656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Single-crystal silicon wafer</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B5111F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102B989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It is a single crystal of silicon, which is a good semi-conductive material and is used for manufacturing semiconductor components, and solar cell</w:t>
            </w:r>
          </w:p>
        </w:tc>
      </w:tr>
      <w:tr w:rsidR="006B66B7" w:rsidRPr="008C49B7" w14:paraId="1F2D39E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6957A5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BJT</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3F8230B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0092EA2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Bipolar Junction Transistor. It is a component that combines two PN junctions through some processes</w:t>
            </w:r>
          </w:p>
        </w:tc>
      </w:tr>
      <w:tr w:rsidR="006B66B7" w:rsidRPr="008C49B7" w14:paraId="146E450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512153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FRED</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1C42E2A"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1E2BE14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Fast Recovery Diode. It is a semiconductor diode featuring a good switching characteristic and short reverse recovery time, which is mainly used for electronic circuits such as switching power supply, PWM (pulse width modulator), and frequency converters to serve as high-frequency rectifier diode, continuation diode or damping diode</w:t>
            </w:r>
          </w:p>
        </w:tc>
      </w:tr>
      <w:tr w:rsidR="006B66B7" w:rsidRPr="008C49B7" w14:paraId="167E4B4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55BB88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ESD</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0AC3AEE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10187CF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Electro-Static discharge Electrostatic protection is an important aspect of the quality control of electronic products</w:t>
            </w:r>
          </w:p>
        </w:tc>
      </w:tr>
      <w:tr w:rsidR="006B66B7" w:rsidRPr="008C49B7" w14:paraId="03991A3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61988F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TVS</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CA8B78A"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0F95DF0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Transient suppression diode</w:t>
            </w:r>
          </w:p>
        </w:tc>
      </w:tr>
      <w:tr w:rsidR="006B66B7" w:rsidRPr="008C49B7" w14:paraId="73EC1E6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38F2BD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IoT</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692712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7B0B19D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Internet of Things, also known as a sensor network. It is an extension of the Internet from people to things.</w:t>
            </w:r>
          </w:p>
        </w:tc>
      </w:tr>
      <w:tr w:rsidR="006B66B7" w:rsidRPr="008C49B7" w14:paraId="6154465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458589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MES</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0C4AC79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2BD68FB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 set of production information-based management system that faces the executive level of the workshops of the manufacturing enterprises</w:t>
            </w:r>
          </w:p>
        </w:tc>
      </w:tr>
      <w:tr w:rsidR="006B66B7" w:rsidRPr="008C49B7" w14:paraId="7DBC5AB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91BF9F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CRM</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151113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5E0EED8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The customer relationship management system is a system with the management of customer data at its core that utilizes information science technology to realize the automation of marketing, sales, and services and establishes a system to collect, manage, analyze, and use customer information to assist enterprises in realizing the customer-centered management mode. Customer relationship management is both a management philosophy and a kind of software technology.</w:t>
            </w:r>
          </w:p>
        </w:tc>
      </w:tr>
      <w:tr w:rsidR="006B66B7" w:rsidRPr="008C49B7" w14:paraId="55B2DE9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DF1218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Germany</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66A02C6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29D46EF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Micro Commercial Components GmbH</w:t>
            </w:r>
          </w:p>
        </w:tc>
      </w:tr>
      <w:tr w:rsidR="006B66B7" w:rsidRPr="008C49B7" w14:paraId="55181DF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A130CCB" w14:textId="4194E83B" w:rsidR="006B66B7" w:rsidRPr="008C49B7" w:rsidRDefault="002349C6" w:rsidP="00914F61">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J&amp;V Semiconductor</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57DEA6D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13B3001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Yangzhou J&amp;V Semiconductor Company</w:t>
            </w:r>
          </w:p>
        </w:tc>
      </w:tr>
      <w:tr w:rsidR="006B66B7" w:rsidRPr="004425DE" w14:paraId="46753AB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94381B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USA</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DD477FD"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6B0C0052" w14:textId="77777777" w:rsidR="006B66B7" w:rsidRPr="008C49B7" w:rsidRDefault="002349C6" w:rsidP="008C49B7">
            <w:pPr>
              <w:snapToGrid w:val="0"/>
              <w:rPr>
                <w:rFonts w:ascii="Times New Roman" w:eastAsia="宋体" w:hAnsi="Times New Roman" w:cs="Times New Roman"/>
                <w:sz w:val="18"/>
                <w:szCs w:val="18"/>
                <w:lang w:val="it-IT"/>
              </w:rPr>
            </w:pPr>
            <w:r w:rsidRPr="008C49B7">
              <w:rPr>
                <w:rFonts w:ascii="Times New Roman" w:eastAsia="宋体" w:hAnsi="Times New Roman" w:cs="Times New Roman"/>
                <w:sz w:val="18"/>
                <w:szCs w:val="18"/>
                <w:lang w:val="it-IT"/>
              </w:rPr>
              <w:t>Micro Commercial Components Corporation (USA)</w:t>
            </w:r>
          </w:p>
        </w:tc>
      </w:tr>
      <w:tr w:rsidR="006B66B7" w:rsidRPr="008C49B7" w14:paraId="20BB99F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A5A0168" w14:textId="3BC9B0C0" w:rsidR="006B66B7" w:rsidRPr="008C49B7" w:rsidRDefault="002349C6" w:rsidP="009F7FBC">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CS and Caswell</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09F4A97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0A169E1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Caswell Industries Limited (BVI)</w:t>
            </w:r>
          </w:p>
        </w:tc>
      </w:tr>
      <w:tr w:rsidR="006B66B7" w:rsidRPr="008C49B7" w14:paraId="10932B5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80F839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Taiwan</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6638C57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2AFB951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Semiconductor Co., Ltd.</w:t>
            </w:r>
          </w:p>
        </w:tc>
      </w:tr>
      <w:tr w:rsidR="006B66B7" w:rsidRPr="008C49B7" w14:paraId="26A1D4F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8F23A8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Jiangsu Power</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7FBB9D3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5B8C0B7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Jiangsu Applied Power Microelectronics Co., Ltd.</w:t>
            </w:r>
          </w:p>
        </w:tc>
      </w:tr>
      <w:tr w:rsidR="006B66B7" w:rsidRPr="008C49B7" w14:paraId="33BAF5C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974BD3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Chengdu Qingyang</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7E8A94A7"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2575D00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Chengdu Qingyang Electronic Material Co., Ltd.</w:t>
            </w:r>
          </w:p>
        </w:tc>
      </w:tr>
      <w:tr w:rsidR="006B66B7" w:rsidRPr="008C49B7" w14:paraId="128692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673036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Inner </w:t>
            </w:r>
            <w:proofErr w:type="spellStart"/>
            <w:r w:rsidRPr="008C49B7">
              <w:rPr>
                <w:rFonts w:ascii="Times New Roman" w:eastAsia="宋体" w:hAnsi="Times New Roman" w:cs="Times New Roman"/>
                <w:sz w:val="18"/>
                <w:szCs w:val="18"/>
              </w:rPr>
              <w:t>Mogolia</w:t>
            </w:r>
            <w:proofErr w:type="spellEnd"/>
            <w:r w:rsidRPr="008C49B7">
              <w:rPr>
                <w:rFonts w:ascii="Times New Roman" w:eastAsia="宋体" w:hAnsi="Times New Roman" w:cs="Times New Roman"/>
                <w:sz w:val="18"/>
                <w:szCs w:val="18"/>
              </w:rPr>
              <w:t xml:space="preserve"> </w:t>
            </w:r>
            <w:proofErr w:type="spellStart"/>
            <w:r w:rsidRPr="008C49B7">
              <w:rPr>
                <w:rFonts w:ascii="Times New Roman" w:eastAsia="宋体" w:hAnsi="Times New Roman" w:cs="Times New Roman"/>
                <w:sz w:val="18"/>
                <w:szCs w:val="18"/>
              </w:rPr>
              <w:t>Qingyang</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255707F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16D8B43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Inner Mongolia Qingyang Electronic Material Co., Ltd.</w:t>
            </w:r>
          </w:p>
        </w:tc>
      </w:tr>
      <w:tr w:rsidR="006B66B7" w:rsidRPr="008C49B7" w14:paraId="1929E85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F9BD2AE"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Yajixin</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27EE3E6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79DC72B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Sichuan </w:t>
            </w:r>
            <w:proofErr w:type="spellStart"/>
            <w:r w:rsidRPr="008C49B7">
              <w:rPr>
                <w:rFonts w:ascii="Times New Roman" w:eastAsia="宋体" w:hAnsi="Times New Roman" w:cs="Times New Roman"/>
                <w:sz w:val="18"/>
                <w:szCs w:val="18"/>
              </w:rPr>
              <w:t>Yajixin</w:t>
            </w:r>
            <w:proofErr w:type="spellEnd"/>
            <w:r w:rsidRPr="008C49B7">
              <w:rPr>
                <w:rFonts w:ascii="Times New Roman" w:eastAsia="宋体" w:hAnsi="Times New Roman" w:cs="Times New Roman"/>
                <w:sz w:val="18"/>
                <w:szCs w:val="18"/>
              </w:rPr>
              <w:t xml:space="preserve"> Electronic Technology Co., Ltd.</w:t>
            </w:r>
          </w:p>
        </w:tc>
      </w:tr>
      <w:tr w:rsidR="006B66B7" w:rsidRPr="008C49B7" w14:paraId="35D5979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7C42ACC"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Investment</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3BAACD5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22947EE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Jiangsu </w:t>
            </w: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Investment Co., Ltd.</w:t>
            </w:r>
          </w:p>
        </w:tc>
      </w:tr>
      <w:tr w:rsidR="006B66B7" w:rsidRPr="008C49B7" w14:paraId="33D57B8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E25921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Hong Kong</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6262371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6CE8A38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Semiconductor HK Co., Ltd.</w:t>
            </w:r>
          </w:p>
        </w:tc>
      </w:tr>
      <w:tr w:rsidR="006B66B7" w:rsidRPr="008C49B7" w14:paraId="4D65336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FEFF69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Shenzhen</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53D3692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7074D6E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Shenzhen MCC Semiconductor Co., Ltd.</w:t>
            </w:r>
          </w:p>
        </w:tc>
      </w:tr>
      <w:tr w:rsidR="006B66B7" w:rsidRPr="008C49B7" w14:paraId="045C2BA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E730928"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Yingxing</w:t>
            </w:r>
            <w:proofErr w:type="spellEnd"/>
            <w:r w:rsidRPr="008C49B7">
              <w:rPr>
                <w:rFonts w:ascii="Times New Roman" w:eastAsia="宋体" w:hAnsi="Times New Roman" w:cs="Times New Roman"/>
                <w:sz w:val="18"/>
                <w:szCs w:val="18"/>
              </w:rPr>
              <w:t xml:space="preserve"> </w:t>
            </w:r>
            <w:proofErr w:type="spellStart"/>
            <w:r w:rsidRPr="008C49B7">
              <w:rPr>
                <w:rFonts w:ascii="Times New Roman" w:eastAsia="宋体" w:hAnsi="Times New Roman" w:cs="Times New Roman"/>
                <w:sz w:val="18"/>
                <w:szCs w:val="18"/>
              </w:rPr>
              <w:t>Jiexin</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5E33299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6BCF221A"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Yixing</w:t>
            </w:r>
            <w:proofErr w:type="spellEnd"/>
            <w:r w:rsidRPr="008C49B7">
              <w:rPr>
                <w:rFonts w:ascii="Times New Roman" w:eastAsia="宋体" w:hAnsi="Times New Roman" w:cs="Times New Roman"/>
                <w:sz w:val="18"/>
                <w:szCs w:val="18"/>
              </w:rPr>
              <w:t xml:space="preserve"> </w:t>
            </w:r>
            <w:proofErr w:type="spellStart"/>
            <w:r w:rsidRPr="008C49B7">
              <w:rPr>
                <w:rFonts w:ascii="Times New Roman" w:eastAsia="宋体" w:hAnsi="Times New Roman" w:cs="Times New Roman"/>
                <w:sz w:val="18"/>
                <w:szCs w:val="18"/>
              </w:rPr>
              <w:t>Jiexin</w:t>
            </w:r>
            <w:proofErr w:type="spellEnd"/>
            <w:r w:rsidRPr="008C49B7">
              <w:rPr>
                <w:rFonts w:ascii="Times New Roman" w:eastAsia="宋体" w:hAnsi="Times New Roman" w:cs="Times New Roman"/>
                <w:sz w:val="18"/>
                <w:szCs w:val="18"/>
              </w:rPr>
              <w:t xml:space="preserve"> Semiconductor Co., Ltd.</w:t>
            </w:r>
          </w:p>
        </w:tc>
      </w:tr>
      <w:tr w:rsidR="006B66B7" w:rsidRPr="008C49B7" w14:paraId="3B3F6FB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F03178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Jiangsu </w:t>
            </w:r>
            <w:proofErr w:type="spellStart"/>
            <w:r w:rsidRPr="008C49B7">
              <w:rPr>
                <w:rFonts w:ascii="Times New Roman" w:eastAsia="宋体" w:hAnsi="Times New Roman" w:cs="Times New Roman"/>
                <w:sz w:val="18"/>
                <w:szCs w:val="18"/>
              </w:rPr>
              <w:t>Huanxin</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4A9A36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4AEE83B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lang w:val="es-ES"/>
              </w:rPr>
              <w:t xml:space="preserve">Jiangsu Huanxin Semiconductor Co., Ltd. </w:t>
            </w:r>
            <w:r w:rsidRPr="008C49B7">
              <w:rPr>
                <w:rFonts w:ascii="Times New Roman" w:eastAsia="宋体" w:hAnsi="Times New Roman" w:cs="Times New Roman"/>
                <w:sz w:val="18"/>
                <w:szCs w:val="18"/>
              </w:rPr>
              <w:t>[Note 3]</w:t>
            </w:r>
          </w:p>
        </w:tc>
      </w:tr>
      <w:tr w:rsidR="006B66B7" w:rsidRPr="008C49B7" w14:paraId="53952FC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BAD01A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Guoyu Electronics</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0725B63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4CCC458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Yangzhou Guoyu Electronics Co., Ltd.</w:t>
            </w:r>
          </w:p>
        </w:tc>
      </w:tr>
      <w:tr w:rsidR="006B66B7" w:rsidRPr="004F7BC8" w14:paraId="388EE2C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D57B5CC"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Semiconductor</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8E6234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3FE468A2" w14:textId="77777777" w:rsidR="006B66B7" w:rsidRPr="008C49B7" w:rsidRDefault="002349C6" w:rsidP="008C49B7">
            <w:pPr>
              <w:snapToGrid w:val="0"/>
              <w:rPr>
                <w:rFonts w:ascii="Times New Roman" w:eastAsia="宋体" w:hAnsi="Times New Roman" w:cs="Times New Roman"/>
                <w:sz w:val="18"/>
                <w:szCs w:val="18"/>
                <w:lang w:val="es-ES"/>
              </w:rPr>
            </w:pPr>
            <w:r w:rsidRPr="008C49B7">
              <w:rPr>
                <w:rFonts w:ascii="Times New Roman" w:eastAsia="宋体" w:hAnsi="Times New Roman" w:cs="Times New Roman"/>
                <w:sz w:val="18"/>
                <w:szCs w:val="18"/>
                <w:lang w:val="es-ES"/>
              </w:rPr>
              <w:t>Jiangsu Yangjie Semiconductor Co., Ltd.</w:t>
            </w:r>
          </w:p>
        </w:tc>
      </w:tr>
      <w:tr w:rsidR="006B66B7" w:rsidRPr="008C49B7" w14:paraId="479D080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C9E8A30"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Jaywin</w:t>
            </w:r>
            <w:proofErr w:type="spellEnd"/>
            <w:r w:rsidRPr="008C49B7">
              <w:rPr>
                <w:rFonts w:ascii="Times New Roman" w:eastAsia="宋体" w:hAnsi="Times New Roman" w:cs="Times New Roman"/>
                <w:sz w:val="18"/>
                <w:szCs w:val="18"/>
              </w:rPr>
              <w:t xml:space="preserve"> Chip</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9283F7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28184F0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Yangzhou </w:t>
            </w:r>
            <w:proofErr w:type="spellStart"/>
            <w:r w:rsidRPr="008C49B7">
              <w:rPr>
                <w:rFonts w:ascii="Times New Roman" w:eastAsia="宋体" w:hAnsi="Times New Roman" w:cs="Times New Roman"/>
                <w:sz w:val="18"/>
                <w:szCs w:val="18"/>
              </w:rPr>
              <w:t>Jaywin</w:t>
            </w:r>
            <w:proofErr w:type="spellEnd"/>
            <w:r w:rsidRPr="008C49B7">
              <w:rPr>
                <w:rFonts w:ascii="Times New Roman" w:eastAsia="宋体" w:hAnsi="Times New Roman" w:cs="Times New Roman"/>
                <w:sz w:val="18"/>
                <w:szCs w:val="18"/>
              </w:rPr>
              <w:t xml:space="preserve"> Auto Chip Co., Ltd.</w:t>
            </w:r>
          </w:p>
        </w:tc>
      </w:tr>
      <w:tr w:rsidR="006B66B7" w:rsidRPr="008C49B7" w14:paraId="6424497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E4AB74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Shanghai </w:t>
            </w:r>
            <w:proofErr w:type="spellStart"/>
            <w:r w:rsidRPr="008C49B7">
              <w:rPr>
                <w:rFonts w:ascii="Times New Roman" w:eastAsia="宋体" w:hAnsi="Times New Roman" w:cs="Times New Roman"/>
                <w:sz w:val="18"/>
                <w:szCs w:val="18"/>
              </w:rPr>
              <w:t>Paiqi</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365455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1F21862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Shanghai </w:t>
            </w:r>
            <w:proofErr w:type="spellStart"/>
            <w:r w:rsidRPr="008C49B7">
              <w:rPr>
                <w:rFonts w:ascii="Times New Roman" w:eastAsia="宋体" w:hAnsi="Times New Roman" w:cs="Times New Roman"/>
                <w:sz w:val="18"/>
                <w:szCs w:val="18"/>
              </w:rPr>
              <w:t>Paiqi</w:t>
            </w:r>
            <w:proofErr w:type="spellEnd"/>
            <w:r w:rsidRPr="008C49B7">
              <w:rPr>
                <w:rFonts w:ascii="Times New Roman" w:eastAsia="宋体" w:hAnsi="Times New Roman" w:cs="Times New Roman"/>
                <w:sz w:val="18"/>
                <w:szCs w:val="18"/>
              </w:rPr>
              <w:t xml:space="preserve"> Microelectronics Co., Ltd.</w:t>
            </w:r>
          </w:p>
        </w:tc>
      </w:tr>
      <w:tr w:rsidR="006B66B7" w:rsidRPr="008C49B7" w14:paraId="6ACA444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F22C553" w14:textId="4F7C7B05" w:rsidR="006B66B7" w:rsidRPr="008C49B7" w:rsidRDefault="00A91E52" w:rsidP="00A91E52">
            <w:pPr>
              <w:snapToGrid w:val="0"/>
              <w:rPr>
                <w:rFonts w:ascii="Times New Roman" w:eastAsia="宋体" w:hAnsi="Times New Roman" w:cs="Times New Roman"/>
                <w:sz w:val="18"/>
                <w:szCs w:val="18"/>
              </w:rPr>
            </w:pPr>
            <w:proofErr w:type="spellStart"/>
            <w:r>
              <w:rPr>
                <w:rFonts w:ascii="Times New Roman" w:eastAsia="宋体" w:hAnsi="Times New Roman" w:cs="Times New Roman"/>
                <w:sz w:val="18"/>
                <w:szCs w:val="18"/>
              </w:rPr>
              <w:t>Yangjie</w:t>
            </w:r>
            <w:proofErr w:type="spellEnd"/>
            <w:r>
              <w:rPr>
                <w:rFonts w:ascii="Times New Roman" w:eastAsia="宋体" w:hAnsi="Times New Roman" w:cs="Times New Roman"/>
                <w:sz w:val="18"/>
                <w:szCs w:val="18"/>
              </w:rPr>
              <w:t xml:space="preserve"> Korea</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53F8E75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0ED05E9C"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Electronic Korea Co., Ltd.</w:t>
            </w:r>
          </w:p>
        </w:tc>
      </w:tr>
      <w:tr w:rsidR="006B66B7" w:rsidRPr="004F7BC8" w14:paraId="01ADEE4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CA9A40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Jiangsu</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3061A0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5C2139A9" w14:textId="77777777" w:rsidR="006B66B7" w:rsidRPr="008C49B7" w:rsidRDefault="002349C6" w:rsidP="008C49B7">
            <w:pPr>
              <w:snapToGrid w:val="0"/>
              <w:rPr>
                <w:rFonts w:ascii="Times New Roman" w:eastAsia="宋体" w:hAnsi="Times New Roman" w:cs="Times New Roman"/>
                <w:sz w:val="18"/>
                <w:szCs w:val="18"/>
                <w:lang w:val="es-ES"/>
              </w:rPr>
            </w:pPr>
            <w:r w:rsidRPr="008C49B7">
              <w:rPr>
                <w:rFonts w:ascii="Times New Roman" w:eastAsia="宋体" w:hAnsi="Times New Roman" w:cs="Times New Roman"/>
                <w:sz w:val="18"/>
                <w:szCs w:val="18"/>
                <w:lang w:val="es-ES"/>
              </w:rPr>
              <w:t>Jiangsu MCC Semiconductor Co., Ltd.</w:t>
            </w:r>
          </w:p>
        </w:tc>
      </w:tr>
      <w:tr w:rsidR="006B66B7" w:rsidRPr="008C49B7" w14:paraId="2969B46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89BB4A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Hangzhou E-Giant and E-Giant Semiconductor</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586E126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11C40E6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Hangzhou E-Giant Semiconductor Technology Co., Ltd.</w:t>
            </w:r>
          </w:p>
        </w:tc>
      </w:tr>
      <w:tr w:rsidR="006B66B7" w:rsidRPr="004F7BC8" w14:paraId="77AA54C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739A5BC"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Yanghozu</w:t>
            </w:r>
            <w:proofErr w:type="spellEnd"/>
            <w:r w:rsidRPr="008C49B7">
              <w:rPr>
                <w:rFonts w:ascii="Times New Roman" w:eastAsia="宋体" w:hAnsi="Times New Roman" w:cs="Times New Roman"/>
                <w:sz w:val="18"/>
                <w:szCs w:val="18"/>
              </w:rPr>
              <w:t xml:space="preserve"> </w:t>
            </w:r>
            <w:proofErr w:type="spellStart"/>
            <w:r w:rsidRPr="008C49B7">
              <w:rPr>
                <w:rFonts w:ascii="Times New Roman" w:eastAsia="宋体" w:hAnsi="Times New Roman" w:cs="Times New Roman"/>
                <w:sz w:val="18"/>
                <w:szCs w:val="18"/>
              </w:rPr>
              <w:t>Jiemei</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5997F57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35B18E3C" w14:textId="77777777" w:rsidR="006B66B7" w:rsidRPr="008C49B7" w:rsidRDefault="002349C6" w:rsidP="008C49B7">
            <w:pPr>
              <w:snapToGrid w:val="0"/>
              <w:rPr>
                <w:rFonts w:ascii="Times New Roman" w:eastAsia="宋体" w:hAnsi="Times New Roman" w:cs="Times New Roman"/>
                <w:sz w:val="18"/>
                <w:szCs w:val="18"/>
                <w:lang w:val="es-ES"/>
              </w:rPr>
            </w:pPr>
            <w:r w:rsidRPr="008C49B7">
              <w:rPr>
                <w:rFonts w:ascii="Times New Roman" w:eastAsia="宋体" w:hAnsi="Times New Roman" w:cs="Times New Roman"/>
                <w:sz w:val="18"/>
                <w:szCs w:val="18"/>
                <w:lang w:val="es-ES"/>
              </w:rPr>
              <w:t>Yangzhou Jiemei Semiconductor Co., Ltd.</w:t>
            </w:r>
          </w:p>
        </w:tc>
      </w:tr>
      <w:tr w:rsidR="006B66B7" w:rsidRPr="008C49B7" w14:paraId="7669EB0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C8282D2"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Sihong</w:t>
            </w:r>
            <w:proofErr w:type="spellEnd"/>
            <w:r w:rsidRPr="008C49B7">
              <w:rPr>
                <w:rFonts w:ascii="Times New Roman" w:eastAsia="宋体" w:hAnsi="Times New Roman" w:cs="Times New Roman"/>
                <w:sz w:val="18"/>
                <w:szCs w:val="18"/>
              </w:rPr>
              <w:t xml:space="preserve"> </w:t>
            </w:r>
            <w:proofErr w:type="spellStart"/>
            <w:r w:rsidRPr="008C49B7">
              <w:rPr>
                <w:rFonts w:ascii="Times New Roman" w:eastAsia="宋体" w:hAnsi="Times New Roman" w:cs="Times New Roman"/>
                <w:sz w:val="18"/>
                <w:szCs w:val="18"/>
              </w:rPr>
              <w:t>Hongxin</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5E1A54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0C8F7436"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Sihong</w:t>
            </w:r>
            <w:proofErr w:type="spellEnd"/>
            <w:r w:rsidRPr="008C49B7">
              <w:rPr>
                <w:rFonts w:ascii="Times New Roman" w:eastAsia="宋体" w:hAnsi="Times New Roman" w:cs="Times New Roman"/>
                <w:sz w:val="18"/>
                <w:szCs w:val="18"/>
              </w:rPr>
              <w:t xml:space="preserve"> </w:t>
            </w:r>
            <w:proofErr w:type="spellStart"/>
            <w:r w:rsidRPr="008C49B7">
              <w:rPr>
                <w:rFonts w:ascii="Times New Roman" w:eastAsia="宋体" w:hAnsi="Times New Roman" w:cs="Times New Roman"/>
                <w:sz w:val="18"/>
                <w:szCs w:val="18"/>
              </w:rPr>
              <w:t>Hongxin</w:t>
            </w:r>
            <w:proofErr w:type="spellEnd"/>
            <w:r w:rsidRPr="008C49B7">
              <w:rPr>
                <w:rFonts w:ascii="Times New Roman" w:eastAsia="宋体" w:hAnsi="Times New Roman" w:cs="Times New Roman"/>
                <w:sz w:val="18"/>
                <w:szCs w:val="18"/>
              </w:rPr>
              <w:t xml:space="preserve"> Semiconductor Co., Ltd.</w:t>
            </w:r>
          </w:p>
        </w:tc>
      </w:tr>
      <w:tr w:rsidR="006B66B7" w:rsidRPr="008C49B7" w14:paraId="3515BB5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86B045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Shanghai </w:t>
            </w:r>
            <w:proofErr w:type="spellStart"/>
            <w:r w:rsidRPr="008C49B7">
              <w:rPr>
                <w:rFonts w:ascii="Times New Roman" w:eastAsia="宋体" w:hAnsi="Times New Roman" w:cs="Times New Roman"/>
                <w:sz w:val="18"/>
                <w:szCs w:val="18"/>
              </w:rPr>
              <w:t>Lingxin</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C93A8A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67B8BC1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Shanghai </w:t>
            </w:r>
            <w:proofErr w:type="spellStart"/>
            <w:r w:rsidRPr="008C49B7">
              <w:rPr>
                <w:rFonts w:ascii="Times New Roman" w:eastAsia="宋体" w:hAnsi="Times New Roman" w:cs="Times New Roman"/>
                <w:sz w:val="18"/>
                <w:szCs w:val="18"/>
              </w:rPr>
              <w:t>Lingxin</w:t>
            </w:r>
            <w:proofErr w:type="spellEnd"/>
            <w:r w:rsidRPr="008C49B7">
              <w:rPr>
                <w:rFonts w:ascii="Times New Roman" w:eastAsia="宋体" w:hAnsi="Times New Roman" w:cs="Times New Roman"/>
                <w:sz w:val="18"/>
                <w:szCs w:val="18"/>
              </w:rPr>
              <w:t xml:space="preserve"> Semiconductor Technology Co., Ltd.</w:t>
            </w:r>
          </w:p>
        </w:tc>
      </w:tr>
      <w:tr w:rsidR="006B66B7" w:rsidRPr="008C49B7" w14:paraId="2C25E97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DC1D14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Wuxi </w:t>
            </w:r>
            <w:proofErr w:type="spellStart"/>
            <w:r w:rsidRPr="008C49B7">
              <w:rPr>
                <w:rFonts w:ascii="Times New Roman" w:eastAsia="宋体" w:hAnsi="Times New Roman" w:cs="Times New Roman"/>
                <w:sz w:val="18"/>
                <w:szCs w:val="18"/>
              </w:rPr>
              <w:t>Lingxin</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2F86594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501AB88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Wuxi </w:t>
            </w:r>
            <w:proofErr w:type="spellStart"/>
            <w:r w:rsidRPr="008C49B7">
              <w:rPr>
                <w:rFonts w:ascii="Times New Roman" w:eastAsia="宋体" w:hAnsi="Times New Roman" w:cs="Times New Roman"/>
                <w:sz w:val="18"/>
                <w:szCs w:val="18"/>
              </w:rPr>
              <w:t>Lingxin</w:t>
            </w:r>
            <w:proofErr w:type="spellEnd"/>
            <w:r w:rsidRPr="008C49B7">
              <w:rPr>
                <w:rFonts w:ascii="Times New Roman" w:eastAsia="宋体" w:hAnsi="Times New Roman" w:cs="Times New Roman"/>
                <w:sz w:val="18"/>
                <w:szCs w:val="18"/>
              </w:rPr>
              <w:t xml:space="preserve"> Semiconductor Technology Co., Ltd.</w:t>
            </w:r>
          </w:p>
        </w:tc>
      </w:tr>
      <w:tr w:rsidR="006B66B7" w:rsidRPr="008C49B7" w14:paraId="79F2EE3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57931B9"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Wuxi</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55755D5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128B02B1"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Technology (Wuxi) Co., Ltd.</w:t>
            </w:r>
          </w:p>
        </w:tc>
      </w:tr>
      <w:tr w:rsidR="006B66B7" w:rsidRPr="008C49B7" w14:paraId="09A703B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7AA3488"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Runau</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57AE433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5355478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Jiangsu </w:t>
            </w: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w:t>
            </w:r>
            <w:proofErr w:type="spellStart"/>
            <w:r w:rsidRPr="008C49B7">
              <w:rPr>
                <w:rFonts w:ascii="Times New Roman" w:eastAsia="宋体" w:hAnsi="Times New Roman" w:cs="Times New Roman"/>
                <w:sz w:val="18"/>
                <w:szCs w:val="18"/>
              </w:rPr>
              <w:t>Runau</w:t>
            </w:r>
            <w:proofErr w:type="spellEnd"/>
            <w:r w:rsidRPr="008C49B7">
              <w:rPr>
                <w:rFonts w:ascii="Times New Roman" w:eastAsia="宋体" w:hAnsi="Times New Roman" w:cs="Times New Roman"/>
                <w:sz w:val="18"/>
                <w:szCs w:val="18"/>
              </w:rPr>
              <w:t xml:space="preserve"> Semiconductor Co., Ltd.</w:t>
            </w:r>
          </w:p>
        </w:tc>
      </w:tr>
      <w:tr w:rsidR="006B66B7" w:rsidRPr="008C49B7" w14:paraId="3440D27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746DB0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Wuxi </w:t>
            </w:r>
            <w:proofErr w:type="spellStart"/>
            <w:r w:rsidRPr="008C49B7">
              <w:rPr>
                <w:rFonts w:ascii="Times New Roman" w:eastAsia="宋体" w:hAnsi="Times New Roman" w:cs="Times New Roman"/>
                <w:sz w:val="18"/>
                <w:szCs w:val="18"/>
              </w:rPr>
              <w:t>Jiexiwei</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244E4B7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6AB170C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Wuxi </w:t>
            </w:r>
            <w:proofErr w:type="spellStart"/>
            <w:r w:rsidRPr="008C49B7">
              <w:rPr>
                <w:rFonts w:ascii="Times New Roman" w:eastAsia="宋体" w:hAnsi="Times New Roman" w:cs="Times New Roman"/>
                <w:sz w:val="18"/>
                <w:szCs w:val="18"/>
              </w:rPr>
              <w:t>Jiexiwei</w:t>
            </w:r>
            <w:proofErr w:type="spellEnd"/>
            <w:r w:rsidRPr="008C49B7">
              <w:rPr>
                <w:rFonts w:ascii="Times New Roman" w:eastAsia="宋体" w:hAnsi="Times New Roman" w:cs="Times New Roman"/>
                <w:sz w:val="18"/>
                <w:szCs w:val="18"/>
              </w:rPr>
              <w:t xml:space="preserve"> Semiconductor Co., Ltd.</w:t>
            </w:r>
          </w:p>
        </w:tc>
      </w:tr>
      <w:tr w:rsidR="006B66B7" w:rsidRPr="008C49B7" w14:paraId="5541982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5D629D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and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Semiconductor</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740F1EE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03224870" w14:textId="3945FD42" w:rsidR="006B66B7" w:rsidRPr="008C49B7" w:rsidRDefault="002349C6" w:rsidP="006E75D5">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Hunan </w:t>
            </w:r>
            <w:proofErr w:type="spellStart"/>
            <w:r w:rsidR="006E75D5">
              <w:rPr>
                <w:rFonts w:ascii="Times New Roman" w:eastAsia="宋体" w:hAnsi="Times New Roman" w:cs="Times New Roman"/>
                <w:sz w:val="18"/>
                <w:szCs w:val="18"/>
              </w:rPr>
              <w:t>J</w:t>
            </w:r>
            <w:r w:rsidR="006E75D5">
              <w:rPr>
                <w:rFonts w:ascii="Times New Roman" w:eastAsia="宋体" w:hAnsi="Times New Roman" w:cs="Times New Roman" w:hint="eastAsia"/>
                <w:sz w:val="18"/>
                <w:szCs w:val="18"/>
              </w:rPr>
              <w:t>iec</w:t>
            </w:r>
            <w:r w:rsidRPr="008C49B7">
              <w:rPr>
                <w:rFonts w:ascii="Times New Roman" w:eastAsia="宋体" w:hAnsi="Times New Roman" w:cs="Times New Roman"/>
                <w:sz w:val="18"/>
                <w:szCs w:val="18"/>
              </w:rPr>
              <w:t>huwei</w:t>
            </w:r>
            <w:proofErr w:type="spellEnd"/>
            <w:r w:rsidRPr="008C49B7">
              <w:rPr>
                <w:rFonts w:ascii="Times New Roman" w:eastAsia="宋体" w:hAnsi="Times New Roman" w:cs="Times New Roman"/>
                <w:sz w:val="18"/>
                <w:szCs w:val="18"/>
              </w:rPr>
              <w:t xml:space="preserve"> Semiconductor Technology Co., Ltd.</w:t>
            </w:r>
          </w:p>
        </w:tc>
      </w:tr>
      <w:tr w:rsidR="006B66B7" w:rsidRPr="008C49B7" w14:paraId="48229C6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077C5A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Yangzhou </w:t>
            </w:r>
            <w:proofErr w:type="spellStart"/>
            <w:r w:rsidRPr="008C49B7">
              <w:rPr>
                <w:rFonts w:ascii="Times New Roman" w:eastAsia="宋体" w:hAnsi="Times New Roman" w:cs="Times New Roman"/>
                <w:sz w:val="18"/>
                <w:szCs w:val="18"/>
              </w:rPr>
              <w:t>Jieguan</w:t>
            </w:r>
            <w:proofErr w:type="spellEnd"/>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DE55C5A"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0314984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Yangzhou </w:t>
            </w:r>
            <w:proofErr w:type="spellStart"/>
            <w:r w:rsidRPr="008C49B7">
              <w:rPr>
                <w:rFonts w:ascii="Times New Roman" w:eastAsia="宋体" w:hAnsi="Times New Roman" w:cs="Times New Roman"/>
                <w:sz w:val="18"/>
                <w:szCs w:val="18"/>
              </w:rPr>
              <w:t>Jieguan</w:t>
            </w:r>
            <w:proofErr w:type="spellEnd"/>
            <w:r w:rsidRPr="008C49B7">
              <w:rPr>
                <w:rFonts w:ascii="Times New Roman" w:eastAsia="宋体" w:hAnsi="Times New Roman" w:cs="Times New Roman"/>
                <w:sz w:val="18"/>
                <w:szCs w:val="18"/>
              </w:rPr>
              <w:t xml:space="preserve"> Microelectronics Co., Ltd.</w:t>
            </w:r>
          </w:p>
        </w:tc>
      </w:tr>
      <w:tr w:rsidR="006B66B7" w:rsidRPr="004F7BC8" w14:paraId="35B71EE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2D6251B"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Japan</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1C5A74E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55443BCE" w14:textId="77777777" w:rsidR="006B66B7" w:rsidRPr="008C49B7" w:rsidRDefault="002349C6" w:rsidP="008C49B7">
            <w:pPr>
              <w:snapToGrid w:val="0"/>
              <w:rPr>
                <w:rFonts w:ascii="Times New Roman" w:eastAsia="宋体" w:hAnsi="Times New Roman" w:cs="Times New Roman"/>
                <w:sz w:val="18"/>
                <w:szCs w:val="18"/>
                <w:lang w:val="pl-PL"/>
              </w:rPr>
            </w:pPr>
            <w:r w:rsidRPr="008C49B7">
              <w:rPr>
                <w:rFonts w:ascii="Times New Roman" w:eastAsia="宋体" w:hAnsi="Times New Roman" w:cs="Times New Roman"/>
                <w:sz w:val="18"/>
                <w:szCs w:val="18"/>
                <w:lang w:val="pl-PL"/>
              </w:rPr>
              <w:t>YJ Technology Japan Co., Ltd.</w:t>
            </w:r>
          </w:p>
        </w:tc>
      </w:tr>
      <w:tr w:rsidR="006B66B7" w:rsidRPr="008C49B7" w14:paraId="286FDFC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D2998A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Singapore</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14:paraId="4FD2077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Refers to</w:t>
            </w:r>
          </w:p>
        </w:tc>
        <w:tc>
          <w:tcPr>
            <w:tcW w:w="5278" w:type="dxa"/>
            <w:tcBorders>
              <w:top w:val="single" w:sz="2" w:space="0" w:color="auto"/>
              <w:left w:val="single" w:sz="2" w:space="0" w:color="auto"/>
              <w:bottom w:val="single" w:sz="2" w:space="0" w:color="auto"/>
              <w:right w:val="single" w:sz="2" w:space="0" w:color="auto"/>
            </w:tcBorders>
            <w:vAlign w:val="center"/>
          </w:tcPr>
          <w:p w14:paraId="47768241" w14:textId="73419C10" w:rsidR="006B66B7" w:rsidRPr="008C49B7" w:rsidRDefault="00F525AD"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MCC SINGAPORE PTE.LTD</w:t>
            </w:r>
          </w:p>
        </w:tc>
      </w:tr>
    </w:tbl>
    <w:p w14:paraId="66E8281C" w14:textId="77777777" w:rsidR="006B66B7" w:rsidRPr="00F73301" w:rsidRDefault="002349C6" w:rsidP="00F73301">
      <w:pPr>
        <w:snapToGrid w:val="0"/>
        <w:spacing w:beforeLines="50" w:before="156" w:afterLines="50" w:after="156"/>
        <w:rPr>
          <w:rFonts w:ascii="Times New Roman" w:hAnsi="Times New Roman" w:cs="Times New Roman"/>
          <w:sz w:val="24"/>
          <w:szCs w:val="24"/>
        </w:rPr>
      </w:pPr>
      <w:r w:rsidRPr="00F73301">
        <w:rPr>
          <w:rFonts w:ascii="Times New Roman" w:hAnsi="Times New Roman" w:cs="Times New Roman"/>
          <w:sz w:val="24"/>
          <w:szCs w:val="24"/>
        </w:rPr>
        <w:br w:type="page"/>
      </w:r>
    </w:p>
    <w:p w14:paraId="7357A611" w14:textId="77777777" w:rsidR="006B66B7" w:rsidRPr="008C49B7" w:rsidRDefault="002349C6" w:rsidP="008C49B7">
      <w:pPr>
        <w:pStyle w:val="headingh1"/>
      </w:pPr>
      <w:bookmarkStart w:id="2" w:name="_Toc988890"/>
      <w:r w:rsidRPr="008C49B7">
        <w:lastRenderedPageBreak/>
        <w:t>Section II Company Profile and Principal Financial Indicators</w:t>
      </w:r>
      <w:bookmarkEnd w:id="2"/>
    </w:p>
    <w:p w14:paraId="048AC999" w14:textId="77777777" w:rsidR="006B66B7" w:rsidRPr="008C49B7" w:rsidRDefault="002349C6" w:rsidP="008C49B7">
      <w:pPr>
        <w:pStyle w:val="2"/>
      </w:pPr>
      <w:bookmarkStart w:id="3" w:name="_Toc988891"/>
      <w:r w:rsidRPr="008C49B7">
        <w:t xml:space="preserve">I. Corporate Information </w:t>
      </w:r>
      <w:bookmarkEnd w:id="3"/>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943"/>
        <w:gridCol w:w="1876"/>
        <w:gridCol w:w="2410"/>
        <w:gridCol w:w="2410"/>
      </w:tblGrid>
      <w:tr w:rsidR="006B66B7" w:rsidRPr="008C49B7" w14:paraId="465BA922" w14:textId="77777777" w:rsidTr="0001208F">
        <w:trPr>
          <w:jc w:val="center"/>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14:paraId="5B64A9F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Stock abbreviation</w:t>
            </w:r>
          </w:p>
        </w:tc>
        <w:tc>
          <w:tcPr>
            <w:tcW w:w="1876" w:type="dxa"/>
            <w:tcBorders>
              <w:top w:val="single" w:sz="2" w:space="0" w:color="auto"/>
              <w:left w:val="single" w:sz="2" w:space="0" w:color="auto"/>
              <w:bottom w:val="single" w:sz="2" w:space="0" w:color="auto"/>
              <w:right w:val="single" w:sz="2" w:space="0" w:color="auto"/>
            </w:tcBorders>
            <w:vAlign w:val="center"/>
          </w:tcPr>
          <w:p w14:paraId="3FD8D865"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Technology</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F283F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Stock code</w:t>
            </w:r>
          </w:p>
        </w:tc>
        <w:tc>
          <w:tcPr>
            <w:tcW w:w="2410" w:type="dxa"/>
            <w:tcBorders>
              <w:top w:val="single" w:sz="2" w:space="0" w:color="auto"/>
              <w:left w:val="single" w:sz="2" w:space="0" w:color="auto"/>
              <w:bottom w:val="single" w:sz="2" w:space="0" w:color="auto"/>
              <w:right w:val="single" w:sz="2" w:space="0" w:color="auto"/>
            </w:tcBorders>
            <w:vAlign w:val="center"/>
          </w:tcPr>
          <w:p w14:paraId="7EBD7C6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300373</w:t>
            </w:r>
          </w:p>
        </w:tc>
      </w:tr>
      <w:tr w:rsidR="006B66B7" w:rsidRPr="008C49B7" w14:paraId="0465F788" w14:textId="77777777" w:rsidTr="0001208F">
        <w:trPr>
          <w:jc w:val="center"/>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14:paraId="45744C1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Previous stock abbreviation (if any)</w:t>
            </w:r>
          </w:p>
        </w:tc>
        <w:tc>
          <w:tcPr>
            <w:tcW w:w="6696" w:type="dxa"/>
            <w:gridSpan w:val="3"/>
            <w:tcBorders>
              <w:top w:val="single" w:sz="2" w:space="0" w:color="auto"/>
              <w:left w:val="single" w:sz="2" w:space="0" w:color="auto"/>
              <w:bottom w:val="single" w:sz="2" w:space="0" w:color="auto"/>
              <w:right w:val="single" w:sz="2" w:space="0" w:color="auto"/>
            </w:tcBorders>
            <w:vAlign w:val="center"/>
          </w:tcPr>
          <w:p w14:paraId="1998579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N/A</w:t>
            </w:r>
          </w:p>
        </w:tc>
      </w:tr>
      <w:tr w:rsidR="006B66B7" w:rsidRPr="008C49B7" w14:paraId="7347FB36" w14:textId="77777777" w:rsidTr="0001208F">
        <w:trPr>
          <w:jc w:val="center"/>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14:paraId="56D5D98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Listing stock exchange</w:t>
            </w:r>
          </w:p>
        </w:tc>
        <w:tc>
          <w:tcPr>
            <w:tcW w:w="6696" w:type="dxa"/>
            <w:gridSpan w:val="3"/>
            <w:tcBorders>
              <w:top w:val="single" w:sz="2" w:space="0" w:color="auto"/>
              <w:left w:val="single" w:sz="2" w:space="0" w:color="auto"/>
              <w:bottom w:val="single" w:sz="2" w:space="0" w:color="auto"/>
              <w:right w:val="single" w:sz="2" w:space="0" w:color="auto"/>
            </w:tcBorders>
            <w:vAlign w:val="center"/>
          </w:tcPr>
          <w:p w14:paraId="6507B21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Shenzhen Stock Exchange</w:t>
            </w:r>
          </w:p>
        </w:tc>
      </w:tr>
      <w:tr w:rsidR="006B66B7" w:rsidRPr="008C49B7" w14:paraId="6F1DF808" w14:textId="77777777" w:rsidTr="0001208F">
        <w:trPr>
          <w:jc w:val="center"/>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14:paraId="2B7D452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Chinese name</w:t>
            </w:r>
          </w:p>
        </w:tc>
        <w:tc>
          <w:tcPr>
            <w:tcW w:w="6696" w:type="dxa"/>
            <w:gridSpan w:val="3"/>
            <w:tcBorders>
              <w:top w:val="single" w:sz="2" w:space="0" w:color="auto"/>
              <w:left w:val="single" w:sz="2" w:space="0" w:color="auto"/>
              <w:bottom w:val="single" w:sz="2" w:space="0" w:color="auto"/>
              <w:right w:val="single" w:sz="2" w:space="0" w:color="auto"/>
            </w:tcBorders>
            <w:vAlign w:val="center"/>
          </w:tcPr>
          <w:p w14:paraId="7FD37AE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Yangzhou </w:t>
            </w: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Electronic Technology Co., Ltd.</w:t>
            </w:r>
          </w:p>
        </w:tc>
      </w:tr>
      <w:tr w:rsidR="006B66B7" w:rsidRPr="008C49B7" w14:paraId="62EEB4CA" w14:textId="77777777" w:rsidTr="0001208F">
        <w:trPr>
          <w:jc w:val="center"/>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14:paraId="6BC1332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Chinese abbreviation (if any)</w:t>
            </w:r>
          </w:p>
        </w:tc>
        <w:tc>
          <w:tcPr>
            <w:tcW w:w="6696" w:type="dxa"/>
            <w:gridSpan w:val="3"/>
            <w:tcBorders>
              <w:top w:val="single" w:sz="2" w:space="0" w:color="auto"/>
              <w:left w:val="single" w:sz="2" w:space="0" w:color="auto"/>
              <w:bottom w:val="single" w:sz="2" w:space="0" w:color="auto"/>
              <w:right w:val="single" w:sz="2" w:space="0" w:color="auto"/>
            </w:tcBorders>
            <w:vAlign w:val="center"/>
          </w:tcPr>
          <w:p w14:paraId="6DD36C4D"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Technology</w:t>
            </w:r>
          </w:p>
        </w:tc>
      </w:tr>
      <w:tr w:rsidR="006B66B7" w:rsidRPr="008C49B7" w14:paraId="33DEFD7B" w14:textId="77777777" w:rsidTr="0001208F">
        <w:trPr>
          <w:jc w:val="center"/>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14:paraId="7A9A9C1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English name (if any)</w:t>
            </w:r>
          </w:p>
        </w:tc>
        <w:tc>
          <w:tcPr>
            <w:tcW w:w="6696" w:type="dxa"/>
            <w:gridSpan w:val="3"/>
            <w:tcBorders>
              <w:top w:val="single" w:sz="2" w:space="0" w:color="auto"/>
              <w:left w:val="single" w:sz="2" w:space="0" w:color="auto"/>
              <w:bottom w:val="single" w:sz="2" w:space="0" w:color="auto"/>
              <w:right w:val="single" w:sz="2" w:space="0" w:color="auto"/>
            </w:tcBorders>
            <w:vAlign w:val="center"/>
          </w:tcPr>
          <w:p w14:paraId="1863487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Yangzhou </w:t>
            </w: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Electronic Technology Co., Ltd.</w:t>
            </w:r>
          </w:p>
        </w:tc>
      </w:tr>
      <w:tr w:rsidR="006B66B7" w:rsidRPr="008C49B7" w14:paraId="6BBAB21E" w14:textId="77777777" w:rsidTr="0001208F">
        <w:trPr>
          <w:jc w:val="center"/>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14:paraId="0CAF16C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English abbreviation (if any)</w:t>
            </w:r>
          </w:p>
        </w:tc>
        <w:tc>
          <w:tcPr>
            <w:tcW w:w="6696" w:type="dxa"/>
            <w:gridSpan w:val="3"/>
            <w:tcBorders>
              <w:top w:val="single" w:sz="2" w:space="0" w:color="auto"/>
              <w:left w:val="single" w:sz="2" w:space="0" w:color="auto"/>
              <w:bottom w:val="single" w:sz="2" w:space="0" w:color="auto"/>
              <w:right w:val="single" w:sz="2" w:space="0" w:color="auto"/>
            </w:tcBorders>
            <w:vAlign w:val="center"/>
          </w:tcPr>
          <w:p w14:paraId="34098186" w14:textId="77777777" w:rsidR="006B66B7" w:rsidRPr="008C49B7" w:rsidRDefault="002349C6" w:rsidP="008C49B7">
            <w:pPr>
              <w:snapToGrid w:val="0"/>
              <w:rPr>
                <w:rFonts w:ascii="Times New Roman" w:eastAsia="宋体" w:hAnsi="Times New Roman" w:cs="Times New Roman"/>
                <w:sz w:val="18"/>
                <w:szCs w:val="18"/>
              </w:rPr>
            </w:pPr>
            <w:proofErr w:type="spellStart"/>
            <w:r w:rsidRPr="008C49B7">
              <w:rPr>
                <w:rFonts w:ascii="Times New Roman" w:eastAsia="宋体" w:hAnsi="Times New Roman" w:cs="Times New Roman"/>
                <w:sz w:val="18"/>
                <w:szCs w:val="18"/>
              </w:rPr>
              <w:t>Yangjie</w:t>
            </w:r>
            <w:proofErr w:type="spellEnd"/>
            <w:r w:rsidRPr="008C49B7">
              <w:rPr>
                <w:rFonts w:ascii="Times New Roman" w:eastAsia="宋体" w:hAnsi="Times New Roman" w:cs="Times New Roman"/>
                <w:sz w:val="18"/>
                <w:szCs w:val="18"/>
              </w:rPr>
              <w:t xml:space="preserve"> Technology</w:t>
            </w:r>
          </w:p>
        </w:tc>
      </w:tr>
      <w:tr w:rsidR="006B66B7" w:rsidRPr="008C49B7" w14:paraId="7C66C867" w14:textId="77777777" w:rsidTr="0001208F">
        <w:trPr>
          <w:jc w:val="center"/>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14:paraId="74500AD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Legal representative of the Company</w:t>
            </w:r>
          </w:p>
        </w:tc>
        <w:tc>
          <w:tcPr>
            <w:tcW w:w="6696" w:type="dxa"/>
            <w:gridSpan w:val="3"/>
            <w:tcBorders>
              <w:top w:val="single" w:sz="2" w:space="0" w:color="auto"/>
              <w:left w:val="single" w:sz="2" w:space="0" w:color="auto"/>
              <w:bottom w:val="single" w:sz="2" w:space="0" w:color="auto"/>
              <w:right w:val="single" w:sz="2" w:space="0" w:color="auto"/>
            </w:tcBorders>
            <w:vAlign w:val="center"/>
          </w:tcPr>
          <w:p w14:paraId="3DBC507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Liang Qin</w:t>
            </w:r>
          </w:p>
        </w:tc>
      </w:tr>
    </w:tbl>
    <w:p w14:paraId="0E2310F4" w14:textId="77777777" w:rsidR="006B66B7" w:rsidRPr="00F73301" w:rsidRDefault="002349C6" w:rsidP="008C49B7">
      <w:pPr>
        <w:pStyle w:val="2"/>
      </w:pPr>
      <w:bookmarkStart w:id="4" w:name="_Toc988892"/>
      <w:r w:rsidRPr="00F73301">
        <w:t>II. Contacts and Contact Information</w:t>
      </w:r>
      <w:bookmarkEnd w:id="4"/>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6B66B7" w:rsidRPr="008C49B7" w14:paraId="2D8F10D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4E2C17" w14:textId="77777777" w:rsidR="006B66B7" w:rsidRPr="008C49B7" w:rsidRDefault="006B66B7" w:rsidP="008C49B7">
            <w:pPr>
              <w:snapToGrid w:val="0"/>
              <w:rPr>
                <w:rFonts w:ascii="Times New Roman"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FE6B3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Board Secretary</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62DB9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Securities Affairs Representative</w:t>
            </w:r>
          </w:p>
        </w:tc>
      </w:tr>
      <w:tr w:rsidR="006B66B7" w:rsidRPr="008C49B7" w14:paraId="13F1C31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84D70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Name</w:t>
            </w:r>
          </w:p>
        </w:tc>
        <w:tc>
          <w:tcPr>
            <w:tcW w:w="3213" w:type="dxa"/>
            <w:tcBorders>
              <w:top w:val="single" w:sz="2" w:space="0" w:color="auto"/>
              <w:left w:val="single" w:sz="2" w:space="0" w:color="auto"/>
              <w:bottom w:val="single" w:sz="2" w:space="0" w:color="auto"/>
              <w:right w:val="single" w:sz="2" w:space="0" w:color="auto"/>
            </w:tcBorders>
            <w:vAlign w:val="center"/>
          </w:tcPr>
          <w:p w14:paraId="573ADF3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Fan </w:t>
            </w:r>
            <w:proofErr w:type="spellStart"/>
            <w:r w:rsidRPr="008C49B7">
              <w:rPr>
                <w:rFonts w:ascii="Times New Roman" w:eastAsia="宋体" w:hAnsi="Times New Roman" w:cs="Times New Roman"/>
                <w:sz w:val="18"/>
                <w:szCs w:val="18"/>
              </w:rPr>
              <w:t>Fengbin</w:t>
            </w:r>
            <w:proofErr w:type="spellEnd"/>
          </w:p>
        </w:tc>
        <w:tc>
          <w:tcPr>
            <w:tcW w:w="3213" w:type="dxa"/>
            <w:tcBorders>
              <w:top w:val="single" w:sz="2" w:space="0" w:color="auto"/>
              <w:left w:val="single" w:sz="2" w:space="0" w:color="auto"/>
              <w:bottom w:val="single" w:sz="2" w:space="0" w:color="auto"/>
              <w:right w:val="single" w:sz="2" w:space="0" w:color="auto"/>
            </w:tcBorders>
            <w:vAlign w:val="center"/>
          </w:tcPr>
          <w:p w14:paraId="08933F5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Qin Nan</w:t>
            </w:r>
          </w:p>
        </w:tc>
      </w:tr>
      <w:tr w:rsidR="006B66B7" w:rsidRPr="008C49B7" w14:paraId="3C89542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D57AE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Contact address</w:t>
            </w:r>
          </w:p>
        </w:tc>
        <w:tc>
          <w:tcPr>
            <w:tcW w:w="3213" w:type="dxa"/>
            <w:tcBorders>
              <w:top w:val="single" w:sz="2" w:space="0" w:color="auto"/>
              <w:left w:val="single" w:sz="2" w:space="0" w:color="auto"/>
              <w:bottom w:val="single" w:sz="2" w:space="0" w:color="auto"/>
              <w:right w:val="single" w:sz="2" w:space="0" w:color="auto"/>
            </w:tcBorders>
            <w:vAlign w:val="center"/>
          </w:tcPr>
          <w:p w14:paraId="64D8E94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68 </w:t>
            </w:r>
            <w:proofErr w:type="spellStart"/>
            <w:r w:rsidRPr="008C49B7">
              <w:rPr>
                <w:rFonts w:ascii="Times New Roman" w:eastAsia="宋体" w:hAnsi="Times New Roman" w:cs="Times New Roman"/>
                <w:sz w:val="18"/>
                <w:szCs w:val="18"/>
              </w:rPr>
              <w:t>Xinganquan</w:t>
            </w:r>
            <w:proofErr w:type="spellEnd"/>
            <w:r w:rsidRPr="008C49B7">
              <w:rPr>
                <w:rFonts w:ascii="Times New Roman" w:eastAsia="宋体" w:hAnsi="Times New Roman" w:cs="Times New Roman"/>
                <w:sz w:val="18"/>
                <w:szCs w:val="18"/>
              </w:rPr>
              <w:t xml:space="preserve"> Avenue, </w:t>
            </w:r>
            <w:proofErr w:type="spellStart"/>
            <w:r w:rsidRPr="008C49B7">
              <w:rPr>
                <w:rFonts w:ascii="Times New Roman" w:eastAsia="宋体" w:hAnsi="Times New Roman" w:cs="Times New Roman"/>
                <w:sz w:val="18"/>
                <w:szCs w:val="18"/>
              </w:rPr>
              <w:t>Hanjiang</w:t>
            </w:r>
            <w:proofErr w:type="spellEnd"/>
            <w:r w:rsidRPr="008C49B7">
              <w:rPr>
                <w:rFonts w:ascii="Times New Roman" w:eastAsia="宋体" w:hAnsi="Times New Roman" w:cs="Times New Roman"/>
                <w:sz w:val="18"/>
                <w:szCs w:val="18"/>
              </w:rPr>
              <w:t xml:space="preserve"> District, Yangzhou City, Jiangsu Province</w:t>
            </w:r>
          </w:p>
        </w:tc>
        <w:tc>
          <w:tcPr>
            <w:tcW w:w="3213" w:type="dxa"/>
            <w:tcBorders>
              <w:top w:val="single" w:sz="2" w:space="0" w:color="auto"/>
              <w:left w:val="single" w:sz="2" w:space="0" w:color="auto"/>
              <w:bottom w:val="single" w:sz="2" w:space="0" w:color="auto"/>
              <w:right w:val="single" w:sz="2" w:space="0" w:color="auto"/>
            </w:tcBorders>
            <w:vAlign w:val="center"/>
          </w:tcPr>
          <w:p w14:paraId="707B12B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68 </w:t>
            </w:r>
            <w:proofErr w:type="spellStart"/>
            <w:r w:rsidRPr="008C49B7">
              <w:rPr>
                <w:rFonts w:ascii="Times New Roman" w:eastAsia="宋体" w:hAnsi="Times New Roman" w:cs="Times New Roman"/>
                <w:sz w:val="18"/>
                <w:szCs w:val="18"/>
              </w:rPr>
              <w:t>Xinganquan</w:t>
            </w:r>
            <w:proofErr w:type="spellEnd"/>
            <w:r w:rsidRPr="008C49B7">
              <w:rPr>
                <w:rFonts w:ascii="Times New Roman" w:eastAsia="宋体" w:hAnsi="Times New Roman" w:cs="Times New Roman"/>
                <w:sz w:val="18"/>
                <w:szCs w:val="18"/>
              </w:rPr>
              <w:t xml:space="preserve"> Avenue, </w:t>
            </w:r>
            <w:proofErr w:type="spellStart"/>
            <w:r w:rsidRPr="008C49B7">
              <w:rPr>
                <w:rFonts w:ascii="Times New Roman" w:eastAsia="宋体" w:hAnsi="Times New Roman" w:cs="Times New Roman"/>
                <w:sz w:val="18"/>
                <w:szCs w:val="18"/>
              </w:rPr>
              <w:t>Hanjiang</w:t>
            </w:r>
            <w:proofErr w:type="spellEnd"/>
            <w:r w:rsidRPr="008C49B7">
              <w:rPr>
                <w:rFonts w:ascii="Times New Roman" w:eastAsia="宋体" w:hAnsi="Times New Roman" w:cs="Times New Roman"/>
                <w:sz w:val="18"/>
                <w:szCs w:val="18"/>
              </w:rPr>
              <w:t xml:space="preserve"> District, Yangzhou City, Jiangsu Province</w:t>
            </w:r>
          </w:p>
        </w:tc>
      </w:tr>
      <w:tr w:rsidR="006B66B7" w:rsidRPr="008C49B7" w14:paraId="0274BD5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6EA1E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Telephone</w:t>
            </w:r>
          </w:p>
        </w:tc>
        <w:tc>
          <w:tcPr>
            <w:tcW w:w="3213" w:type="dxa"/>
            <w:tcBorders>
              <w:top w:val="single" w:sz="2" w:space="0" w:color="auto"/>
              <w:left w:val="single" w:sz="2" w:space="0" w:color="auto"/>
              <w:bottom w:val="single" w:sz="2" w:space="0" w:color="auto"/>
              <w:right w:val="single" w:sz="2" w:space="0" w:color="auto"/>
            </w:tcBorders>
            <w:vAlign w:val="center"/>
          </w:tcPr>
          <w:p w14:paraId="5E46022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0514-80889866</w:t>
            </w:r>
          </w:p>
        </w:tc>
        <w:tc>
          <w:tcPr>
            <w:tcW w:w="3213" w:type="dxa"/>
            <w:tcBorders>
              <w:top w:val="single" w:sz="2" w:space="0" w:color="auto"/>
              <w:left w:val="single" w:sz="2" w:space="0" w:color="auto"/>
              <w:bottom w:val="single" w:sz="2" w:space="0" w:color="auto"/>
              <w:right w:val="single" w:sz="2" w:space="0" w:color="auto"/>
            </w:tcBorders>
            <w:vAlign w:val="center"/>
          </w:tcPr>
          <w:p w14:paraId="3ECE112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0514-80889866</w:t>
            </w:r>
          </w:p>
        </w:tc>
      </w:tr>
      <w:tr w:rsidR="006B66B7" w:rsidRPr="008C49B7" w14:paraId="1C10E8F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917B7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Fax</w:t>
            </w:r>
          </w:p>
        </w:tc>
        <w:tc>
          <w:tcPr>
            <w:tcW w:w="3213" w:type="dxa"/>
            <w:tcBorders>
              <w:top w:val="single" w:sz="2" w:space="0" w:color="auto"/>
              <w:left w:val="single" w:sz="2" w:space="0" w:color="auto"/>
              <w:bottom w:val="single" w:sz="2" w:space="0" w:color="auto"/>
              <w:right w:val="single" w:sz="2" w:space="0" w:color="auto"/>
            </w:tcBorders>
            <w:vAlign w:val="center"/>
          </w:tcPr>
          <w:p w14:paraId="0F3A668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0514-87943666</w:t>
            </w:r>
          </w:p>
        </w:tc>
        <w:tc>
          <w:tcPr>
            <w:tcW w:w="3213" w:type="dxa"/>
            <w:tcBorders>
              <w:top w:val="single" w:sz="2" w:space="0" w:color="auto"/>
              <w:left w:val="single" w:sz="2" w:space="0" w:color="auto"/>
              <w:bottom w:val="single" w:sz="2" w:space="0" w:color="auto"/>
              <w:right w:val="single" w:sz="2" w:space="0" w:color="auto"/>
            </w:tcBorders>
            <w:vAlign w:val="center"/>
          </w:tcPr>
          <w:p w14:paraId="4E7C9299"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0514-87943666</w:t>
            </w:r>
          </w:p>
        </w:tc>
      </w:tr>
      <w:tr w:rsidR="006B66B7" w:rsidRPr="008C49B7" w14:paraId="7319E5B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C5854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E-mail</w:t>
            </w:r>
          </w:p>
        </w:tc>
        <w:tc>
          <w:tcPr>
            <w:tcW w:w="3213" w:type="dxa"/>
            <w:tcBorders>
              <w:top w:val="single" w:sz="2" w:space="0" w:color="auto"/>
              <w:left w:val="single" w:sz="2" w:space="0" w:color="auto"/>
              <w:bottom w:val="single" w:sz="2" w:space="0" w:color="auto"/>
              <w:right w:val="single" w:sz="2" w:space="0" w:color="auto"/>
            </w:tcBorders>
            <w:vAlign w:val="center"/>
          </w:tcPr>
          <w:p w14:paraId="6797985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zjb@21yangjie.com</w:t>
            </w:r>
          </w:p>
        </w:tc>
        <w:tc>
          <w:tcPr>
            <w:tcW w:w="3213" w:type="dxa"/>
            <w:tcBorders>
              <w:top w:val="single" w:sz="2" w:space="0" w:color="auto"/>
              <w:left w:val="single" w:sz="2" w:space="0" w:color="auto"/>
              <w:bottom w:val="single" w:sz="2" w:space="0" w:color="auto"/>
              <w:right w:val="single" w:sz="2" w:space="0" w:color="auto"/>
            </w:tcBorders>
            <w:vAlign w:val="center"/>
          </w:tcPr>
          <w:p w14:paraId="3DBC126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zjb@21yangjie.com</w:t>
            </w:r>
          </w:p>
        </w:tc>
      </w:tr>
    </w:tbl>
    <w:p w14:paraId="438F369D" w14:textId="77777777" w:rsidR="006B66B7" w:rsidRPr="00F73301" w:rsidRDefault="002349C6" w:rsidP="008C49B7">
      <w:pPr>
        <w:pStyle w:val="2"/>
      </w:pPr>
      <w:bookmarkStart w:id="5" w:name="_Toc988893"/>
      <w:r w:rsidRPr="00F73301">
        <w:t>III. Other Information</w:t>
      </w:r>
      <w:bookmarkEnd w:id="5"/>
    </w:p>
    <w:p w14:paraId="682EEC4A" w14:textId="77777777" w:rsidR="006B66B7" w:rsidRPr="008C49B7" w:rsidRDefault="002349C6" w:rsidP="008C49B7">
      <w:pPr>
        <w:pStyle w:val="3"/>
      </w:pPr>
      <w:bookmarkStart w:id="6" w:name="_Toc988894"/>
      <w:r w:rsidRPr="008C49B7">
        <w:t>1. Contact</w:t>
      </w:r>
      <w:bookmarkEnd w:id="6"/>
    </w:p>
    <w:p w14:paraId="6B2BC91E"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If the place of incorporation, office address and postal code, website, and e-mail of the Company changed in the Reporting Period</w:t>
      </w:r>
    </w:p>
    <w:p w14:paraId="09CF75DE" w14:textId="6472AD40"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8C49B7"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76E983C3"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place of incorporation, office address and postal code, website, and e-mail of the Company did not change in the Reporting Period. For details, please refer to the 2022 Annual Report.</w:t>
      </w:r>
    </w:p>
    <w:p w14:paraId="7770BFEE" w14:textId="77777777" w:rsidR="006B66B7" w:rsidRPr="00F73301" w:rsidRDefault="002349C6" w:rsidP="008C49B7">
      <w:pPr>
        <w:pStyle w:val="3"/>
      </w:pPr>
      <w:bookmarkStart w:id="7" w:name="_Toc988895"/>
      <w:r w:rsidRPr="00F73301">
        <w:t>2. Information disclosure and storage location</w:t>
      </w:r>
      <w:bookmarkEnd w:id="7"/>
    </w:p>
    <w:p w14:paraId="3B800379"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If information disclosure and storage location changed in the Reporting Period</w:t>
      </w:r>
    </w:p>
    <w:p w14:paraId="39121618" w14:textId="4A0F69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8C49B7"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5E66818"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website of the stock exchange and the name and website of media where the Company disclosed its semi-annual reports and the place where the Company's semi-annual reports were stored did not change in the Reporting Period. For details, please refer to the 2022 Annual Report.</w:t>
      </w:r>
    </w:p>
    <w:p w14:paraId="73341E3B" w14:textId="77777777" w:rsidR="006B66B7" w:rsidRPr="00F73301" w:rsidRDefault="002349C6" w:rsidP="008C49B7">
      <w:pPr>
        <w:pStyle w:val="3"/>
      </w:pPr>
      <w:bookmarkStart w:id="8" w:name="_Toc988896"/>
      <w:r w:rsidRPr="00F73301">
        <w:t>3. Changes in the registered information</w:t>
      </w:r>
      <w:bookmarkEnd w:id="8"/>
    </w:p>
    <w:p w14:paraId="3178C282"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If the registered information changed in the Reporting Period?</w:t>
      </w:r>
    </w:p>
    <w:p w14:paraId="00CABF7C" w14:textId="4D5C6DB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8C49B7"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7D20ABBE"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registered information of the Company did not change in the Reporting Period. For details, please refer to the 2022 Annual Report.</w:t>
      </w:r>
    </w:p>
    <w:p w14:paraId="6969A4F6" w14:textId="77777777" w:rsidR="006B66B7" w:rsidRPr="00F73301" w:rsidRDefault="002349C6" w:rsidP="008C49B7">
      <w:pPr>
        <w:pStyle w:val="2"/>
      </w:pPr>
      <w:bookmarkStart w:id="9" w:name="_Toc988897"/>
      <w:r w:rsidRPr="00F73301">
        <w:t>IV. Principal Accounting Data and Financial Indicators</w:t>
      </w:r>
      <w:bookmarkEnd w:id="9"/>
    </w:p>
    <w:p w14:paraId="14EA7060"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If the Company needs to retrospectively adjust or restate accounting data for previous years</w:t>
      </w:r>
    </w:p>
    <w:p w14:paraId="00E5C1C9" w14:textId="3DEE3AEC"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□Yes </w:t>
      </w:r>
      <w:r w:rsidR="008C49B7"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6B66B7" w:rsidRPr="008C49B7" w14:paraId="79C53B35"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947E442" w14:textId="77777777" w:rsidR="006B66B7" w:rsidRPr="008C49B7" w:rsidRDefault="006B66B7" w:rsidP="008C49B7">
            <w:pPr>
              <w:snapToGrid w:val="0"/>
              <w:rPr>
                <w:rFonts w:ascii="Times New Roman"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0C803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The Reporting Period</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9F5A7E"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Same period of the previous year</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45F5ED1"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Increase/decrease from the same period of the previous year</w:t>
            </w:r>
          </w:p>
        </w:tc>
      </w:tr>
      <w:tr w:rsidR="006B66B7" w:rsidRPr="008C49B7" w14:paraId="3B5C3CD3"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E7D64C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Operating revenue (RMB)</w:t>
            </w:r>
          </w:p>
        </w:tc>
        <w:tc>
          <w:tcPr>
            <w:tcW w:w="2410" w:type="dxa"/>
            <w:tcBorders>
              <w:top w:val="single" w:sz="2" w:space="0" w:color="auto"/>
              <w:left w:val="single" w:sz="2" w:space="0" w:color="auto"/>
              <w:bottom w:val="single" w:sz="2" w:space="0" w:color="auto"/>
              <w:right w:val="single" w:sz="2" w:space="0" w:color="auto"/>
            </w:tcBorders>
            <w:vAlign w:val="center"/>
          </w:tcPr>
          <w:p w14:paraId="4B90F2C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2,624,742,386.62</w:t>
            </w:r>
          </w:p>
        </w:tc>
        <w:tc>
          <w:tcPr>
            <w:tcW w:w="2410" w:type="dxa"/>
            <w:tcBorders>
              <w:top w:val="single" w:sz="2" w:space="0" w:color="auto"/>
              <w:left w:val="single" w:sz="2" w:space="0" w:color="auto"/>
              <w:bottom w:val="single" w:sz="2" w:space="0" w:color="auto"/>
              <w:right w:val="single" w:sz="2" w:space="0" w:color="auto"/>
            </w:tcBorders>
            <w:vAlign w:val="center"/>
          </w:tcPr>
          <w:p w14:paraId="12BD874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2,951,318,679.45</w:t>
            </w:r>
          </w:p>
        </w:tc>
        <w:tc>
          <w:tcPr>
            <w:tcW w:w="2410" w:type="dxa"/>
            <w:tcBorders>
              <w:top w:val="single" w:sz="2" w:space="0" w:color="auto"/>
              <w:left w:val="single" w:sz="2" w:space="0" w:color="auto"/>
              <w:bottom w:val="single" w:sz="2" w:space="0" w:color="auto"/>
              <w:right w:val="single" w:sz="2" w:space="0" w:color="auto"/>
            </w:tcBorders>
            <w:vAlign w:val="center"/>
          </w:tcPr>
          <w:p w14:paraId="0BFB1B8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-11.07%</w:t>
            </w:r>
          </w:p>
        </w:tc>
      </w:tr>
      <w:tr w:rsidR="006B66B7" w:rsidRPr="008C49B7" w14:paraId="448C1F54"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C962D4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Net profit attributable to shareholders of the listed company (RMB)</w:t>
            </w:r>
          </w:p>
        </w:tc>
        <w:tc>
          <w:tcPr>
            <w:tcW w:w="2410" w:type="dxa"/>
            <w:tcBorders>
              <w:top w:val="single" w:sz="2" w:space="0" w:color="auto"/>
              <w:left w:val="single" w:sz="2" w:space="0" w:color="auto"/>
              <w:bottom w:val="single" w:sz="2" w:space="0" w:color="auto"/>
              <w:right w:val="single" w:sz="2" w:space="0" w:color="auto"/>
            </w:tcBorders>
            <w:vAlign w:val="center"/>
          </w:tcPr>
          <w:p w14:paraId="08534F8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410,749,362.62</w:t>
            </w:r>
          </w:p>
        </w:tc>
        <w:tc>
          <w:tcPr>
            <w:tcW w:w="2410" w:type="dxa"/>
            <w:tcBorders>
              <w:top w:val="single" w:sz="2" w:space="0" w:color="auto"/>
              <w:left w:val="single" w:sz="2" w:space="0" w:color="auto"/>
              <w:bottom w:val="single" w:sz="2" w:space="0" w:color="auto"/>
              <w:right w:val="single" w:sz="2" w:space="0" w:color="auto"/>
            </w:tcBorders>
            <w:vAlign w:val="center"/>
          </w:tcPr>
          <w:p w14:paraId="7F1F1FB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587,199,373.84</w:t>
            </w:r>
          </w:p>
        </w:tc>
        <w:tc>
          <w:tcPr>
            <w:tcW w:w="2410" w:type="dxa"/>
            <w:tcBorders>
              <w:top w:val="single" w:sz="2" w:space="0" w:color="auto"/>
              <w:left w:val="single" w:sz="2" w:space="0" w:color="auto"/>
              <w:bottom w:val="single" w:sz="2" w:space="0" w:color="auto"/>
              <w:right w:val="single" w:sz="2" w:space="0" w:color="auto"/>
            </w:tcBorders>
            <w:vAlign w:val="center"/>
          </w:tcPr>
          <w:p w14:paraId="680FE33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-30.05%</w:t>
            </w:r>
          </w:p>
        </w:tc>
      </w:tr>
      <w:tr w:rsidR="006B66B7" w:rsidRPr="008C49B7" w14:paraId="1EB580A3"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9AA06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Net profit net of non-recurring gains and losses attributable to shareholders of the listed company (RMB)</w:t>
            </w:r>
          </w:p>
        </w:tc>
        <w:tc>
          <w:tcPr>
            <w:tcW w:w="2410" w:type="dxa"/>
            <w:tcBorders>
              <w:top w:val="single" w:sz="2" w:space="0" w:color="auto"/>
              <w:left w:val="single" w:sz="2" w:space="0" w:color="auto"/>
              <w:bottom w:val="single" w:sz="2" w:space="0" w:color="auto"/>
              <w:right w:val="single" w:sz="2" w:space="0" w:color="auto"/>
            </w:tcBorders>
            <w:vAlign w:val="center"/>
          </w:tcPr>
          <w:p w14:paraId="1D083C7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409,998,628.24</w:t>
            </w:r>
          </w:p>
        </w:tc>
        <w:tc>
          <w:tcPr>
            <w:tcW w:w="2410" w:type="dxa"/>
            <w:tcBorders>
              <w:top w:val="single" w:sz="2" w:space="0" w:color="auto"/>
              <w:left w:val="single" w:sz="2" w:space="0" w:color="auto"/>
              <w:bottom w:val="single" w:sz="2" w:space="0" w:color="auto"/>
              <w:right w:val="single" w:sz="2" w:space="0" w:color="auto"/>
            </w:tcBorders>
            <w:vAlign w:val="center"/>
          </w:tcPr>
          <w:p w14:paraId="6003E7F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573,484,824.72</w:t>
            </w:r>
          </w:p>
        </w:tc>
        <w:tc>
          <w:tcPr>
            <w:tcW w:w="2410" w:type="dxa"/>
            <w:tcBorders>
              <w:top w:val="single" w:sz="2" w:space="0" w:color="auto"/>
              <w:left w:val="single" w:sz="2" w:space="0" w:color="auto"/>
              <w:bottom w:val="single" w:sz="2" w:space="0" w:color="auto"/>
              <w:right w:val="single" w:sz="2" w:space="0" w:color="auto"/>
            </w:tcBorders>
            <w:vAlign w:val="center"/>
          </w:tcPr>
          <w:p w14:paraId="10E7911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-28.51%</w:t>
            </w:r>
          </w:p>
        </w:tc>
      </w:tr>
      <w:tr w:rsidR="006B66B7" w:rsidRPr="008C49B7" w14:paraId="7615DBD4"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14B4E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Net cash flows from operating activities (RMB)</w:t>
            </w:r>
          </w:p>
        </w:tc>
        <w:tc>
          <w:tcPr>
            <w:tcW w:w="2410" w:type="dxa"/>
            <w:tcBorders>
              <w:top w:val="single" w:sz="2" w:space="0" w:color="auto"/>
              <w:left w:val="single" w:sz="2" w:space="0" w:color="auto"/>
              <w:bottom w:val="single" w:sz="2" w:space="0" w:color="auto"/>
              <w:right w:val="single" w:sz="2" w:space="0" w:color="auto"/>
            </w:tcBorders>
            <w:vAlign w:val="center"/>
          </w:tcPr>
          <w:p w14:paraId="196D950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270,551,262.13</w:t>
            </w:r>
          </w:p>
        </w:tc>
        <w:tc>
          <w:tcPr>
            <w:tcW w:w="2410" w:type="dxa"/>
            <w:tcBorders>
              <w:top w:val="single" w:sz="2" w:space="0" w:color="auto"/>
              <w:left w:val="single" w:sz="2" w:space="0" w:color="auto"/>
              <w:bottom w:val="single" w:sz="2" w:space="0" w:color="auto"/>
              <w:right w:val="single" w:sz="2" w:space="0" w:color="auto"/>
            </w:tcBorders>
            <w:vAlign w:val="center"/>
          </w:tcPr>
          <w:p w14:paraId="1BFC135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500,071,932.98</w:t>
            </w:r>
          </w:p>
        </w:tc>
        <w:tc>
          <w:tcPr>
            <w:tcW w:w="2410" w:type="dxa"/>
            <w:tcBorders>
              <w:top w:val="single" w:sz="2" w:space="0" w:color="auto"/>
              <w:left w:val="single" w:sz="2" w:space="0" w:color="auto"/>
              <w:bottom w:val="single" w:sz="2" w:space="0" w:color="auto"/>
              <w:right w:val="single" w:sz="2" w:space="0" w:color="auto"/>
            </w:tcBorders>
            <w:vAlign w:val="center"/>
          </w:tcPr>
          <w:p w14:paraId="307E3DC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-45.90%</w:t>
            </w:r>
          </w:p>
        </w:tc>
      </w:tr>
      <w:tr w:rsidR="006B66B7" w:rsidRPr="008C49B7" w14:paraId="02C68B77"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F9F459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EPS-basic (RMB/share)</w:t>
            </w:r>
          </w:p>
        </w:tc>
        <w:tc>
          <w:tcPr>
            <w:tcW w:w="2410" w:type="dxa"/>
            <w:tcBorders>
              <w:top w:val="single" w:sz="2" w:space="0" w:color="auto"/>
              <w:left w:val="single" w:sz="2" w:space="0" w:color="auto"/>
              <w:bottom w:val="single" w:sz="2" w:space="0" w:color="auto"/>
              <w:right w:val="single" w:sz="2" w:space="0" w:color="auto"/>
            </w:tcBorders>
            <w:vAlign w:val="center"/>
          </w:tcPr>
          <w:p w14:paraId="5C3E333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0.79</w:t>
            </w:r>
          </w:p>
        </w:tc>
        <w:tc>
          <w:tcPr>
            <w:tcW w:w="2410" w:type="dxa"/>
            <w:tcBorders>
              <w:top w:val="single" w:sz="2" w:space="0" w:color="auto"/>
              <w:left w:val="single" w:sz="2" w:space="0" w:color="auto"/>
              <w:bottom w:val="single" w:sz="2" w:space="0" w:color="auto"/>
              <w:right w:val="single" w:sz="2" w:space="0" w:color="auto"/>
            </w:tcBorders>
            <w:vAlign w:val="center"/>
          </w:tcPr>
          <w:p w14:paraId="59405C2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1.15</w:t>
            </w:r>
          </w:p>
        </w:tc>
        <w:tc>
          <w:tcPr>
            <w:tcW w:w="2410" w:type="dxa"/>
            <w:tcBorders>
              <w:top w:val="single" w:sz="2" w:space="0" w:color="auto"/>
              <w:left w:val="single" w:sz="2" w:space="0" w:color="auto"/>
              <w:bottom w:val="single" w:sz="2" w:space="0" w:color="auto"/>
              <w:right w:val="single" w:sz="2" w:space="0" w:color="auto"/>
            </w:tcBorders>
            <w:vAlign w:val="center"/>
          </w:tcPr>
          <w:p w14:paraId="151C892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-31.30%</w:t>
            </w:r>
          </w:p>
        </w:tc>
      </w:tr>
      <w:tr w:rsidR="006B66B7" w:rsidRPr="008C49B7" w14:paraId="0757EFC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5E1161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EPS-diluted (RMB/share)</w:t>
            </w:r>
          </w:p>
        </w:tc>
        <w:tc>
          <w:tcPr>
            <w:tcW w:w="2410" w:type="dxa"/>
            <w:tcBorders>
              <w:top w:val="single" w:sz="2" w:space="0" w:color="auto"/>
              <w:left w:val="single" w:sz="2" w:space="0" w:color="auto"/>
              <w:bottom w:val="single" w:sz="2" w:space="0" w:color="auto"/>
              <w:right w:val="single" w:sz="2" w:space="0" w:color="auto"/>
            </w:tcBorders>
            <w:vAlign w:val="center"/>
          </w:tcPr>
          <w:p w14:paraId="7719639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0.79</w:t>
            </w:r>
          </w:p>
        </w:tc>
        <w:tc>
          <w:tcPr>
            <w:tcW w:w="2410" w:type="dxa"/>
            <w:tcBorders>
              <w:top w:val="single" w:sz="2" w:space="0" w:color="auto"/>
              <w:left w:val="single" w:sz="2" w:space="0" w:color="auto"/>
              <w:bottom w:val="single" w:sz="2" w:space="0" w:color="auto"/>
              <w:right w:val="single" w:sz="2" w:space="0" w:color="auto"/>
            </w:tcBorders>
            <w:vAlign w:val="center"/>
          </w:tcPr>
          <w:p w14:paraId="240EBD0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1.14</w:t>
            </w:r>
          </w:p>
        </w:tc>
        <w:tc>
          <w:tcPr>
            <w:tcW w:w="2410" w:type="dxa"/>
            <w:tcBorders>
              <w:top w:val="single" w:sz="2" w:space="0" w:color="auto"/>
              <w:left w:val="single" w:sz="2" w:space="0" w:color="auto"/>
              <w:bottom w:val="single" w:sz="2" w:space="0" w:color="auto"/>
              <w:right w:val="single" w:sz="2" w:space="0" w:color="auto"/>
            </w:tcBorders>
            <w:vAlign w:val="center"/>
          </w:tcPr>
          <w:p w14:paraId="6475695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-30.70%</w:t>
            </w:r>
          </w:p>
        </w:tc>
      </w:tr>
      <w:tr w:rsidR="006B66B7" w:rsidRPr="008C49B7" w14:paraId="4BBF4ABA"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955FD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Weighted average ROE</w:t>
            </w:r>
          </w:p>
        </w:tc>
        <w:tc>
          <w:tcPr>
            <w:tcW w:w="2410" w:type="dxa"/>
            <w:tcBorders>
              <w:top w:val="single" w:sz="2" w:space="0" w:color="auto"/>
              <w:left w:val="single" w:sz="2" w:space="0" w:color="auto"/>
              <w:bottom w:val="single" w:sz="2" w:space="0" w:color="auto"/>
              <w:right w:val="single" w:sz="2" w:space="0" w:color="auto"/>
            </w:tcBorders>
            <w:vAlign w:val="center"/>
          </w:tcPr>
          <w:p w14:paraId="248B3CD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6.21%</w:t>
            </w:r>
          </w:p>
        </w:tc>
        <w:tc>
          <w:tcPr>
            <w:tcW w:w="2410" w:type="dxa"/>
            <w:tcBorders>
              <w:top w:val="single" w:sz="2" w:space="0" w:color="auto"/>
              <w:left w:val="single" w:sz="2" w:space="0" w:color="auto"/>
              <w:bottom w:val="single" w:sz="2" w:space="0" w:color="auto"/>
              <w:right w:val="single" w:sz="2" w:space="0" w:color="auto"/>
            </w:tcBorders>
            <w:vAlign w:val="center"/>
          </w:tcPr>
          <w:p w14:paraId="0CAA97C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10.88%</w:t>
            </w:r>
          </w:p>
        </w:tc>
        <w:tc>
          <w:tcPr>
            <w:tcW w:w="2410" w:type="dxa"/>
            <w:tcBorders>
              <w:top w:val="single" w:sz="2" w:space="0" w:color="auto"/>
              <w:left w:val="single" w:sz="2" w:space="0" w:color="auto"/>
              <w:bottom w:val="single" w:sz="2" w:space="0" w:color="auto"/>
              <w:right w:val="single" w:sz="2" w:space="0" w:color="auto"/>
            </w:tcBorders>
            <w:vAlign w:val="center"/>
          </w:tcPr>
          <w:p w14:paraId="078D1DD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-4.67%</w:t>
            </w:r>
          </w:p>
        </w:tc>
      </w:tr>
      <w:tr w:rsidR="006B66B7" w:rsidRPr="008C49B7" w14:paraId="323E014C"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4A29831" w14:textId="77777777" w:rsidR="006B66B7" w:rsidRPr="008C49B7" w:rsidRDefault="006B66B7" w:rsidP="008C49B7">
            <w:pPr>
              <w:snapToGrid w:val="0"/>
              <w:rPr>
                <w:rFonts w:ascii="Times New Roman"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B5426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End of the Reporting Period</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C04E0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End of the previous year</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7DD41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Increase/decrease from the end of the previous year</w:t>
            </w:r>
          </w:p>
        </w:tc>
      </w:tr>
      <w:tr w:rsidR="006B66B7" w:rsidRPr="008C49B7" w14:paraId="080D45A4"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FC4938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 assets (RMB)</w:t>
            </w:r>
          </w:p>
        </w:tc>
        <w:tc>
          <w:tcPr>
            <w:tcW w:w="2410" w:type="dxa"/>
            <w:tcBorders>
              <w:top w:val="single" w:sz="2" w:space="0" w:color="auto"/>
              <w:left w:val="single" w:sz="2" w:space="0" w:color="auto"/>
              <w:bottom w:val="single" w:sz="2" w:space="0" w:color="auto"/>
              <w:right w:val="single" w:sz="2" w:space="0" w:color="auto"/>
            </w:tcBorders>
            <w:vAlign w:val="center"/>
          </w:tcPr>
          <w:p w14:paraId="035D8B5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12,069,985,154.72</w:t>
            </w:r>
          </w:p>
        </w:tc>
        <w:tc>
          <w:tcPr>
            <w:tcW w:w="2410" w:type="dxa"/>
            <w:tcBorders>
              <w:top w:val="single" w:sz="2" w:space="0" w:color="auto"/>
              <w:left w:val="single" w:sz="2" w:space="0" w:color="auto"/>
              <w:bottom w:val="single" w:sz="2" w:space="0" w:color="auto"/>
              <w:right w:val="single" w:sz="2" w:space="0" w:color="auto"/>
            </w:tcBorders>
            <w:vAlign w:val="center"/>
          </w:tcPr>
          <w:p w14:paraId="36B7AA3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9,483,238,483.20</w:t>
            </w:r>
          </w:p>
        </w:tc>
        <w:tc>
          <w:tcPr>
            <w:tcW w:w="2410" w:type="dxa"/>
            <w:tcBorders>
              <w:top w:val="single" w:sz="2" w:space="0" w:color="auto"/>
              <w:left w:val="single" w:sz="2" w:space="0" w:color="auto"/>
              <w:bottom w:val="single" w:sz="2" w:space="0" w:color="auto"/>
              <w:right w:val="single" w:sz="2" w:space="0" w:color="auto"/>
            </w:tcBorders>
            <w:vAlign w:val="center"/>
          </w:tcPr>
          <w:p w14:paraId="3F0A453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27.28%</w:t>
            </w:r>
          </w:p>
        </w:tc>
      </w:tr>
      <w:tr w:rsidR="006B66B7" w:rsidRPr="008C49B7" w14:paraId="502CBA4F"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355A1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Net assets attributable to shareholders of the listed company (RMB)</w:t>
            </w:r>
          </w:p>
        </w:tc>
        <w:tc>
          <w:tcPr>
            <w:tcW w:w="2410" w:type="dxa"/>
            <w:tcBorders>
              <w:top w:val="single" w:sz="2" w:space="0" w:color="auto"/>
              <w:left w:val="single" w:sz="2" w:space="0" w:color="auto"/>
              <w:bottom w:val="single" w:sz="2" w:space="0" w:color="auto"/>
              <w:right w:val="single" w:sz="2" w:space="0" w:color="auto"/>
            </w:tcBorders>
            <w:vAlign w:val="center"/>
          </w:tcPr>
          <w:p w14:paraId="19CD7F4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7,781,339,605.35</w:t>
            </w:r>
          </w:p>
        </w:tc>
        <w:tc>
          <w:tcPr>
            <w:tcW w:w="2410" w:type="dxa"/>
            <w:tcBorders>
              <w:top w:val="single" w:sz="2" w:space="0" w:color="auto"/>
              <w:left w:val="single" w:sz="2" w:space="0" w:color="auto"/>
              <w:bottom w:val="single" w:sz="2" w:space="0" w:color="auto"/>
              <w:right w:val="single" w:sz="2" w:space="0" w:color="auto"/>
            </w:tcBorders>
            <w:vAlign w:val="center"/>
          </w:tcPr>
          <w:p w14:paraId="7B9830E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6,153,405,610.35</w:t>
            </w:r>
          </w:p>
        </w:tc>
        <w:tc>
          <w:tcPr>
            <w:tcW w:w="2410" w:type="dxa"/>
            <w:tcBorders>
              <w:top w:val="single" w:sz="2" w:space="0" w:color="auto"/>
              <w:left w:val="single" w:sz="2" w:space="0" w:color="auto"/>
              <w:bottom w:val="single" w:sz="2" w:space="0" w:color="auto"/>
              <w:right w:val="single" w:sz="2" w:space="0" w:color="auto"/>
            </w:tcBorders>
            <w:vAlign w:val="center"/>
          </w:tcPr>
          <w:p w14:paraId="189967B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26.46%</w:t>
            </w:r>
          </w:p>
        </w:tc>
      </w:tr>
    </w:tbl>
    <w:p w14:paraId="5EF458F1" w14:textId="77777777" w:rsidR="006B66B7" w:rsidRPr="00F73301" w:rsidRDefault="002349C6" w:rsidP="008C49B7">
      <w:pPr>
        <w:pStyle w:val="2"/>
      </w:pPr>
      <w:bookmarkStart w:id="10" w:name="_Toc988898"/>
      <w:r w:rsidRPr="00F73301">
        <w:t>V. Accounting Data Differences under PRC GAAP and Those under IFRSs</w:t>
      </w:r>
      <w:bookmarkEnd w:id="10"/>
    </w:p>
    <w:p w14:paraId="5F04F322" w14:textId="77777777" w:rsidR="006B66B7" w:rsidRPr="00F73301" w:rsidRDefault="002349C6" w:rsidP="008C49B7">
      <w:pPr>
        <w:pStyle w:val="3"/>
      </w:pPr>
      <w:bookmarkStart w:id="11" w:name="_Toc988899"/>
      <w:r w:rsidRPr="00F73301">
        <w:t>1. Differences between disclosed net profits and net assets in the financial statement in accordance with the International Accounting Standards (IAS) and the China Accounting Standards (CAS)</w:t>
      </w:r>
      <w:bookmarkEnd w:id="11"/>
    </w:p>
    <w:p w14:paraId="5BF05A88" w14:textId="60846181"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8C49B7"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ECE04ED"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was no difference between disclosed net profits and net assets in the financial statement in accordance with the IAS and the CAS during the Reporting Period.</w:t>
      </w:r>
    </w:p>
    <w:p w14:paraId="309FB2B1" w14:textId="77777777" w:rsidR="006B66B7" w:rsidRPr="00F73301" w:rsidRDefault="002349C6" w:rsidP="008C49B7">
      <w:pPr>
        <w:pStyle w:val="3"/>
      </w:pPr>
      <w:bookmarkStart w:id="12" w:name="_Toc988900"/>
      <w:r w:rsidRPr="00F73301">
        <w:t>2. Differences between disclosed net profits and net assets in the financial statement in accordance with overseas accounting standards and the CAS</w:t>
      </w:r>
      <w:bookmarkEnd w:id="12"/>
    </w:p>
    <w:p w14:paraId="79970BC9" w14:textId="7DC5DF6E"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8C49B7"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32AC15E8"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was no difference between disclosed net profits and net assets in the financial statement in accordance with overseas accounting standards and the CAS during the Reporting Period.</w:t>
      </w:r>
    </w:p>
    <w:p w14:paraId="0ED130BD" w14:textId="77777777" w:rsidR="006B66B7" w:rsidRPr="00F73301" w:rsidRDefault="002349C6" w:rsidP="008C49B7">
      <w:pPr>
        <w:pStyle w:val="2"/>
      </w:pPr>
      <w:bookmarkStart w:id="13" w:name="_Toc988901"/>
      <w:r w:rsidRPr="00F73301">
        <w:t>VI. Non-recurring Gains and Losses</w:t>
      </w:r>
      <w:bookmarkEnd w:id="13"/>
    </w:p>
    <w:p w14:paraId="0A4772C5" w14:textId="77777777" w:rsidR="006B66B7" w:rsidRPr="00F73301" w:rsidRDefault="002349C6" w:rsidP="008C49B7">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720A9434"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936"/>
        <w:gridCol w:w="2976"/>
        <w:gridCol w:w="2727"/>
      </w:tblGrid>
      <w:tr w:rsidR="006B66B7" w:rsidRPr="008C49B7" w14:paraId="5116449E" w14:textId="77777777" w:rsidTr="0001208F">
        <w:trPr>
          <w:jc w:val="center"/>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14:paraId="1AE48847"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Item</w:t>
            </w:r>
          </w:p>
        </w:tc>
        <w:tc>
          <w:tcPr>
            <w:tcW w:w="2976" w:type="dxa"/>
            <w:tcBorders>
              <w:top w:val="single" w:sz="2" w:space="0" w:color="auto"/>
              <w:left w:val="single" w:sz="2" w:space="0" w:color="auto"/>
              <w:bottom w:val="single" w:sz="2" w:space="0" w:color="auto"/>
              <w:right w:val="single" w:sz="2" w:space="0" w:color="auto"/>
            </w:tcBorders>
            <w:shd w:val="clear" w:color="auto" w:fill="D3D3D3"/>
            <w:vAlign w:val="center"/>
          </w:tcPr>
          <w:p w14:paraId="4C4CC92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Amount</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14:paraId="38CDFAA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Note</w:t>
            </w:r>
          </w:p>
        </w:tc>
      </w:tr>
      <w:tr w:rsidR="006B66B7" w:rsidRPr="008C49B7" w14:paraId="4C45DA5F" w14:textId="77777777" w:rsidTr="0001208F">
        <w:trPr>
          <w:jc w:val="center"/>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14:paraId="5E533AB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Gains and losses on disposal of non-current assets (inclusive of impairment allowance write-offs)</w:t>
            </w:r>
          </w:p>
        </w:tc>
        <w:tc>
          <w:tcPr>
            <w:tcW w:w="2976" w:type="dxa"/>
            <w:tcBorders>
              <w:top w:val="single" w:sz="2" w:space="0" w:color="auto"/>
              <w:left w:val="single" w:sz="2" w:space="0" w:color="auto"/>
              <w:bottom w:val="single" w:sz="2" w:space="0" w:color="auto"/>
              <w:right w:val="single" w:sz="2" w:space="0" w:color="auto"/>
            </w:tcBorders>
            <w:vAlign w:val="center"/>
          </w:tcPr>
          <w:p w14:paraId="3A0045B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-220,257.03</w:t>
            </w:r>
          </w:p>
        </w:tc>
        <w:tc>
          <w:tcPr>
            <w:tcW w:w="2727" w:type="dxa"/>
            <w:tcBorders>
              <w:top w:val="single" w:sz="2" w:space="0" w:color="auto"/>
              <w:left w:val="single" w:sz="2" w:space="0" w:color="auto"/>
              <w:bottom w:val="single" w:sz="2" w:space="0" w:color="auto"/>
              <w:right w:val="single" w:sz="2" w:space="0" w:color="auto"/>
            </w:tcBorders>
            <w:vAlign w:val="center"/>
          </w:tcPr>
          <w:p w14:paraId="37803389" w14:textId="77777777" w:rsidR="006B66B7" w:rsidRPr="008C49B7" w:rsidRDefault="006B66B7" w:rsidP="008C49B7">
            <w:pPr>
              <w:snapToGrid w:val="0"/>
              <w:rPr>
                <w:rFonts w:ascii="Times New Roman" w:eastAsia="宋体" w:hAnsi="Times New Roman" w:cs="Times New Roman"/>
                <w:sz w:val="18"/>
                <w:szCs w:val="18"/>
              </w:rPr>
            </w:pPr>
          </w:p>
        </w:tc>
      </w:tr>
      <w:tr w:rsidR="006B66B7" w:rsidRPr="008C49B7" w14:paraId="1C1E21F3" w14:textId="77777777" w:rsidTr="0001208F">
        <w:trPr>
          <w:jc w:val="center"/>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14:paraId="2ED752E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Government grants recorded in the current profit or loss (except for those acquired in the ordinary course of the Company's business, in line with national policies and regulations, or granted continuously according to certain standard quotas or amounts)</w:t>
            </w:r>
          </w:p>
        </w:tc>
        <w:tc>
          <w:tcPr>
            <w:tcW w:w="2976" w:type="dxa"/>
            <w:tcBorders>
              <w:top w:val="single" w:sz="2" w:space="0" w:color="auto"/>
              <w:left w:val="single" w:sz="2" w:space="0" w:color="auto"/>
              <w:bottom w:val="single" w:sz="2" w:space="0" w:color="auto"/>
              <w:right w:val="single" w:sz="2" w:space="0" w:color="auto"/>
            </w:tcBorders>
            <w:vAlign w:val="center"/>
          </w:tcPr>
          <w:p w14:paraId="1594C42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21,766,005.54</w:t>
            </w:r>
          </w:p>
        </w:tc>
        <w:tc>
          <w:tcPr>
            <w:tcW w:w="2727" w:type="dxa"/>
            <w:tcBorders>
              <w:top w:val="single" w:sz="2" w:space="0" w:color="auto"/>
              <w:left w:val="single" w:sz="2" w:space="0" w:color="auto"/>
              <w:bottom w:val="single" w:sz="2" w:space="0" w:color="auto"/>
              <w:right w:val="single" w:sz="2" w:space="0" w:color="auto"/>
            </w:tcBorders>
            <w:vAlign w:val="center"/>
          </w:tcPr>
          <w:p w14:paraId="07352020" w14:textId="77777777" w:rsidR="006B66B7" w:rsidRPr="008C49B7" w:rsidRDefault="006B66B7" w:rsidP="008C49B7">
            <w:pPr>
              <w:snapToGrid w:val="0"/>
              <w:rPr>
                <w:rFonts w:ascii="Times New Roman" w:eastAsia="宋体" w:hAnsi="Times New Roman" w:cs="Times New Roman"/>
                <w:sz w:val="18"/>
                <w:szCs w:val="18"/>
              </w:rPr>
            </w:pPr>
          </w:p>
        </w:tc>
      </w:tr>
      <w:tr w:rsidR="006B66B7" w:rsidRPr="008C49B7" w14:paraId="0F8F20F3" w14:textId="77777777" w:rsidTr="0001208F">
        <w:trPr>
          <w:jc w:val="center"/>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14:paraId="4B09353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Gains and losses on entrusting others with investments or asset management</w:t>
            </w:r>
          </w:p>
        </w:tc>
        <w:tc>
          <w:tcPr>
            <w:tcW w:w="2976" w:type="dxa"/>
            <w:tcBorders>
              <w:top w:val="single" w:sz="2" w:space="0" w:color="auto"/>
              <w:left w:val="single" w:sz="2" w:space="0" w:color="auto"/>
              <w:bottom w:val="single" w:sz="2" w:space="0" w:color="auto"/>
              <w:right w:val="single" w:sz="2" w:space="0" w:color="auto"/>
            </w:tcBorders>
            <w:vAlign w:val="center"/>
          </w:tcPr>
          <w:p w14:paraId="3B4AE22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1,694,478.14</w:t>
            </w:r>
          </w:p>
        </w:tc>
        <w:tc>
          <w:tcPr>
            <w:tcW w:w="2727" w:type="dxa"/>
            <w:tcBorders>
              <w:top w:val="single" w:sz="2" w:space="0" w:color="auto"/>
              <w:left w:val="single" w:sz="2" w:space="0" w:color="auto"/>
              <w:bottom w:val="single" w:sz="2" w:space="0" w:color="auto"/>
              <w:right w:val="single" w:sz="2" w:space="0" w:color="auto"/>
            </w:tcBorders>
            <w:vAlign w:val="center"/>
          </w:tcPr>
          <w:p w14:paraId="42D20ED0" w14:textId="77777777" w:rsidR="006B66B7" w:rsidRPr="008C49B7" w:rsidRDefault="006B66B7" w:rsidP="008C49B7">
            <w:pPr>
              <w:snapToGrid w:val="0"/>
              <w:rPr>
                <w:rFonts w:ascii="Times New Roman" w:eastAsia="宋体" w:hAnsi="Times New Roman" w:cs="Times New Roman"/>
                <w:sz w:val="18"/>
                <w:szCs w:val="18"/>
              </w:rPr>
            </w:pPr>
          </w:p>
        </w:tc>
      </w:tr>
      <w:tr w:rsidR="006B66B7" w:rsidRPr="008C49B7" w14:paraId="1B0E6B99" w14:textId="77777777" w:rsidTr="0001208F">
        <w:trPr>
          <w:jc w:val="center"/>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14:paraId="00EFC68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Gains and losses on fair value changes in held-for-trading financial assets and liabilities as well as income from disposal of held-for-trading financial assets and liabilities and available-for-sale financial assets (exclusive of the effective portion of hedges that arise in the Company's ordinary course of business)</w:t>
            </w:r>
          </w:p>
        </w:tc>
        <w:tc>
          <w:tcPr>
            <w:tcW w:w="2976" w:type="dxa"/>
            <w:tcBorders>
              <w:top w:val="single" w:sz="2" w:space="0" w:color="auto"/>
              <w:left w:val="single" w:sz="2" w:space="0" w:color="auto"/>
              <w:bottom w:val="single" w:sz="2" w:space="0" w:color="auto"/>
              <w:right w:val="single" w:sz="2" w:space="0" w:color="auto"/>
            </w:tcBorders>
            <w:vAlign w:val="center"/>
          </w:tcPr>
          <w:p w14:paraId="099FB7A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-15,580,233.35</w:t>
            </w:r>
          </w:p>
        </w:tc>
        <w:tc>
          <w:tcPr>
            <w:tcW w:w="2727" w:type="dxa"/>
            <w:tcBorders>
              <w:top w:val="single" w:sz="2" w:space="0" w:color="auto"/>
              <w:left w:val="single" w:sz="2" w:space="0" w:color="auto"/>
              <w:bottom w:val="single" w:sz="2" w:space="0" w:color="auto"/>
              <w:right w:val="single" w:sz="2" w:space="0" w:color="auto"/>
            </w:tcBorders>
            <w:vAlign w:val="center"/>
          </w:tcPr>
          <w:p w14:paraId="4F556B9E" w14:textId="77777777" w:rsidR="006B66B7" w:rsidRPr="008C49B7" w:rsidRDefault="006B66B7" w:rsidP="008C49B7">
            <w:pPr>
              <w:snapToGrid w:val="0"/>
              <w:rPr>
                <w:rFonts w:ascii="Times New Roman" w:eastAsia="宋体" w:hAnsi="Times New Roman" w:cs="Times New Roman"/>
                <w:sz w:val="18"/>
                <w:szCs w:val="18"/>
              </w:rPr>
            </w:pPr>
          </w:p>
        </w:tc>
      </w:tr>
      <w:tr w:rsidR="006B66B7" w:rsidRPr="008C49B7" w14:paraId="3BEAA0A2" w14:textId="77777777" w:rsidTr="0001208F">
        <w:trPr>
          <w:jc w:val="center"/>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14:paraId="13428AA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 non-operating income and expenses other than the above</w:t>
            </w:r>
          </w:p>
        </w:tc>
        <w:tc>
          <w:tcPr>
            <w:tcW w:w="2976" w:type="dxa"/>
            <w:tcBorders>
              <w:top w:val="single" w:sz="2" w:space="0" w:color="auto"/>
              <w:left w:val="single" w:sz="2" w:space="0" w:color="auto"/>
              <w:bottom w:val="single" w:sz="2" w:space="0" w:color="auto"/>
              <w:right w:val="single" w:sz="2" w:space="0" w:color="auto"/>
            </w:tcBorders>
            <w:vAlign w:val="center"/>
          </w:tcPr>
          <w:p w14:paraId="7ACCDEE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-4,453,473.39</w:t>
            </w:r>
          </w:p>
        </w:tc>
        <w:tc>
          <w:tcPr>
            <w:tcW w:w="2727" w:type="dxa"/>
            <w:tcBorders>
              <w:top w:val="single" w:sz="2" w:space="0" w:color="auto"/>
              <w:left w:val="single" w:sz="2" w:space="0" w:color="auto"/>
              <w:bottom w:val="single" w:sz="2" w:space="0" w:color="auto"/>
              <w:right w:val="single" w:sz="2" w:space="0" w:color="auto"/>
            </w:tcBorders>
            <w:vAlign w:val="center"/>
          </w:tcPr>
          <w:p w14:paraId="208F7E3D" w14:textId="77777777" w:rsidR="006B66B7" w:rsidRPr="008C49B7" w:rsidRDefault="006B66B7" w:rsidP="008C49B7">
            <w:pPr>
              <w:snapToGrid w:val="0"/>
              <w:rPr>
                <w:rFonts w:ascii="Times New Roman" w:eastAsia="宋体" w:hAnsi="Times New Roman" w:cs="Times New Roman"/>
                <w:sz w:val="18"/>
                <w:szCs w:val="18"/>
              </w:rPr>
            </w:pPr>
          </w:p>
        </w:tc>
      </w:tr>
      <w:tr w:rsidR="006B66B7" w:rsidRPr="008C49B7" w14:paraId="474D3C88" w14:textId="77777777" w:rsidTr="0001208F">
        <w:trPr>
          <w:jc w:val="center"/>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14:paraId="332142B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Less: Income tax effects</w:t>
            </w:r>
          </w:p>
        </w:tc>
        <w:tc>
          <w:tcPr>
            <w:tcW w:w="2976" w:type="dxa"/>
            <w:tcBorders>
              <w:top w:val="single" w:sz="2" w:space="0" w:color="auto"/>
              <w:left w:val="single" w:sz="2" w:space="0" w:color="auto"/>
              <w:bottom w:val="single" w:sz="2" w:space="0" w:color="auto"/>
              <w:right w:val="single" w:sz="2" w:space="0" w:color="auto"/>
            </w:tcBorders>
            <w:vAlign w:val="center"/>
          </w:tcPr>
          <w:p w14:paraId="1E09347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1,041,676.13</w:t>
            </w:r>
          </w:p>
        </w:tc>
        <w:tc>
          <w:tcPr>
            <w:tcW w:w="2727" w:type="dxa"/>
            <w:tcBorders>
              <w:top w:val="single" w:sz="2" w:space="0" w:color="auto"/>
              <w:left w:val="single" w:sz="2" w:space="0" w:color="auto"/>
              <w:bottom w:val="single" w:sz="2" w:space="0" w:color="auto"/>
              <w:right w:val="single" w:sz="2" w:space="0" w:color="auto"/>
            </w:tcBorders>
            <w:vAlign w:val="center"/>
          </w:tcPr>
          <w:p w14:paraId="622F2FE5" w14:textId="77777777" w:rsidR="006B66B7" w:rsidRPr="008C49B7" w:rsidRDefault="006B66B7" w:rsidP="008C49B7">
            <w:pPr>
              <w:snapToGrid w:val="0"/>
              <w:rPr>
                <w:rFonts w:ascii="Times New Roman" w:eastAsia="宋体" w:hAnsi="Times New Roman" w:cs="Times New Roman"/>
                <w:sz w:val="18"/>
                <w:szCs w:val="18"/>
              </w:rPr>
            </w:pPr>
          </w:p>
        </w:tc>
      </w:tr>
      <w:tr w:rsidR="006B66B7" w:rsidRPr="008C49B7" w14:paraId="6ACB37B8" w14:textId="77777777" w:rsidTr="0001208F">
        <w:trPr>
          <w:jc w:val="center"/>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14:paraId="79180D29" w14:textId="77777777" w:rsidR="006B66B7" w:rsidRPr="008C49B7" w:rsidRDefault="002349C6" w:rsidP="008C49B7">
            <w:pPr>
              <w:snapToGrid w:val="0"/>
              <w:ind w:firstLineChars="200" w:firstLine="360"/>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Minority shareholders' equity impacts (after tax)</w:t>
            </w:r>
          </w:p>
        </w:tc>
        <w:tc>
          <w:tcPr>
            <w:tcW w:w="2976" w:type="dxa"/>
            <w:tcBorders>
              <w:top w:val="single" w:sz="2" w:space="0" w:color="auto"/>
              <w:left w:val="single" w:sz="2" w:space="0" w:color="auto"/>
              <w:bottom w:val="single" w:sz="2" w:space="0" w:color="auto"/>
              <w:right w:val="single" w:sz="2" w:space="0" w:color="auto"/>
            </w:tcBorders>
            <w:vAlign w:val="center"/>
          </w:tcPr>
          <w:p w14:paraId="2ABDE35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1,414,109.40</w:t>
            </w:r>
          </w:p>
        </w:tc>
        <w:tc>
          <w:tcPr>
            <w:tcW w:w="2727" w:type="dxa"/>
            <w:tcBorders>
              <w:top w:val="single" w:sz="2" w:space="0" w:color="auto"/>
              <w:left w:val="single" w:sz="2" w:space="0" w:color="auto"/>
              <w:bottom w:val="single" w:sz="2" w:space="0" w:color="auto"/>
              <w:right w:val="single" w:sz="2" w:space="0" w:color="auto"/>
            </w:tcBorders>
            <w:vAlign w:val="center"/>
          </w:tcPr>
          <w:p w14:paraId="51C76DC6" w14:textId="77777777" w:rsidR="006B66B7" w:rsidRPr="008C49B7" w:rsidRDefault="006B66B7" w:rsidP="008C49B7">
            <w:pPr>
              <w:snapToGrid w:val="0"/>
              <w:rPr>
                <w:rFonts w:ascii="Times New Roman" w:eastAsia="宋体" w:hAnsi="Times New Roman" w:cs="Times New Roman"/>
                <w:sz w:val="18"/>
                <w:szCs w:val="18"/>
              </w:rPr>
            </w:pPr>
          </w:p>
        </w:tc>
      </w:tr>
      <w:tr w:rsidR="006B66B7" w:rsidRPr="008C49B7" w14:paraId="4A28404C" w14:textId="77777777" w:rsidTr="0001208F">
        <w:trPr>
          <w:jc w:val="center"/>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14:paraId="1125722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w:t>
            </w:r>
          </w:p>
        </w:tc>
        <w:tc>
          <w:tcPr>
            <w:tcW w:w="2976" w:type="dxa"/>
            <w:tcBorders>
              <w:top w:val="single" w:sz="2" w:space="0" w:color="auto"/>
              <w:left w:val="single" w:sz="2" w:space="0" w:color="auto"/>
              <w:bottom w:val="single" w:sz="2" w:space="0" w:color="auto"/>
              <w:right w:val="single" w:sz="2" w:space="0" w:color="auto"/>
            </w:tcBorders>
            <w:vAlign w:val="center"/>
          </w:tcPr>
          <w:p w14:paraId="6499E43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750,734.38</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14:paraId="7ED4F0D6" w14:textId="77777777" w:rsidR="006B66B7" w:rsidRPr="008C49B7" w:rsidRDefault="006B66B7" w:rsidP="008C49B7">
            <w:pPr>
              <w:snapToGrid w:val="0"/>
              <w:rPr>
                <w:rFonts w:ascii="Times New Roman" w:hAnsi="Times New Roman" w:cs="Times New Roman"/>
                <w:sz w:val="18"/>
                <w:szCs w:val="18"/>
              </w:rPr>
            </w:pPr>
          </w:p>
        </w:tc>
      </w:tr>
    </w:tbl>
    <w:p w14:paraId="05377583"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Details of other gains and losses in line with the definition of non-recurring gains and losses:</w:t>
      </w:r>
    </w:p>
    <w:p w14:paraId="3BA3C429" w14:textId="613F1FA6"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8C49B7"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14A91AC2"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are no other gains and losses in line with the definition of non-recurring gains and losses in the Company.</w:t>
      </w:r>
    </w:p>
    <w:p w14:paraId="3674515B"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Note to defining the non-recurring gains and losses listed in the </w:t>
      </w:r>
      <w:r w:rsidRPr="00F73301">
        <w:rPr>
          <w:rFonts w:ascii="Times New Roman" w:eastAsia="宋体" w:hAnsi="Times New Roman" w:cs="Times New Roman"/>
          <w:i/>
          <w:iCs/>
          <w:sz w:val="24"/>
          <w:szCs w:val="24"/>
        </w:rPr>
        <w:t>Explanatory Notice of Information Disclosure by Companies Offering Securities to the Public No. 1–Non-recurring Gains and Losses</w:t>
      </w:r>
      <w:r w:rsidRPr="00F73301">
        <w:rPr>
          <w:rFonts w:ascii="Times New Roman" w:eastAsia="宋体" w:hAnsi="Times New Roman" w:cs="Times New Roman"/>
          <w:sz w:val="24"/>
          <w:szCs w:val="24"/>
        </w:rPr>
        <w:t xml:space="preserve"> as recurring gains and losses</w:t>
      </w:r>
    </w:p>
    <w:p w14:paraId="2761D179" w14:textId="05C7C72E"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8C49B7"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6EADD862"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The Company involves no circumstances where the non-recurring gains and losses listed in the </w:t>
      </w:r>
      <w:r w:rsidRPr="00F73301">
        <w:rPr>
          <w:rFonts w:ascii="Times New Roman" w:eastAsia="宋体" w:hAnsi="Times New Roman" w:cs="Times New Roman"/>
          <w:i/>
          <w:iCs/>
          <w:sz w:val="24"/>
          <w:szCs w:val="24"/>
        </w:rPr>
        <w:t>Explanatory Notice of Information Disclosure by Companies Offering Securities to the Public No. 1–Non-recurring Gains and Losses</w:t>
      </w:r>
      <w:r w:rsidRPr="00F73301">
        <w:rPr>
          <w:rFonts w:ascii="Times New Roman" w:eastAsia="宋体" w:hAnsi="Times New Roman" w:cs="Times New Roman"/>
          <w:sz w:val="24"/>
          <w:szCs w:val="24"/>
        </w:rPr>
        <w:t xml:space="preserve"> are defined as recurring gains and losses.</w:t>
      </w:r>
    </w:p>
    <w:p w14:paraId="1E53281B" w14:textId="77777777" w:rsidR="006B66B7" w:rsidRPr="00F73301" w:rsidRDefault="002349C6" w:rsidP="00F73301">
      <w:pPr>
        <w:snapToGrid w:val="0"/>
        <w:spacing w:beforeLines="50" w:before="156" w:afterLines="50" w:after="156"/>
        <w:rPr>
          <w:rFonts w:ascii="Times New Roman" w:hAnsi="Times New Roman" w:cs="Times New Roman"/>
          <w:sz w:val="24"/>
          <w:szCs w:val="24"/>
        </w:rPr>
      </w:pPr>
      <w:r w:rsidRPr="00F73301">
        <w:rPr>
          <w:rFonts w:ascii="Times New Roman" w:hAnsi="Times New Roman" w:cs="Times New Roman"/>
          <w:sz w:val="24"/>
          <w:szCs w:val="24"/>
        </w:rPr>
        <w:br w:type="page"/>
      </w:r>
    </w:p>
    <w:p w14:paraId="77365B10" w14:textId="77777777" w:rsidR="006B66B7" w:rsidRPr="00F73301" w:rsidRDefault="002349C6" w:rsidP="008C49B7">
      <w:pPr>
        <w:pStyle w:val="headingh1"/>
      </w:pPr>
      <w:bookmarkStart w:id="14" w:name="_Toc988902"/>
      <w:r w:rsidRPr="00F73301">
        <w:lastRenderedPageBreak/>
        <w:t>Part III Management Discussion and Analysis</w:t>
      </w:r>
      <w:bookmarkEnd w:id="14"/>
    </w:p>
    <w:p w14:paraId="7B506B0C" w14:textId="77777777" w:rsidR="006B66B7" w:rsidRPr="00F73301" w:rsidRDefault="002349C6" w:rsidP="008C49B7">
      <w:pPr>
        <w:pStyle w:val="2"/>
      </w:pPr>
      <w:bookmarkStart w:id="15" w:name="_Toc988903"/>
      <w:r w:rsidRPr="00F73301">
        <w:t>I. Principal Business of the Company in the Reporting Period</w:t>
      </w:r>
      <w:bookmarkEnd w:id="15"/>
    </w:p>
    <w:p w14:paraId="57279D79"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1. Development of the industry where the Company engages</w:t>
      </w:r>
    </w:p>
    <w:p w14:paraId="25D11D60"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As the core functional electric and electronic parts, power semiconductor components have a wide range of applications in supporting fields such as automobile electronics, clean energy, 5G communication, security, industrial control and consumer electronics. Technological development encourages higher requirements of humans for fields such as security, environmental protection and intelligence, so as to produce increased demand for various kinds of power semiconductor devices. As the new technology of the power semiconductor component industry has been developed and become mature, its application fields continue to expand, making power semiconductor devices indispensable and core electronic parts for the development of the national economy. The first half of 2023 witnessed decreases in the growth of the global semiconductor industry and the demand for consumer electronic products. World Semiconductor Trade Statistics (WSTS) forecast, on June 6, 2023, that the global semiconductor market would shrink by 10.3% year-on-year to USD515 billion in 2023. The expected decline was greater than the previous forecast (4.1%). Even so, the rapid growth of emerging applications, such as automotive electronics, 5G communications, and photovoltaics, exerts a greater tractive and driving effect on the development of the power component market.</w:t>
      </w:r>
    </w:p>
    <w:p w14:paraId="6260AD5C"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Although the power semiconductor component industry shows a relatively high degree of market-oriented development and a low industry concentration, there are only a few domestic enterprises that are equipped with comprehensive competitiveness that covers the full industry chain including silicon rods, silicon wafers, chips, device R&amp;D, design, manufacturing, and packaging &amp; testing. As domestic enterprises gradually achieve breakthroughs in core technology of chip design and process for high-end products and fill domestic technological gaps in more and more fields, the quality, performance and technological criteria of domestically made power semiconductor device products continue to increase, while their brand recognition gradually increases. The reliance of the domestic power semiconductor application market on imported semiconductor devices will decrease, and the opportunity for developing domestically made alternative products and overseas alternative products has become increasingly apparent. Meanwhile, Sino-US trade disputes and the Western blockade on technology will accelerate the independence of the domestic power semiconductor industry. Moreover, as geopolitical and other issues have imposed higher requirements on the security of the supply chain, which symbolizes an ideal opportunity for the development of domestic power semiconductor enterprises.</w:t>
      </w:r>
    </w:p>
    <w:p w14:paraId="31E7992F"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 xml:space="preserve">The power semiconductor component industry is a key industry encouraged and supported by China. In order to promote the development of electric and electronic technology and industry and build a resource-saving and environmentally-friendly society, China has formulated a series of policies and regulations to guide, encourage, support and promote the development of the domestic power semiconductor undertakings, as well as strengthen the domestic technological competitiveness. At present, the importance of the power semiconductor industry has been raised to a national strategic level. With the further implementation of "intelligent manufacturing", "new infrastructure construction" and other national policies, as well as the implementation of the dual carbon strategy (carbon peak and carbon neutrality), power semiconductors, as the core components for China to make electric systems independent and controllable and achieve energy conservation and environmental protection, are expected to achieve fast development with the support of policies. In January 2021, the Ministry of Industry and Information Technology issued the </w:t>
      </w:r>
      <w:r w:rsidRPr="00F73301">
        <w:rPr>
          <w:rFonts w:ascii="Times New Roman" w:hAnsi="Times New Roman" w:cs="Times New Roman"/>
          <w:i/>
          <w:iCs/>
          <w:color w:val="000000"/>
        </w:rPr>
        <w:t>Action Plan for the Development of the Basic Electronic Components Industry (2021-2023)</w:t>
      </w:r>
      <w:r w:rsidRPr="00F73301">
        <w:rPr>
          <w:rFonts w:ascii="Times New Roman" w:hAnsi="Times New Roman" w:cs="Times New Roman"/>
          <w:color w:val="000000"/>
        </w:rPr>
        <w:t xml:space="preserve">, in which the following goals were proposed: To further consolidate the status of China as a global power of electronic component </w:t>
      </w:r>
      <w:r w:rsidRPr="00F73301">
        <w:rPr>
          <w:rFonts w:ascii="Times New Roman" w:hAnsi="Times New Roman" w:cs="Times New Roman"/>
          <w:color w:val="000000"/>
        </w:rPr>
        <w:lastRenderedPageBreak/>
        <w:t xml:space="preserve">manufacturing, by 2023, the total sales of electronic components shall reach RMB2.1 trillion; a high-end promotion action for key products will be implemented with the focus on circuit components such as discrete semiconductor devices and modules with high temperature resistance, high voltage resistance, low loss and high reliability; and a promotion action for key market applications will be implemented to promote the application of power devices and other electronic components with high reliability in the high-end equipment manufacturing market and accelerate the iteration and upgrading of component products. In March 2021, the Outline of the </w:t>
      </w:r>
      <w:r w:rsidRPr="00F73301">
        <w:rPr>
          <w:rFonts w:ascii="Times New Roman" w:hAnsi="Times New Roman" w:cs="Times New Roman"/>
          <w:i/>
          <w:iCs/>
          <w:color w:val="000000"/>
        </w:rPr>
        <w:t>14th Five-Year Plan of the National Economic and Social Development of the People's Republic of China and the Vision 2035</w:t>
      </w:r>
      <w:r w:rsidRPr="00F73301">
        <w:rPr>
          <w:rFonts w:ascii="Times New Roman" w:hAnsi="Times New Roman" w:cs="Times New Roman"/>
          <w:color w:val="000000"/>
        </w:rPr>
        <w:t xml:space="preserve"> ("14th Five-Year Plan") was considered and approved at the 4th Session of the 13th National People's Congress. The 14th Five-Year Plan highlights the internal circulation, emphasizes effective breakthroughs in key and core technology and the improvement in the overall efficiency of innovation chains, focuses on aspects such as core chips, semiconductor equipment and the third-generation semiconductors, and aims to promote the optimization and upgrading of the manufacturing industry. In the future, the support of national industrial policies will continue to promote the technological progress of the power semiconductor component industry, the formation of the industry's own intellectual property rights for advanced technologies, and the structural optimization of domestic power semiconductor component products. </w:t>
      </w:r>
      <w:r w:rsidRPr="00F73301">
        <w:rPr>
          <w:rFonts w:ascii="Times New Roman" w:hAnsi="Times New Roman" w:cs="Times New Roman"/>
          <w:i/>
          <w:iCs/>
          <w:color w:val="000000"/>
        </w:rPr>
        <w:t>The 14th Five-Year Plan</w:t>
      </w:r>
      <w:r w:rsidRPr="00F73301">
        <w:rPr>
          <w:rFonts w:ascii="Times New Roman" w:hAnsi="Times New Roman" w:cs="Times New Roman"/>
          <w:color w:val="000000"/>
        </w:rPr>
        <w:t xml:space="preserve"> includes breakthroughs in featured processes, such as the advanced process of integrated circuits and Insulated Gate Bipolar Transistors (IGBTs), and the development of and breakthroughs in wide-bandgap semiconductors, such as </w:t>
      </w:r>
      <w:proofErr w:type="spellStart"/>
      <w:r w:rsidRPr="00F73301">
        <w:rPr>
          <w:rFonts w:ascii="Times New Roman" w:hAnsi="Times New Roman" w:cs="Times New Roman"/>
          <w:color w:val="000000"/>
        </w:rPr>
        <w:t>SiC</w:t>
      </w:r>
      <w:proofErr w:type="spellEnd"/>
      <w:r w:rsidRPr="00F73301">
        <w:rPr>
          <w:rFonts w:ascii="Times New Roman" w:hAnsi="Times New Roman" w:cs="Times New Roman"/>
          <w:color w:val="000000"/>
        </w:rPr>
        <w:t xml:space="preserve"> and </w:t>
      </w:r>
      <w:proofErr w:type="spellStart"/>
      <w:r w:rsidRPr="00F73301">
        <w:rPr>
          <w:rFonts w:ascii="Times New Roman" w:hAnsi="Times New Roman" w:cs="Times New Roman"/>
          <w:color w:val="000000"/>
        </w:rPr>
        <w:t>GaN</w:t>
      </w:r>
      <w:proofErr w:type="spellEnd"/>
      <w:r w:rsidRPr="00F73301">
        <w:rPr>
          <w:rFonts w:ascii="Times New Roman" w:hAnsi="Times New Roman" w:cs="Times New Roman"/>
          <w:color w:val="000000"/>
        </w:rPr>
        <w:t xml:space="preserve">, in the list of important missions. In December 2022, the State Council published the </w:t>
      </w:r>
      <w:r w:rsidRPr="00F73301">
        <w:rPr>
          <w:rFonts w:ascii="Times New Roman" w:hAnsi="Times New Roman" w:cs="Times New Roman"/>
          <w:i/>
          <w:iCs/>
          <w:color w:val="000000"/>
        </w:rPr>
        <w:t>Outline of Strategic Planning for Expanding Domestic Demand (2022-2035)</w:t>
      </w:r>
      <w:r w:rsidRPr="00F73301">
        <w:rPr>
          <w:rFonts w:ascii="Times New Roman" w:hAnsi="Times New Roman" w:cs="Times New Roman"/>
          <w:color w:val="000000"/>
        </w:rPr>
        <w:t xml:space="preserve"> with the goal of raising the scale of consumption and investment and achieving new breakthroughs in the scale of domestic demand. The outline proposed that China should actively develop its green and low-carbon consumption market, enhance the construction of energy infrastructure, promote the establishment of new electric systems, improve the reception and storage capacity of clean energy, comprehensively improve the core competitiveness of the information and technology industry, and promote innovation and application of technologies such as artificial intelligence, advanced communication, integrated circuits, new display technology and advanced calculation technology. The China Semiconductor Industry Association (CSIA) released a statement on maintaining the global development and supply chain security of the semiconductor industry in July 2023. China will always "stick to open cooperation and work with peers from all countries and regions to maintain the globalization of the semiconductor industry".</w:t>
      </w:r>
    </w:p>
    <w:p w14:paraId="1CEC7618"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2. The industry position of the Company</w:t>
      </w:r>
    </w:p>
    <w:p w14:paraId="367B3E47"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Based on the forward-looking market layout, continuous technological innovation, high-quality product design, scientific cost optimization, trustworthy quality management and the capability of fast delivery, the Company has become one of the several domestic enterprises above the designated size that integrates the full industry-chain processes including the manufacturing of single-crystal silicon wafers, chip design and manufacturing, device design, packaging and testing, and terminal sales and services. Meanwhile, the Company adopts the mode of "IDM + Fabless" in high-end fields such as MOSFET, IGBTs and the third-generation semiconductors. The Company has occupied a leading position and a high share in a number of emerging market segments. Especially, it is leading in rectifier bridges and PV diodes globally. Based on the general performance of the Company (aspects such as sales, technological strength and the share of the semiconductor market have been considered), the Company has been recognized by China Semiconductor Industry Association as one of the top three enterprises among the Top 10 Semiconductor Power Device Enterprises in China for several consecutive years, and has been rated as one of the top 20 in multiple domestic and international lists of top semiconductor enterprises in China.</w:t>
      </w:r>
    </w:p>
    <w:p w14:paraId="3110EF2E"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3. Main business of the Company</w:t>
      </w:r>
    </w:p>
    <w:p w14:paraId="71B472D4"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lastRenderedPageBreak/>
        <w:t xml:space="preserve">The Company integrates R&amp;D, production and sales and is committed to the industrial development of mid-to-high end fields, such as the design, manufacturing and package testing of power semiconductor silicon wafers, chips and devices. The Company's main products include three segments. Specifically, they are material segment (monocrystalline silicon rods, silicon wafers, and epitaxial wafers), wafer segment (5-inch, 6-inch, 8-inch and other types of power &amp; electronics chips), and packaging device segment (MOSFET, IGBT, </w:t>
      </w:r>
      <w:proofErr w:type="spellStart"/>
      <w:r w:rsidRPr="00F73301">
        <w:rPr>
          <w:rFonts w:ascii="Times New Roman" w:hAnsi="Times New Roman" w:cs="Times New Roman"/>
          <w:color w:val="000000"/>
        </w:rPr>
        <w:t>SiC</w:t>
      </w:r>
      <w:proofErr w:type="spellEnd"/>
      <w:r w:rsidRPr="00F73301">
        <w:rPr>
          <w:rFonts w:ascii="Times New Roman" w:hAnsi="Times New Roman" w:cs="Times New Roman"/>
          <w:color w:val="000000"/>
        </w:rPr>
        <w:t xml:space="preserve"> series products, rectifier parts, protection devices, small signal and other product series). Its products are widely used in automotive electronics, clean energy, 5G communications, security, industrial, consumer electronics and many other fields, providing customers with a package of products, technology and service solutions.</w:t>
      </w:r>
    </w:p>
    <w:p w14:paraId="32A614EB"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As its business scale expands continuously, the Company will gradually turn into a group and become international. Currently, the Company has more than 20 domestic sales and technical service stations in Shenzhen, Shanghai, Beijing, Guangzhou, and Wuhan, and 12 international marketing and technical outlets in the United States, South Korea, Japan, India, and Singapore. The Company implements "dual-brand" + "dual circulations" and brand product differentiation business model, with the "YJ" brand mainly focusing on the domestic and Asia-Pacific markets while "MCC" focusing on European and American markets. It has achieved the global market channel coverage of the two brands, continuously expanded the coverage of its domestic and overseas sales and technical networks, provided direct professional and technical support services for terminal customers, and continued to improve its international service level. With its high-quality market services, perfect marketing networks and high-performance product quality, the Company has established a sound brand image in domestic and international markets.</w:t>
      </w:r>
    </w:p>
    <w:p w14:paraId="287D5669"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4. Business model of the Company</w:t>
      </w:r>
    </w:p>
    <w:p w14:paraId="6B68C838"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The Company adopts the parallel business model of integrated device manufacture (IDM) and Fabless, and integrates the vertical industrial chain of semiconductor single-crystal silicon wafer manufacturing, power semiconductor chip design and manufacturing, device design, packaging and testing, and terminal sales and service. Its current business model is specified as follows:</w:t>
      </w:r>
    </w:p>
    <w:p w14:paraId="2DD5F086"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(1) Supply chain model</w:t>
      </w:r>
    </w:p>
    <w:p w14:paraId="037918FA"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The Company identifies its strategic products from the two aspects of financial influence and supply risk, and selects strategic suppliers based on its strategic products. It has developed the cooperation plan for strategic suppliers, and consolidated strategic partnerships to achieve win-win goals through various methods including opening of multi-function windows, holding of Quarterly Business Reviews (QBRs), exchange and sharing of industry development, and communication and alignment of technical roadmaps.</w:t>
      </w:r>
    </w:p>
    <w:p w14:paraId="57BFEF8F"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This year, the Company will build a new digital synergy platform to create an industrial ecosystem supported by modern information technology such as the Internet of Things (IoT), big data, and cloud computing, driven by customer demand, and characterized by the symbiosis and win-win situation of stakeholders of upstream and downstream enterprises in the intelligent supply chain. Meanwhile, the Company lays emphasis on the optimization of procurement management policies and procedures, and has integrated sunshine purchasing and collective decision-making into its procedures and policies, so as to uphold integrity in its cultural publicity and implement it throughout all processes. The Company publicizes tender information on its corporate WeChat account and company website, and includes more high-quality suppliers in its supplier list; a multi-level procurement committee covering the Group, business divisions and projects has been set up to ensure the open and transparent procurement decision-making process; the consensus of decision results is aligned to achieve the goal of optimal total costs.</w:t>
      </w:r>
    </w:p>
    <w:p w14:paraId="79561863"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(2) Operation model</w:t>
      </w:r>
    </w:p>
    <w:p w14:paraId="76F28D31"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lastRenderedPageBreak/>
        <w:t>By establishing a zero-defect quality system and a lean production system, the Company has strengthened quality, improved the eight procedures of operation management, and enhanced internal operation efficiency. Particularly, the defective rate and the customer complaint rate have decreased, while supply chain cost and internal operation efficiency have been improved. Facing the new manufacturing situations, new market demands and customer structure transformation, the Company has made efforts in "intelligent and digital transformation", and continued to promote the intelligent transformation and digital integration of production to empower its transformation and upgrading. By vigorously promoting the application of industrial IoT technology in manufacturing while continuously exploring the role of PLC and EAP in automated equipment production management, the Company has realized the automation of critical process equipment control, which improved the production quality as well as its production efficiency. On this basis, the Company has applied EAP, PLC and other data acquisition technologies to realize the automatic parameterization of key production processes, integrated management of key process parameters and other production materials, as well as the information-based display of production activities. With the combination of MES and data acquisition, the Company visualized key management performance indicators at all levels of production and operation, so as to help analyze and improve production and operation throughout the operation system, and to achieve the point-line-plane full coverage of production performance management; by setting up pilot intelligent production plants/workshops, the Company promoted the upgrading of its data application, completed data modeling for key parameters, and optimized key production and manufacturing parameters.</w:t>
      </w:r>
    </w:p>
    <w:p w14:paraId="521F7B20"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(3) Marketing model</w:t>
      </w:r>
    </w:p>
    <w:p w14:paraId="1CC34AE0"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 xml:space="preserve">The Company implements "dual-brand" + "dual circulations" and brand product differentiation business model. It mainly popularizes the products of the "MCC" brand against leading international brands such as </w:t>
      </w:r>
      <w:proofErr w:type="spellStart"/>
      <w:r w:rsidRPr="00F73301">
        <w:rPr>
          <w:rFonts w:ascii="Times New Roman" w:hAnsi="Times New Roman" w:cs="Times New Roman"/>
          <w:color w:val="000000"/>
        </w:rPr>
        <w:t>Onsemi</w:t>
      </w:r>
      <w:proofErr w:type="spellEnd"/>
      <w:r w:rsidRPr="00F73301">
        <w:rPr>
          <w:rFonts w:ascii="Times New Roman" w:hAnsi="Times New Roman" w:cs="Times New Roman"/>
          <w:color w:val="000000"/>
        </w:rPr>
        <w:t xml:space="preserve"> in the European and American markets. In China and the Asia-pacific market, the Company mainly promotes the "YJ" brand, and establishes strategic partnerships with top customers in various industries by continuously expanding its direct selling channels (multiple domestic sales and technical service centers, and 12 overseas sales and technical service centers in the United States, South Korea, Japan, India, and Singapore). Meanwhile, it actively responds to the call of the state to "let domestic and foreign markets boost each other" and actively expands its international business. During the Reporting Period, the Company invested in and established a subsidiary in Vietnam, Mico (Vietnam) Co., Ltd., to deeply engage in the international market and further optimize its global industrial layout.</w:t>
      </w:r>
    </w:p>
    <w:p w14:paraId="0B1C3B76"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color w:val="000000"/>
        </w:rPr>
        <w:t>5. Major operations of the Company during the Reporting Period</w:t>
      </w:r>
    </w:p>
    <w:p w14:paraId="5521C74D"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(1) R&amp;D technology</w:t>
      </w:r>
    </w:p>
    <w:p w14:paraId="0BE7BFF9" w14:textId="370CF624"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 xml:space="preserve">a) The Company actively promoted the management and implementation of key R&amp;D projects. The full series of 10A-200A </w:t>
      </w:r>
      <w:r w:rsidR="00BE2461" w:rsidRPr="00F73301">
        <w:rPr>
          <w:rFonts w:ascii="Times New Roman" w:hAnsi="Times New Roman" w:cs="Times New Roman"/>
        </w:rPr>
        <w:t>Trench1200VIGBT</w:t>
      </w:r>
      <w:r w:rsidRPr="00F73301">
        <w:rPr>
          <w:rFonts w:ascii="Times New Roman" w:hAnsi="Times New Roman" w:cs="Times New Roman"/>
        </w:rPr>
        <w:t xml:space="preserve"> chips on an 8-inch platform based on Fabless mode have completed development and the corresponding IGBT series module has been launched on the market, mainly focusing on such application areas as industrial control, photovoltaic inverters, and new energy vehicles. During the Reporting Period, the market share increased rapidly, progressively making the Company an important participant that integrates chip design and module encapsulation in the IGBT module market. Meanwhile, the Company aimed at the clean energy market, utilized the Trench Field Stop type IGBT technology to significantly lower the component saturation voltage drop and switching loss by adopting high-density component structure design and advanced back processing technology. It has successfully launched the 1200 series, and 650V series of TO220, TO247, and TO247PLUS encapsulation products and took the performance of foreign mainstream manufacturers as a benchmark. During the Reporting Period, the Company's 1,200V single tubes for Positive Temperature Coefficient (PTC) thermistors of vehicles passed the certification in line with </w:t>
      </w:r>
      <w:r w:rsidRPr="00F73301">
        <w:rPr>
          <w:rFonts w:ascii="Times New Roman" w:hAnsi="Times New Roman" w:cs="Times New Roman"/>
        </w:rPr>
        <w:lastRenderedPageBreak/>
        <w:t xml:space="preserve">the Automotive Grade and delivered such products in large quantities to its customers. With respect to the PV field, it developed 650V/400A tri-level IGBT modules and launched them to the market. Meanwhile, the Company began to develop the next-generation 950V/600A tri-level IGBT modules. In regard to new energy vehicle controllers, the Company tackled tough issues in low-inductance packaging, multichip flow equalization, copper interconnection, and silver sintering and developed 750V/820A IGBT and 750V400A </w:t>
      </w:r>
      <w:proofErr w:type="spellStart"/>
      <w:r w:rsidRPr="00F73301">
        <w:rPr>
          <w:rFonts w:ascii="Times New Roman" w:hAnsi="Times New Roman" w:cs="Times New Roman"/>
        </w:rPr>
        <w:t>SiC</w:t>
      </w:r>
      <w:proofErr w:type="spellEnd"/>
      <w:r w:rsidRPr="00F73301">
        <w:rPr>
          <w:rFonts w:ascii="Times New Roman" w:hAnsi="Times New Roman" w:cs="Times New Roman"/>
        </w:rPr>
        <w:t xml:space="preserve"> modules with three-phase bridges, large current, and high reliability.</w:t>
      </w:r>
    </w:p>
    <w:p w14:paraId="54BC759E"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 xml:space="preserve">b) The Company continued to invest more in the industry of third-generation semiconductor chips and stepped up efforts to research and develop Sic and </w:t>
      </w:r>
      <w:proofErr w:type="spellStart"/>
      <w:r w:rsidRPr="00F73301">
        <w:rPr>
          <w:rFonts w:ascii="Times New Roman" w:hAnsi="Times New Roman" w:cs="Times New Roman"/>
        </w:rPr>
        <w:t>GaN</w:t>
      </w:r>
      <w:proofErr w:type="spellEnd"/>
      <w:r w:rsidRPr="00F73301">
        <w:rPr>
          <w:rFonts w:ascii="Times New Roman" w:hAnsi="Times New Roman" w:cs="Times New Roman"/>
        </w:rPr>
        <w:t xml:space="preserve"> power components to further meet the Company's demands for subsequent strategic development. During the Reporting Period, the Company and the School of Integrated Circuits, Southeast University, entered into an agreement to jointly construct the "</w:t>
      </w:r>
      <w:proofErr w:type="spellStart"/>
      <w:r w:rsidRPr="00F73301">
        <w:rPr>
          <w:rFonts w:ascii="Times New Roman" w:hAnsi="Times New Roman" w:cs="Times New Roman"/>
        </w:rPr>
        <w:t>Yangjie</w:t>
      </w:r>
      <w:proofErr w:type="spellEnd"/>
      <w:r w:rsidRPr="00F73301">
        <w:rPr>
          <w:rFonts w:ascii="Times New Roman" w:hAnsi="Times New Roman" w:cs="Times New Roman"/>
        </w:rPr>
        <w:t xml:space="preserve">-Southeast University Joint R&amp;D Center of Broad Forbidden Band Semiconductors" and further consolidate the R&amp;D of third-generation semiconductors. Moreover, in 2022, the Company developed 650V/1,200V 2A-50A G2 </w:t>
      </w:r>
      <w:proofErr w:type="spellStart"/>
      <w:r w:rsidRPr="00F73301">
        <w:rPr>
          <w:rFonts w:ascii="Times New Roman" w:hAnsi="Times New Roman" w:cs="Times New Roman"/>
        </w:rPr>
        <w:t>SiC</w:t>
      </w:r>
      <w:proofErr w:type="spellEnd"/>
      <w:r w:rsidRPr="00F73301">
        <w:rPr>
          <w:rFonts w:ascii="Times New Roman" w:hAnsi="Times New Roman" w:cs="Times New Roman"/>
        </w:rPr>
        <w:t xml:space="preserve"> diode products and launched full series of </w:t>
      </w:r>
      <w:proofErr w:type="spellStart"/>
      <w:r w:rsidRPr="00F73301">
        <w:rPr>
          <w:rFonts w:ascii="Times New Roman" w:hAnsi="Times New Roman" w:cs="Times New Roman"/>
        </w:rPr>
        <w:t>SiC</w:t>
      </w:r>
      <w:proofErr w:type="spellEnd"/>
      <w:r w:rsidRPr="00F73301">
        <w:rPr>
          <w:rFonts w:ascii="Times New Roman" w:hAnsi="Times New Roman" w:cs="Times New Roman"/>
        </w:rPr>
        <w:t xml:space="preserve"> diodes to the market. Meanwhile, it completed the certification of the Automotive Electronics Council qualification (AEC-Q) standards and the Production Part Approval Process (PPAP) and launched relevant products by the end of the year. Recognized by top 10 domestic customers in terms of on-board chargers (OBCs), PV energy storage, charging piles, and industrial electric drives, the Company recorded a cumulative shipment volume exceeding RMB10 million.</w:t>
      </w:r>
    </w:p>
    <w:p w14:paraId="5CF91726"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 xml:space="preserve">In terms of </w:t>
      </w:r>
      <w:proofErr w:type="spellStart"/>
      <w:r w:rsidRPr="00F73301">
        <w:rPr>
          <w:rFonts w:ascii="Times New Roman" w:hAnsi="Times New Roman" w:cs="Times New Roman"/>
        </w:rPr>
        <w:t>SiC</w:t>
      </w:r>
      <w:proofErr w:type="spellEnd"/>
      <w:r w:rsidRPr="00F73301">
        <w:rPr>
          <w:rFonts w:ascii="Times New Roman" w:hAnsi="Times New Roman" w:cs="Times New Roman"/>
        </w:rPr>
        <w:t xml:space="preserve"> MOSFETs, the Company successively completed the development and launch of 1,200V 17-240mohm and 650V 20-120mohm </w:t>
      </w:r>
      <w:proofErr w:type="spellStart"/>
      <w:r w:rsidRPr="00F73301">
        <w:rPr>
          <w:rFonts w:ascii="Times New Roman" w:hAnsi="Times New Roman" w:cs="Times New Roman"/>
        </w:rPr>
        <w:t>SiC</w:t>
      </w:r>
      <w:proofErr w:type="spellEnd"/>
      <w:r w:rsidRPr="00F73301">
        <w:rPr>
          <w:rFonts w:ascii="Times New Roman" w:hAnsi="Times New Roman" w:cs="Times New Roman"/>
        </w:rPr>
        <w:t xml:space="preserve"> MOSFET products since 2022. Its product performance aligns with the international third-generation </w:t>
      </w:r>
      <w:proofErr w:type="spellStart"/>
      <w:r w:rsidRPr="00F73301">
        <w:rPr>
          <w:rFonts w:ascii="Times New Roman" w:hAnsi="Times New Roman" w:cs="Times New Roman"/>
        </w:rPr>
        <w:t>SiC</w:t>
      </w:r>
      <w:proofErr w:type="spellEnd"/>
      <w:r w:rsidRPr="00F73301">
        <w:rPr>
          <w:rFonts w:ascii="Times New Roman" w:hAnsi="Times New Roman" w:cs="Times New Roman"/>
        </w:rPr>
        <w:t xml:space="preserve"> MOS planar gate products. The specific on-resistance (RSP) of the 1,200V MOS platform is below 3.5mΩ.cm2, and its figure of merit (FOM) is below 3,300mΩ.nC. Due to its products' outstanding performance among planar gate components domestically available, the Company has found favor in the eyes of multiple customers in PV energy storage and charging modules. So far, its cumulative shipment volume has surpassed RMB1 million.</w:t>
      </w:r>
    </w:p>
    <w:p w14:paraId="5AF9E418"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In regard to on-board modules, the Company will complete the A-sample trial production of its self-developed main drive modules of Hybrid Power Drive (HPD) and Data Communication Module (DCM) fully made of silicon carbide this year. At present, several tier-1 and terminal automobile enterprises have expressed their intentions of testing and cooperation. It is planned that the batch application of main drive modules made of silicon carbide will be completed by 2025. The third-generation semiconductor products are successively launched, laying a solid foundation for the Company to realize a one-stop supply of a full range of semiconductor power components.</w:t>
      </w:r>
    </w:p>
    <w:p w14:paraId="3FB05E03"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 xml:space="preserve">c) The Company continued to optimize the product structure of the wafer production line, constantly diversified product varieties, expand high-reliability production specifications and high-performance product series, and continued the high-end transformation. PSBD chips and PMBC chips have been massively applied to batteries, motors, and electronic control of new energy vehicles and the product specifications continued to be expanded, with a significant increase in production proportion. FRED rectifier chips are under mass production for the full range of 200V-1,200V and follow current chips 650V and 1,200V are under mass production as well. The R&amp;D of 1,700V follow current chips are qualified, which is about to be put into mass product. The new-generation follow current FRED, based on the 8-inch platform and new life control technology, is under R&amp;D, whose mass production is expected to be achieved next year. Concurrently, TSBD chips have been extensively applied in the clean energy field and the product specifications continued to be expanded, with production lines covering 6-inch and 8-inch platforms. Furthermore, unidirectional and bidirectional ESD chips with ordinary capacitors have realized mass production. Multichannel low-capacitance ESD chips and multichannel low-capacitance flyback ESD chips are under R&amp;D, whose mass product is expected to </w:t>
      </w:r>
      <w:r w:rsidRPr="00F73301">
        <w:rPr>
          <w:rFonts w:ascii="Times New Roman" w:hAnsi="Times New Roman" w:cs="Times New Roman"/>
        </w:rPr>
        <w:lastRenderedPageBreak/>
        <w:t>be achieved next year. Meanwhile, the product performance of TVS chips is improved in all respects, which is conducive to further improving the Company's leading position in the market segment.</w:t>
      </w:r>
    </w:p>
    <w:p w14:paraId="6C136524"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(2) Marketing</w:t>
      </w:r>
    </w:p>
    <w:p w14:paraId="3F1BFDEE"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a) In terms of industries, the Company further improved technological marketing mechanisms. In virtue of the situation of the high-speed development of the industry, the Company mainly focused on such industries as new energy automotive electronics, clean energy, industrial control and network communication and established business relationships with TOP customers in the industries. During the Reporting Period, the sales performance of automotive electronics and clean energy industries grew significantly.</w:t>
      </w:r>
    </w:p>
    <w:p w14:paraId="2FE96403"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 xml:space="preserve">b) In terms of key products, the Company established the capability of strategic product marketing and set up dedicated strategic product marketing managers to emphasize the promotion of MOSFET, IGBT, and </w:t>
      </w:r>
      <w:proofErr w:type="spellStart"/>
      <w:r w:rsidRPr="00F73301">
        <w:rPr>
          <w:rFonts w:ascii="Times New Roman" w:hAnsi="Times New Roman" w:cs="Times New Roman"/>
        </w:rPr>
        <w:t>SiC</w:t>
      </w:r>
      <w:proofErr w:type="spellEnd"/>
      <w:r w:rsidRPr="00F73301">
        <w:rPr>
          <w:rFonts w:ascii="Times New Roman" w:hAnsi="Times New Roman" w:cs="Times New Roman"/>
        </w:rPr>
        <w:t xml:space="preserve"> series products to sell and promote strategic products. It has formed a team cooperation mode to help sales personnel obtain opportunities for production recognition, accelerate the conversion rate of business opportunities, and increase the sales proportion of key products.</w:t>
      </w:r>
    </w:p>
    <w:p w14:paraId="27AE84AF"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c) With respect to channels, the Company continued to promote the international strategic layout and deepened the two-way connection between overseas and domestic markets. It established a subsidiary, Mico (Vietnam) Co., Ltd., in Vietnam during the Reporting Period to strengthen the domestic and overseas "dual circulations". Meanwhile, it constantly promoted domestic and overseas e-commerce business models, combined offline and online business, reinforced branding, and enhanced brand influence.</w:t>
      </w:r>
    </w:p>
    <w:p w14:paraId="6D24ECE3"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(3) Operation and management</w:t>
      </w:r>
    </w:p>
    <w:p w14:paraId="3CA0ACF6"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a) The Company practices the development concept of "quality first". During the Reporting Period, the Company continuously deepened the implementation of the activities of "zero defect management", "strict control of input and output quality", and "digital management, intelligent production, professional personnel and stable personnel in key positions", to identify defects in quality management and build a quality management and control system. We mitigated potential risks of products in multiple dimensions and drove high-quality development, by cultivating a professional team that makes good use of engineering quality tools and has the comprehensive ability in quality management, creating channels for quality information communication and data sharing, and tracking customers' use of products.</w:t>
      </w:r>
    </w:p>
    <w:p w14:paraId="7B1833CD" w14:textId="77777777" w:rsidR="00273CFE" w:rsidRPr="00F73301"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b) The Company worked hard on operation and management and continued to drive all manufacturing centers to implement sophisticated operations. During the Reporting Period, based on market supply status, the Company shortened optimized production strategies and upgraded them into MPS/MTS/ATO via scientific approaches, shortened the production cycle by MTS/MPS, responded to customer demands by upgrading MPS, and made customers more satisfied with delivery. In the market environment in 2023, with the objective of "cost priority", the Company actively planned the lean operation activities to optimize costs, lowering costs from R&amp;D innovation, lean improvement, process optimization, and improvement of the value stream through process optimization. It promoted projects to raise efficiency, reduce costs, and reform in all respects so as to foster the capability of lowering costs continuously.</w:t>
      </w:r>
    </w:p>
    <w:p w14:paraId="6A8848E4" w14:textId="77777777" w:rsidR="00273CFE" w:rsidRDefault="002349C6" w:rsidP="008C49B7">
      <w:pPr>
        <w:pStyle w:val="a3"/>
        <w:snapToGrid w:val="0"/>
        <w:spacing w:beforeLines="50" w:before="156" w:beforeAutospacing="0" w:afterLines="50" w:after="156" w:afterAutospacing="0"/>
        <w:jc w:val="both"/>
        <w:divId w:val="1204713925"/>
        <w:rPr>
          <w:rFonts w:ascii="Times New Roman" w:hAnsi="Times New Roman" w:cs="Times New Roman"/>
        </w:rPr>
      </w:pPr>
      <w:r w:rsidRPr="00F73301">
        <w:rPr>
          <w:rFonts w:ascii="Times New Roman" w:hAnsi="Times New Roman" w:cs="Times New Roman"/>
        </w:rPr>
        <w:t xml:space="preserve">c) The Company built a lean production system and promoted improvement activities of lean production. Through the advancement of the lean project, the idea of lean management was implemented in the production management of all factories in a holistic and whole-process manner. The Company conducted a series of activities to continuously lower production costs and improve product quality. Such activities included the optimization of the design of producing process, he </w:t>
      </w:r>
      <w:r w:rsidRPr="00F73301">
        <w:rPr>
          <w:rFonts w:ascii="Times New Roman" w:hAnsi="Times New Roman" w:cs="Times New Roman"/>
        </w:rPr>
        <w:lastRenderedPageBreak/>
        <w:t>optimization of logistics and transportation, the improvement of equipment operating performance, and he integration of unproductive processes.</w:t>
      </w:r>
    </w:p>
    <w:p w14:paraId="68D0A5C9" w14:textId="77777777" w:rsidR="004F7BC8" w:rsidRPr="006B0D45" w:rsidRDefault="004F7BC8" w:rsidP="006B0D45">
      <w:pPr>
        <w:pStyle w:val="a3"/>
        <w:snapToGrid w:val="0"/>
        <w:spacing w:beforeLines="50" w:before="156" w:beforeAutospacing="0" w:afterLines="50" w:after="156" w:afterAutospacing="0"/>
        <w:jc w:val="both"/>
        <w:divId w:val="1204713925"/>
        <w:rPr>
          <w:rFonts w:ascii="Times New Roman" w:hAnsi="Times New Roman" w:cs="Times New Roman"/>
          <w:color w:val="000000"/>
        </w:rPr>
      </w:pPr>
      <w:r w:rsidRPr="006B0D45">
        <w:rPr>
          <w:rFonts w:ascii="Times New Roman" w:hAnsi="Times New Roman" w:cs="Times New Roman"/>
          <w:color w:val="000000"/>
        </w:rPr>
        <w:t>6. Reasons for change in results during the Reporting Period</w:t>
      </w:r>
    </w:p>
    <w:p w14:paraId="2774FC84" w14:textId="77777777" w:rsidR="004F7BC8" w:rsidRPr="006B0D45" w:rsidRDefault="004F7BC8" w:rsidP="006B0D45">
      <w:pPr>
        <w:pStyle w:val="a3"/>
        <w:snapToGrid w:val="0"/>
        <w:spacing w:beforeLines="50" w:before="156" w:beforeAutospacing="0" w:afterLines="50" w:after="156" w:afterAutospacing="0"/>
        <w:jc w:val="both"/>
        <w:divId w:val="1204713925"/>
        <w:rPr>
          <w:rFonts w:ascii="Times New Roman" w:hAnsi="Times New Roman" w:cs="Times New Roman"/>
        </w:rPr>
      </w:pPr>
      <w:r w:rsidRPr="006B0D45">
        <w:rPr>
          <w:rFonts w:ascii="Times New Roman" w:hAnsi="Times New Roman" w:cs="Times New Roman"/>
        </w:rPr>
        <w:t xml:space="preserve">During the Reporting Period, the Company's operating income, the net profit attributable to shareholders of the listed company, and the net profit after the deduction of non-recurring gains and losses slightly dropped compared with the same period of the previous year but </w:t>
      </w:r>
      <w:proofErr w:type="spellStart"/>
      <w:r w:rsidRPr="006B0D45">
        <w:rPr>
          <w:rFonts w:ascii="Times New Roman" w:hAnsi="Times New Roman" w:cs="Times New Roman"/>
        </w:rPr>
        <w:t>QoQ</w:t>
      </w:r>
      <w:proofErr w:type="spellEnd"/>
      <w:r w:rsidRPr="006B0D45">
        <w:rPr>
          <w:rFonts w:ascii="Times New Roman" w:hAnsi="Times New Roman" w:cs="Times New Roman"/>
        </w:rPr>
        <w:t xml:space="preserve"> growth was positive, and the main reasons are as follows:</w:t>
      </w:r>
    </w:p>
    <w:p w14:paraId="4E082E64" w14:textId="77777777" w:rsidR="004F7BC8" w:rsidRPr="006B0D45" w:rsidRDefault="004F7BC8" w:rsidP="006B0D45">
      <w:pPr>
        <w:pStyle w:val="a3"/>
        <w:snapToGrid w:val="0"/>
        <w:spacing w:beforeLines="50" w:before="156" w:beforeAutospacing="0" w:afterLines="50" w:after="156" w:afterAutospacing="0"/>
        <w:jc w:val="both"/>
        <w:divId w:val="1204713925"/>
        <w:rPr>
          <w:rFonts w:ascii="Times New Roman" w:hAnsi="Times New Roman" w:cs="Times New Roman"/>
        </w:rPr>
      </w:pPr>
      <w:r w:rsidRPr="006B0D45">
        <w:rPr>
          <w:rFonts w:ascii="Times New Roman" w:hAnsi="Times New Roman" w:cs="Times New Roman"/>
        </w:rPr>
        <w:t>(1) The Company adheres to the international development strategy. The revenue from overseas markets accounted for a high percentage, making overseas markets' profit margins higher than domestic markets. However, on the whole, overseas markets are currently still in a phase of struggling to reduce inventories, the YoY overseas business orders declined by over 30%. Despite a certain degree of recovery compared to the second half of 2022, it was at a low level compared with the corresponding period of last year, which resulted in a decline in the Company's overall gross profit margin.</w:t>
      </w:r>
    </w:p>
    <w:p w14:paraId="2AE89563" w14:textId="77777777" w:rsidR="004F7BC8" w:rsidRPr="006B0D45" w:rsidRDefault="004F7BC8" w:rsidP="006B0D45">
      <w:pPr>
        <w:pStyle w:val="a3"/>
        <w:snapToGrid w:val="0"/>
        <w:spacing w:beforeLines="50" w:before="156" w:beforeAutospacing="0" w:afterLines="50" w:after="156" w:afterAutospacing="0"/>
        <w:jc w:val="both"/>
        <w:divId w:val="1204713925"/>
        <w:rPr>
          <w:rFonts w:ascii="Times New Roman" w:hAnsi="Times New Roman" w:cs="Times New Roman"/>
        </w:rPr>
      </w:pPr>
      <w:r w:rsidRPr="006B0D45">
        <w:rPr>
          <w:rFonts w:ascii="Times New Roman" w:hAnsi="Times New Roman" w:cs="Times New Roman"/>
        </w:rPr>
        <w:t>(2) In recent years, the Company has continued to optimize the downstream structure and product structure, automotive electronics and clean energy fields grew rapidly and the volume of new products such as IGBT continuously increased. During the Reporting Period, the Company's YoY increase in both automotive-grade products and photovoltaic diodes exceeded 20% and the YoY growth of the IGBT products exceeded 50%. However, the Company's current average gross profit margin from the aforesaid products was lower than the Company's average gross profit, resulting in a decline in gross profit margin on the whole.</w:t>
      </w:r>
    </w:p>
    <w:p w14:paraId="0914B6FF" w14:textId="40BBF425" w:rsidR="00E01218" w:rsidRPr="006B0D45" w:rsidRDefault="004F7BC8" w:rsidP="00A51E09">
      <w:pPr>
        <w:pStyle w:val="a3"/>
        <w:snapToGrid w:val="0"/>
        <w:spacing w:beforeLines="50" w:before="156" w:beforeAutospacing="0" w:afterLines="50" w:after="156" w:afterAutospacing="0"/>
        <w:jc w:val="both"/>
        <w:divId w:val="1204713925"/>
      </w:pPr>
      <w:r w:rsidRPr="006B0D45">
        <w:rPr>
          <w:rFonts w:ascii="Times New Roman" w:hAnsi="Times New Roman" w:cs="Times New Roman"/>
        </w:rPr>
        <w:t>(3) Because the overall market prosperity of the global semiconductor industry was at a low point, and especially the fields of consumer electronics and industry recorded negative growth compared with the corresponding period of last year, orders and prices suffered a structural decline.</w:t>
      </w:r>
    </w:p>
    <w:p w14:paraId="096131C4" w14:textId="77777777" w:rsidR="006B66B7" w:rsidRPr="00F73301" w:rsidRDefault="002349C6" w:rsidP="008C49B7">
      <w:pPr>
        <w:pStyle w:val="2"/>
      </w:pPr>
      <w:bookmarkStart w:id="16" w:name="_Toc988904"/>
      <w:r w:rsidRPr="00F73301">
        <w:t>II. Core Competitiveness Analysis</w:t>
      </w:r>
      <w:bookmarkEnd w:id="16"/>
    </w:p>
    <w:p w14:paraId="70BEE4FF"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1. R&amp;D technology:</w:t>
      </w:r>
    </w:p>
    <w:p w14:paraId="6663FEB3"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(1) Advanced R&amp;D technology platform</w:t>
      </w:r>
    </w:p>
    <w:p w14:paraId="252F00CE"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 xml:space="preserve">Through cooperation with well-known universities and research institutes in the industry, such as the Southeast University, the Company has integrated the R&amp;D teams of each business division, established a corporate R&amp;D center, and is preparing to set up its own research institute. During the Reporting Period, the Company had the </w:t>
      </w:r>
      <w:proofErr w:type="spellStart"/>
      <w:r w:rsidRPr="00F73301">
        <w:rPr>
          <w:rFonts w:ascii="Times New Roman" w:hAnsi="Times New Roman" w:cs="Times New Roman"/>
          <w:color w:val="000000"/>
        </w:rPr>
        <w:t>SiC</w:t>
      </w:r>
      <w:proofErr w:type="spellEnd"/>
      <w:r w:rsidRPr="00F73301">
        <w:rPr>
          <w:rFonts w:ascii="Times New Roman" w:hAnsi="Times New Roman" w:cs="Times New Roman"/>
          <w:color w:val="000000"/>
        </w:rPr>
        <w:t xml:space="preserve"> R&amp;D team, the </w:t>
      </w:r>
      <w:proofErr w:type="spellStart"/>
      <w:r w:rsidRPr="00F73301">
        <w:rPr>
          <w:rFonts w:ascii="Times New Roman" w:hAnsi="Times New Roman" w:cs="Times New Roman"/>
          <w:color w:val="000000"/>
        </w:rPr>
        <w:t>GaN</w:t>
      </w:r>
      <w:proofErr w:type="spellEnd"/>
      <w:r w:rsidRPr="00F73301">
        <w:rPr>
          <w:rFonts w:ascii="Times New Roman" w:hAnsi="Times New Roman" w:cs="Times New Roman"/>
          <w:color w:val="000000"/>
        </w:rPr>
        <w:t xml:space="preserve"> R&amp;D team, the IGBT R&amp;D team, the MOSFET R&amp;D team, the diode and transistor chip R&amp;D team, the Clip packaging R&amp;D team, the WB packaging R&amp;D team, the 8-inch wafer Changsha R&amp;D team, the IGBT Japan R&amp;D team, the MOSFET Taiwan R&amp;D team, and the monocrystalline silicon Chengdu R&amp;D team. It has established a simulation platform covering chip, packaging and application, improved the testing center for product parameters, and improved the construction of new energy and automotive electronic application platform. It formed a complete R&amp;D and technical service system from wafer design and R&amp;D to packaging product R&amp;D, from silicon-based to third-generation semiconductor R&amp;D, and from pre-sales technical support to after-sales technical services, which provided strong support for the Company's new product development, technical bottleneck breakthrough, and market expansion.</w:t>
      </w:r>
    </w:p>
    <w:p w14:paraId="173EA845"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 xml:space="preserve">The Company has built an R&amp;D center laboratory in line with the domestic standards for first-class electronic laboratory, with a construction area of 5,000 square meters. It covers reliability laboratory, fault analysis laboratory, simulation laboratory and comprehensive R&amp;D laboratory, and has </w:t>
      </w:r>
      <w:r w:rsidRPr="00F73301">
        <w:rPr>
          <w:rFonts w:ascii="Times New Roman" w:hAnsi="Times New Roman" w:cs="Times New Roman"/>
          <w:color w:val="000000"/>
        </w:rPr>
        <w:lastRenderedPageBreak/>
        <w:t xml:space="preserve">successfully been certified by the China National Accreditation Service for Conformity Assessment (CNAS). The Company has established and improved a one-stop product experimental application platform that can meet various needs such as chip design simulation, environmental testing, physical and chemical fault analysis, and product electrical, thermal and mechanical stress simulation; the laboratory is equipped with advanced R&amp;D and testing equipment competent for MOSFET, IGBT, power module, diode, BJT, </w:t>
      </w:r>
      <w:proofErr w:type="spellStart"/>
      <w:r w:rsidRPr="00F73301">
        <w:rPr>
          <w:rFonts w:ascii="Times New Roman" w:hAnsi="Times New Roman" w:cs="Times New Roman"/>
          <w:color w:val="000000"/>
        </w:rPr>
        <w:t>SiC</w:t>
      </w:r>
      <w:proofErr w:type="spellEnd"/>
      <w:r w:rsidRPr="00F73301">
        <w:rPr>
          <w:rFonts w:ascii="Times New Roman" w:hAnsi="Times New Roman" w:cs="Times New Roman"/>
          <w:color w:val="000000"/>
        </w:rPr>
        <w:t xml:space="preserve"> and other series of products, which provides all-round and multi-platform technical and service guarantees for the Company's R&amp;D needs relating to chip design, device packaging, circuit testing for finished applications, and terminal sales and service.</w:t>
      </w:r>
    </w:p>
    <w:p w14:paraId="59CA12D7"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(2) Complete technical talent system</w:t>
      </w:r>
    </w:p>
    <w:p w14:paraId="3841AFA7"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The Company adheres to the talent strategy of external introduction and internal cultivation to maintain its corporate cultural inheritance while realizing rapid technical iteration. In terms of external introduction, it continues to bring in senior technical personnel at home and abroad, and has formed a high-quality talent team covering high-end chip R&amp;D and design, advanced power semiconductors wafer manufacturing, and advanced packaging R&amp;D and design. During the Reporting Period, the Company focused on introducing senior technical experts and doctors with more than 20 years of industry experience from around the world, including the leading talents in the provincial and ministerial "Innovation and Entrepreneurship Program", and professor-level senior engineers. With regard to internal cultivation, the Company has carried out campus talent recruitment for a number of 985 and 211 universities and colleges through the "Hidden Dragon Plan" to provide itself with a reserve of high-quality technical talents. Besides, it has systematically carried out the training and development of internal engineers through platforms and mechanisms such as the "engineer training course", tutorial system, and major research projects. The Company's technology R&amp;D talent team grew rapidly, and the effectiveness of high-quality R&amp;D talent continued to be improve during the Reporting Period.</w:t>
      </w:r>
    </w:p>
    <w:p w14:paraId="4AFC6293"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(3) Continuously enriched R&amp;D patents</w:t>
      </w:r>
    </w:p>
    <w:p w14:paraId="4F5E7120"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Patents are the key to an enterprise's development. In recent years, the Company has continuously stepped up its investment in the R&amp;D of patented technologies, enriched the patent reserve of core technologies, and laid a solid foundation for its advantageous position amid fierce market competition. During the Reporting Period, the Company obtained 26 authorized patents and seven integrated circuit layout designs. It applied for 40 national patents and eight integrated circuit layout designs to effectively protect its innovative products.</w:t>
      </w:r>
    </w:p>
    <w:p w14:paraId="7526BCA7"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2. Marketing</w:t>
      </w:r>
    </w:p>
    <w:p w14:paraId="6A203F50"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(1) Build international market capabilities with "dual brands" + "dual circulations"</w:t>
      </w:r>
    </w:p>
    <w:p w14:paraId="7229C896"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 xml:space="preserve">The Company implements "dual-brand" + "dual circulations" and brand product differentiation business model. It mainly popularizes the "MCC" brand against leading international brands such as </w:t>
      </w:r>
      <w:proofErr w:type="spellStart"/>
      <w:r w:rsidRPr="00F73301">
        <w:rPr>
          <w:rFonts w:ascii="Times New Roman" w:hAnsi="Times New Roman" w:cs="Times New Roman"/>
          <w:color w:val="000000"/>
        </w:rPr>
        <w:t>Onsemi</w:t>
      </w:r>
      <w:proofErr w:type="spellEnd"/>
      <w:r w:rsidRPr="00F73301">
        <w:rPr>
          <w:rFonts w:ascii="Times New Roman" w:hAnsi="Times New Roman" w:cs="Times New Roman"/>
          <w:color w:val="000000"/>
        </w:rPr>
        <w:t xml:space="preserve"> in the European and American markets. The Company sets up sales and technical service centers in the US, South Korea, Japan, India, and Singapore, actively develops local and surrounding markets, provides timely localized services for the terminal customers of international brands in Europe and the US, and continues to improve the market share and influence of the MCC brand in the international market. In China and the Asia-pacific market, the Company mainly promotes the "YJ" brand, and establishes strategic partnerships with top customers in various industries by continuously expanding its direct selling channels (multiple domestic sales and technical service centers, and 12 overseas sales and technical service centers in the United States, South Korea, Japan, India, Singapore, etc.). Meanwhile, it actively responds to the call of the state to "let domestic and foreign markets boost each other". Particularly, it established a subsidiary in Vietnam, Mico (Vietnam) </w:t>
      </w:r>
      <w:r w:rsidRPr="00F73301">
        <w:rPr>
          <w:rFonts w:ascii="Times New Roman" w:hAnsi="Times New Roman" w:cs="Times New Roman"/>
          <w:color w:val="000000"/>
        </w:rPr>
        <w:lastRenderedPageBreak/>
        <w:t>Co., Ltd. to further strengthen its overseas supply capacity and actively expand its international business.</w:t>
      </w:r>
    </w:p>
    <w:p w14:paraId="48010B3E"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(2) Continuously implement key account marketing</w:t>
      </w:r>
    </w:p>
    <w:p w14:paraId="6B1920F6"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The Company deepens the key account marketing system for customer-centric operation and investment of high-quality resources in high-quality customers. Through the upgrading and optimization of CRM system, it utilizes the LTC process to scientifically and systematically manage and standardize the sales process to improve the success rate of business opportunity conversion. So far, the Company has reached strategic partnership with leading customers in various industries, and continued to expand cooperation with existing customers. Additionally, it has obtained the import substitution cooperation opportunities from a number of well-known terminal customers during the Reporting Period, actively promoted the business cooperation of various production lines, and further expanded its future market.</w:t>
      </w:r>
    </w:p>
    <w:p w14:paraId="3E127C99"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(3) Focus on new markets and build new capabilities</w:t>
      </w:r>
    </w:p>
    <w:p w14:paraId="6642BD8A"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 xml:space="preserve">The Company keeps in step with the development opportunities in the new downstream markets and fields, and prioritizes market growth opportunities in the new energy vehicle and clean energy sectors. It focuses on expanding top customers in automotive electronics, photovoltaics, stored energy, and wind energy to leverage the core advantages of IDM and one-stop product solutions. During the Reporting Period, the Company recorded dramatic increases in the results and shares of automotive electronics and clean energy industries. Besides, the Company rapidly reached cooperation with top customers in various fields at home and abroad. It continued to expand its cooperation with SMA, SOLAREDGE, and other customers and has obtained customer certification and orders from </w:t>
      </w:r>
      <w:proofErr w:type="spellStart"/>
      <w:r w:rsidRPr="00F73301">
        <w:rPr>
          <w:rFonts w:ascii="Times New Roman" w:hAnsi="Times New Roman" w:cs="Times New Roman"/>
          <w:color w:val="000000"/>
        </w:rPr>
        <w:t>Aptiv</w:t>
      </w:r>
      <w:proofErr w:type="spellEnd"/>
      <w:r w:rsidRPr="00F73301">
        <w:rPr>
          <w:rFonts w:ascii="Times New Roman" w:hAnsi="Times New Roman" w:cs="Times New Roman"/>
          <w:color w:val="000000"/>
        </w:rPr>
        <w:t>, BorgWarner, and UAES.</w:t>
      </w:r>
    </w:p>
    <w:p w14:paraId="296E4DAC"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3. Operation management:</w:t>
      </w:r>
    </w:p>
    <w:p w14:paraId="07A6809A"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In the face of market changes and the higher quality and cost requirements of new markets and new industries, the Company has put forward the management concept of excellent operation based on its corporate mission and long-term development strategies. It integrates the industrial chain from the perspective of industry, and builds lean manufacturing capacity under the IDM model based on the lean production and zero-defect quality management system to improve the core competitiveness of its quality and cost:</w:t>
      </w:r>
    </w:p>
    <w:p w14:paraId="19A04181"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(1) The Company upgraded its internal quality control review system, used VDA6.3 to evaluate the production process, and received the VDA6.3 A-level rating from multiple well-known automotive electronics brand customers. It deepened the quality system improvement activities of "strict control of input and output quality" and "digital management, intelligent production, professional personnel and stable personnel in key positions", and established a quality control system in line with the Automotive Grade.</w:t>
      </w:r>
    </w:p>
    <w:p w14:paraId="33FDB620" w14:textId="77777777"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(2) The Company promoted continuous cost management, and took various measures such as cost reduction through R&amp;D innovation, lean improvement, value flow improvement, and informatization to greatly reduce failure cost, turn production quality stabler and customer delivery faster, and effectively make up for cost impact caused by the periodical reduction in production capacity.</w:t>
      </w:r>
    </w:p>
    <w:p w14:paraId="2740AF4F" w14:textId="5BB38802" w:rsidR="00273CFE" w:rsidRPr="00F73301" w:rsidRDefault="002349C6" w:rsidP="008C49B7">
      <w:pPr>
        <w:pStyle w:val="a3"/>
        <w:snapToGrid w:val="0"/>
        <w:spacing w:beforeLines="50" w:before="156" w:beforeAutospacing="0" w:afterLines="50" w:after="156" w:afterAutospacing="0"/>
        <w:jc w:val="both"/>
        <w:divId w:val="883718148"/>
        <w:rPr>
          <w:rFonts w:ascii="Times New Roman" w:hAnsi="Times New Roman" w:cs="Times New Roman"/>
        </w:rPr>
      </w:pPr>
      <w:r w:rsidRPr="00F73301">
        <w:rPr>
          <w:rFonts w:ascii="Times New Roman" w:hAnsi="Times New Roman" w:cs="Times New Roman"/>
          <w:color w:val="000000"/>
        </w:rPr>
        <w:t xml:space="preserve">(3) During the Reporting Period, the Company acquired 30% equity interest in Hunan </w:t>
      </w:r>
      <w:proofErr w:type="spellStart"/>
      <w:r w:rsidRPr="00F73301">
        <w:rPr>
          <w:rFonts w:ascii="Times New Roman" w:hAnsi="Times New Roman" w:cs="Times New Roman"/>
          <w:color w:val="000000"/>
        </w:rPr>
        <w:t>Chuwei</w:t>
      </w:r>
      <w:proofErr w:type="spellEnd"/>
      <w:r w:rsidRPr="00F73301">
        <w:rPr>
          <w:rFonts w:ascii="Times New Roman" w:hAnsi="Times New Roman" w:cs="Times New Roman"/>
          <w:color w:val="000000"/>
        </w:rPr>
        <w:t xml:space="preserve"> by public delisting, to increase the cumulative equity interest to 70% and achieve a controlling interest in </w:t>
      </w:r>
      <w:proofErr w:type="spellStart"/>
      <w:r w:rsidRPr="00F73301">
        <w:rPr>
          <w:rFonts w:ascii="Times New Roman" w:hAnsi="Times New Roman" w:cs="Times New Roman"/>
          <w:color w:val="000000"/>
        </w:rPr>
        <w:t>Chuwei</w:t>
      </w:r>
      <w:proofErr w:type="spellEnd"/>
      <w:r w:rsidRPr="00F73301">
        <w:rPr>
          <w:rFonts w:ascii="Times New Roman" w:hAnsi="Times New Roman" w:cs="Times New Roman"/>
          <w:color w:val="000000"/>
        </w:rPr>
        <w:t>. It further improved its core capabilities in wafer manufacturing, formed complete manufacturing capacity for 5-inch, 6-inch, and 8-inch wafer products, and strengthened its IDM model-based industrial chain.</w:t>
      </w:r>
    </w:p>
    <w:p w14:paraId="779240B0" w14:textId="77777777" w:rsidR="006B66B7" w:rsidRPr="00F73301" w:rsidRDefault="002349C6" w:rsidP="008C49B7">
      <w:pPr>
        <w:pStyle w:val="2"/>
      </w:pPr>
      <w:bookmarkStart w:id="17" w:name="_Toc988905"/>
      <w:r w:rsidRPr="00F73301">
        <w:lastRenderedPageBreak/>
        <w:t>III. Analysis of Principal Operations</w:t>
      </w:r>
      <w:bookmarkEnd w:id="17"/>
    </w:p>
    <w:p w14:paraId="40C89BB8"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Overview</w:t>
      </w:r>
    </w:p>
    <w:p w14:paraId="6B0ABE61"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Please refer to related content in "I. Principal Business of the Company in the Reporting Period".</w:t>
      </w:r>
    </w:p>
    <w:p w14:paraId="16367598"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Year-over-year changes in the principal financial data</w:t>
      </w:r>
    </w:p>
    <w:p w14:paraId="424A007D"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6B66B7" w:rsidRPr="008C49B7" w14:paraId="22374684"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01A510" w14:textId="77777777" w:rsidR="006B66B7" w:rsidRPr="008C49B7" w:rsidRDefault="006B66B7" w:rsidP="008C49B7">
            <w:pPr>
              <w:snapToGrid w:val="0"/>
              <w:rPr>
                <w:rFonts w:ascii="Times New Roman"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260EA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The Reporting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0C430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Same period of the previous year</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A7540A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YoY increase/decrease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3D6ACE"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Reason</w:t>
            </w:r>
          </w:p>
        </w:tc>
      </w:tr>
      <w:tr w:rsidR="006B66B7" w:rsidRPr="008C49B7" w14:paraId="79FA2E7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D98FC29"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Operating revenue</w:t>
            </w:r>
          </w:p>
        </w:tc>
        <w:tc>
          <w:tcPr>
            <w:tcW w:w="1928" w:type="dxa"/>
            <w:tcBorders>
              <w:top w:val="single" w:sz="2" w:space="0" w:color="auto"/>
              <w:left w:val="single" w:sz="2" w:space="0" w:color="auto"/>
              <w:bottom w:val="single" w:sz="2" w:space="0" w:color="auto"/>
              <w:right w:val="single" w:sz="2" w:space="0" w:color="auto"/>
            </w:tcBorders>
            <w:vAlign w:val="center"/>
          </w:tcPr>
          <w:p w14:paraId="310E924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170F72E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2,951,318,679.45</w:t>
            </w:r>
          </w:p>
        </w:tc>
        <w:tc>
          <w:tcPr>
            <w:tcW w:w="1928" w:type="dxa"/>
            <w:tcBorders>
              <w:top w:val="single" w:sz="2" w:space="0" w:color="auto"/>
              <w:left w:val="single" w:sz="2" w:space="0" w:color="auto"/>
              <w:bottom w:val="single" w:sz="2" w:space="0" w:color="auto"/>
              <w:right w:val="single" w:sz="2" w:space="0" w:color="auto"/>
            </w:tcBorders>
            <w:vAlign w:val="center"/>
          </w:tcPr>
          <w:p w14:paraId="46B80D7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-11.07%</w:t>
            </w:r>
          </w:p>
        </w:tc>
        <w:tc>
          <w:tcPr>
            <w:tcW w:w="1928" w:type="dxa"/>
            <w:tcBorders>
              <w:top w:val="single" w:sz="2" w:space="0" w:color="auto"/>
              <w:left w:val="single" w:sz="2" w:space="0" w:color="auto"/>
              <w:bottom w:val="single" w:sz="2" w:space="0" w:color="auto"/>
              <w:right w:val="single" w:sz="2" w:space="0" w:color="auto"/>
            </w:tcBorders>
            <w:vAlign w:val="center"/>
          </w:tcPr>
          <w:p w14:paraId="1DE875C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major changes</w:t>
            </w:r>
          </w:p>
        </w:tc>
      </w:tr>
      <w:tr w:rsidR="006B66B7" w:rsidRPr="008C49B7" w14:paraId="0AD07ACF"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D4DA9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Operating cost</w:t>
            </w:r>
          </w:p>
        </w:tc>
        <w:tc>
          <w:tcPr>
            <w:tcW w:w="1928" w:type="dxa"/>
            <w:tcBorders>
              <w:top w:val="single" w:sz="2" w:space="0" w:color="auto"/>
              <w:left w:val="single" w:sz="2" w:space="0" w:color="auto"/>
              <w:bottom w:val="single" w:sz="2" w:space="0" w:color="auto"/>
              <w:right w:val="single" w:sz="2" w:space="0" w:color="auto"/>
            </w:tcBorders>
            <w:vAlign w:val="center"/>
          </w:tcPr>
          <w:p w14:paraId="39D3244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1,834,328,758.28</w:t>
            </w:r>
          </w:p>
        </w:tc>
        <w:tc>
          <w:tcPr>
            <w:tcW w:w="1928" w:type="dxa"/>
            <w:tcBorders>
              <w:top w:val="single" w:sz="2" w:space="0" w:color="auto"/>
              <w:left w:val="single" w:sz="2" w:space="0" w:color="auto"/>
              <w:bottom w:val="single" w:sz="2" w:space="0" w:color="auto"/>
              <w:right w:val="single" w:sz="2" w:space="0" w:color="auto"/>
            </w:tcBorders>
            <w:vAlign w:val="center"/>
          </w:tcPr>
          <w:p w14:paraId="7423ABE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1,872,146,921.57</w:t>
            </w:r>
          </w:p>
        </w:tc>
        <w:tc>
          <w:tcPr>
            <w:tcW w:w="1928" w:type="dxa"/>
            <w:tcBorders>
              <w:top w:val="single" w:sz="2" w:space="0" w:color="auto"/>
              <w:left w:val="single" w:sz="2" w:space="0" w:color="auto"/>
              <w:bottom w:val="single" w:sz="2" w:space="0" w:color="auto"/>
              <w:right w:val="single" w:sz="2" w:space="0" w:color="auto"/>
            </w:tcBorders>
            <w:vAlign w:val="center"/>
          </w:tcPr>
          <w:p w14:paraId="1787B82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-2.02%</w:t>
            </w:r>
          </w:p>
        </w:tc>
        <w:tc>
          <w:tcPr>
            <w:tcW w:w="1928" w:type="dxa"/>
            <w:tcBorders>
              <w:top w:val="single" w:sz="2" w:space="0" w:color="auto"/>
              <w:left w:val="single" w:sz="2" w:space="0" w:color="auto"/>
              <w:bottom w:val="single" w:sz="2" w:space="0" w:color="auto"/>
              <w:right w:val="single" w:sz="2" w:space="0" w:color="auto"/>
            </w:tcBorders>
            <w:vAlign w:val="center"/>
          </w:tcPr>
          <w:p w14:paraId="4CAFAEC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major changes</w:t>
            </w:r>
          </w:p>
        </w:tc>
      </w:tr>
      <w:tr w:rsidR="006B66B7" w:rsidRPr="008C49B7" w14:paraId="0B7608B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04165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Selling expense</w:t>
            </w:r>
          </w:p>
        </w:tc>
        <w:tc>
          <w:tcPr>
            <w:tcW w:w="1928" w:type="dxa"/>
            <w:tcBorders>
              <w:top w:val="single" w:sz="2" w:space="0" w:color="auto"/>
              <w:left w:val="single" w:sz="2" w:space="0" w:color="auto"/>
              <w:bottom w:val="single" w:sz="2" w:space="0" w:color="auto"/>
              <w:right w:val="single" w:sz="2" w:space="0" w:color="auto"/>
            </w:tcBorders>
            <w:vAlign w:val="center"/>
          </w:tcPr>
          <w:p w14:paraId="66DACC5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110,024,361.15</w:t>
            </w:r>
          </w:p>
        </w:tc>
        <w:tc>
          <w:tcPr>
            <w:tcW w:w="1928" w:type="dxa"/>
            <w:tcBorders>
              <w:top w:val="single" w:sz="2" w:space="0" w:color="auto"/>
              <w:left w:val="single" w:sz="2" w:space="0" w:color="auto"/>
              <w:bottom w:val="single" w:sz="2" w:space="0" w:color="auto"/>
              <w:right w:val="single" w:sz="2" w:space="0" w:color="auto"/>
            </w:tcBorders>
            <w:vAlign w:val="center"/>
          </w:tcPr>
          <w:p w14:paraId="72DE2EC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94,029,677.60</w:t>
            </w:r>
          </w:p>
        </w:tc>
        <w:tc>
          <w:tcPr>
            <w:tcW w:w="1928" w:type="dxa"/>
            <w:tcBorders>
              <w:top w:val="single" w:sz="2" w:space="0" w:color="auto"/>
              <w:left w:val="single" w:sz="2" w:space="0" w:color="auto"/>
              <w:bottom w:val="single" w:sz="2" w:space="0" w:color="auto"/>
              <w:right w:val="single" w:sz="2" w:space="0" w:color="auto"/>
            </w:tcBorders>
            <w:vAlign w:val="center"/>
          </w:tcPr>
          <w:p w14:paraId="50B6385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17.01%</w:t>
            </w:r>
          </w:p>
        </w:tc>
        <w:tc>
          <w:tcPr>
            <w:tcW w:w="1928" w:type="dxa"/>
            <w:tcBorders>
              <w:top w:val="single" w:sz="2" w:space="0" w:color="auto"/>
              <w:left w:val="single" w:sz="2" w:space="0" w:color="auto"/>
              <w:bottom w:val="single" w:sz="2" w:space="0" w:color="auto"/>
              <w:right w:val="single" w:sz="2" w:space="0" w:color="auto"/>
            </w:tcBorders>
            <w:vAlign w:val="center"/>
          </w:tcPr>
          <w:p w14:paraId="799CB26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major changes</w:t>
            </w:r>
          </w:p>
        </w:tc>
      </w:tr>
      <w:tr w:rsidR="006B66B7" w:rsidRPr="008C49B7" w14:paraId="33226B7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393DE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Administrative expense</w:t>
            </w:r>
          </w:p>
        </w:tc>
        <w:tc>
          <w:tcPr>
            <w:tcW w:w="1928" w:type="dxa"/>
            <w:tcBorders>
              <w:top w:val="single" w:sz="2" w:space="0" w:color="auto"/>
              <w:left w:val="single" w:sz="2" w:space="0" w:color="auto"/>
              <w:bottom w:val="single" w:sz="2" w:space="0" w:color="auto"/>
              <w:right w:val="single" w:sz="2" w:space="0" w:color="auto"/>
            </w:tcBorders>
            <w:vAlign w:val="center"/>
          </w:tcPr>
          <w:p w14:paraId="1108B69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126,197,439.71</w:t>
            </w:r>
          </w:p>
        </w:tc>
        <w:tc>
          <w:tcPr>
            <w:tcW w:w="1928" w:type="dxa"/>
            <w:tcBorders>
              <w:top w:val="single" w:sz="2" w:space="0" w:color="auto"/>
              <w:left w:val="single" w:sz="2" w:space="0" w:color="auto"/>
              <w:bottom w:val="single" w:sz="2" w:space="0" w:color="auto"/>
              <w:right w:val="single" w:sz="2" w:space="0" w:color="auto"/>
            </w:tcBorders>
            <w:vAlign w:val="center"/>
          </w:tcPr>
          <w:p w14:paraId="16507E8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110,854,295.67</w:t>
            </w:r>
          </w:p>
        </w:tc>
        <w:tc>
          <w:tcPr>
            <w:tcW w:w="1928" w:type="dxa"/>
            <w:tcBorders>
              <w:top w:val="single" w:sz="2" w:space="0" w:color="auto"/>
              <w:left w:val="single" w:sz="2" w:space="0" w:color="auto"/>
              <w:bottom w:val="single" w:sz="2" w:space="0" w:color="auto"/>
              <w:right w:val="single" w:sz="2" w:space="0" w:color="auto"/>
            </w:tcBorders>
            <w:vAlign w:val="center"/>
          </w:tcPr>
          <w:p w14:paraId="29125D6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13.84%</w:t>
            </w:r>
          </w:p>
        </w:tc>
        <w:tc>
          <w:tcPr>
            <w:tcW w:w="1928" w:type="dxa"/>
            <w:tcBorders>
              <w:top w:val="single" w:sz="2" w:space="0" w:color="auto"/>
              <w:left w:val="single" w:sz="2" w:space="0" w:color="auto"/>
              <w:bottom w:val="single" w:sz="2" w:space="0" w:color="auto"/>
              <w:right w:val="single" w:sz="2" w:space="0" w:color="auto"/>
            </w:tcBorders>
            <w:vAlign w:val="center"/>
          </w:tcPr>
          <w:p w14:paraId="40951A6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major changes</w:t>
            </w:r>
          </w:p>
        </w:tc>
      </w:tr>
      <w:tr w:rsidR="006B66B7" w:rsidRPr="008C49B7" w14:paraId="3A538D4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814E6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Finance costs</w:t>
            </w:r>
          </w:p>
        </w:tc>
        <w:tc>
          <w:tcPr>
            <w:tcW w:w="1928" w:type="dxa"/>
            <w:tcBorders>
              <w:top w:val="single" w:sz="2" w:space="0" w:color="auto"/>
              <w:left w:val="single" w:sz="2" w:space="0" w:color="auto"/>
              <w:bottom w:val="single" w:sz="2" w:space="0" w:color="auto"/>
              <w:right w:val="single" w:sz="2" w:space="0" w:color="auto"/>
            </w:tcBorders>
            <w:vAlign w:val="center"/>
          </w:tcPr>
          <w:p w14:paraId="5DA8C82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-109,230,591.37</w:t>
            </w:r>
          </w:p>
        </w:tc>
        <w:tc>
          <w:tcPr>
            <w:tcW w:w="1928" w:type="dxa"/>
            <w:tcBorders>
              <w:top w:val="single" w:sz="2" w:space="0" w:color="auto"/>
              <w:left w:val="single" w:sz="2" w:space="0" w:color="auto"/>
              <w:bottom w:val="single" w:sz="2" w:space="0" w:color="auto"/>
              <w:right w:val="single" w:sz="2" w:space="0" w:color="auto"/>
            </w:tcBorders>
            <w:vAlign w:val="center"/>
          </w:tcPr>
          <w:p w14:paraId="2F12CBF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-13,363,983.56</w:t>
            </w:r>
          </w:p>
        </w:tc>
        <w:tc>
          <w:tcPr>
            <w:tcW w:w="1928" w:type="dxa"/>
            <w:tcBorders>
              <w:top w:val="single" w:sz="2" w:space="0" w:color="auto"/>
              <w:left w:val="single" w:sz="2" w:space="0" w:color="auto"/>
              <w:bottom w:val="single" w:sz="2" w:space="0" w:color="auto"/>
              <w:right w:val="single" w:sz="2" w:space="0" w:color="auto"/>
            </w:tcBorders>
            <w:vAlign w:val="center"/>
          </w:tcPr>
          <w:p w14:paraId="7F26C59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-717.35%</w:t>
            </w:r>
          </w:p>
        </w:tc>
        <w:tc>
          <w:tcPr>
            <w:tcW w:w="1928" w:type="dxa"/>
            <w:tcBorders>
              <w:top w:val="single" w:sz="2" w:space="0" w:color="auto"/>
              <w:left w:val="single" w:sz="2" w:space="0" w:color="auto"/>
              <w:bottom w:val="single" w:sz="2" w:space="0" w:color="auto"/>
              <w:right w:val="single" w:sz="2" w:space="0" w:color="auto"/>
            </w:tcBorders>
            <w:vAlign w:val="center"/>
          </w:tcPr>
          <w:p w14:paraId="0D7771C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fluctuation of foreign change rates and the increase in exchange gains during the Reporting Period.</w:t>
            </w:r>
          </w:p>
        </w:tc>
      </w:tr>
      <w:tr w:rsidR="006B66B7" w:rsidRPr="008C49B7" w14:paraId="60CAD26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5F649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Income tax expense</w:t>
            </w:r>
          </w:p>
        </w:tc>
        <w:tc>
          <w:tcPr>
            <w:tcW w:w="1928" w:type="dxa"/>
            <w:tcBorders>
              <w:top w:val="single" w:sz="2" w:space="0" w:color="auto"/>
              <w:left w:val="single" w:sz="2" w:space="0" w:color="auto"/>
              <w:bottom w:val="single" w:sz="2" w:space="0" w:color="auto"/>
              <w:right w:val="single" w:sz="2" w:space="0" w:color="auto"/>
            </w:tcBorders>
            <w:vAlign w:val="center"/>
          </w:tcPr>
          <w:p w14:paraId="10A2A42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69,084,485.48</w:t>
            </w:r>
          </w:p>
        </w:tc>
        <w:tc>
          <w:tcPr>
            <w:tcW w:w="1928" w:type="dxa"/>
            <w:tcBorders>
              <w:top w:val="single" w:sz="2" w:space="0" w:color="auto"/>
              <w:left w:val="single" w:sz="2" w:space="0" w:color="auto"/>
              <w:bottom w:val="single" w:sz="2" w:space="0" w:color="auto"/>
              <w:right w:val="single" w:sz="2" w:space="0" w:color="auto"/>
            </w:tcBorders>
            <w:vAlign w:val="center"/>
          </w:tcPr>
          <w:p w14:paraId="4A7F9DC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96,154,162.85</w:t>
            </w:r>
          </w:p>
        </w:tc>
        <w:tc>
          <w:tcPr>
            <w:tcW w:w="1928" w:type="dxa"/>
            <w:tcBorders>
              <w:top w:val="single" w:sz="2" w:space="0" w:color="auto"/>
              <w:left w:val="single" w:sz="2" w:space="0" w:color="auto"/>
              <w:bottom w:val="single" w:sz="2" w:space="0" w:color="auto"/>
              <w:right w:val="single" w:sz="2" w:space="0" w:color="auto"/>
            </w:tcBorders>
            <w:vAlign w:val="center"/>
          </w:tcPr>
          <w:p w14:paraId="1CD54EB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-28.15%</w:t>
            </w:r>
          </w:p>
        </w:tc>
        <w:tc>
          <w:tcPr>
            <w:tcW w:w="1928" w:type="dxa"/>
            <w:tcBorders>
              <w:top w:val="single" w:sz="2" w:space="0" w:color="auto"/>
              <w:left w:val="single" w:sz="2" w:space="0" w:color="auto"/>
              <w:bottom w:val="single" w:sz="2" w:space="0" w:color="auto"/>
              <w:right w:val="single" w:sz="2" w:space="0" w:color="auto"/>
            </w:tcBorders>
            <w:vAlign w:val="center"/>
          </w:tcPr>
          <w:p w14:paraId="3E3A61E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major changes</w:t>
            </w:r>
          </w:p>
        </w:tc>
      </w:tr>
      <w:tr w:rsidR="006B66B7" w:rsidRPr="008C49B7" w14:paraId="375F8C5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F794E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R&amp;D spending</w:t>
            </w:r>
          </w:p>
        </w:tc>
        <w:tc>
          <w:tcPr>
            <w:tcW w:w="1928" w:type="dxa"/>
            <w:tcBorders>
              <w:top w:val="single" w:sz="2" w:space="0" w:color="auto"/>
              <w:left w:val="single" w:sz="2" w:space="0" w:color="auto"/>
              <w:bottom w:val="single" w:sz="2" w:space="0" w:color="auto"/>
              <w:right w:val="single" w:sz="2" w:space="0" w:color="auto"/>
            </w:tcBorders>
            <w:vAlign w:val="center"/>
          </w:tcPr>
          <w:p w14:paraId="38197FE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165,337,184.42</w:t>
            </w:r>
          </w:p>
        </w:tc>
        <w:tc>
          <w:tcPr>
            <w:tcW w:w="1928" w:type="dxa"/>
            <w:tcBorders>
              <w:top w:val="single" w:sz="2" w:space="0" w:color="auto"/>
              <w:left w:val="single" w:sz="2" w:space="0" w:color="auto"/>
              <w:bottom w:val="single" w:sz="2" w:space="0" w:color="auto"/>
              <w:right w:val="single" w:sz="2" w:space="0" w:color="auto"/>
            </w:tcBorders>
            <w:vAlign w:val="center"/>
          </w:tcPr>
          <w:p w14:paraId="454C63A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160,263,439.71</w:t>
            </w:r>
          </w:p>
        </w:tc>
        <w:tc>
          <w:tcPr>
            <w:tcW w:w="1928" w:type="dxa"/>
            <w:tcBorders>
              <w:top w:val="single" w:sz="2" w:space="0" w:color="auto"/>
              <w:left w:val="single" w:sz="2" w:space="0" w:color="auto"/>
              <w:bottom w:val="single" w:sz="2" w:space="0" w:color="auto"/>
              <w:right w:val="single" w:sz="2" w:space="0" w:color="auto"/>
            </w:tcBorders>
            <w:vAlign w:val="center"/>
          </w:tcPr>
          <w:p w14:paraId="1E99153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3.17%</w:t>
            </w:r>
          </w:p>
        </w:tc>
        <w:tc>
          <w:tcPr>
            <w:tcW w:w="1928" w:type="dxa"/>
            <w:tcBorders>
              <w:top w:val="single" w:sz="2" w:space="0" w:color="auto"/>
              <w:left w:val="single" w:sz="2" w:space="0" w:color="auto"/>
              <w:bottom w:val="single" w:sz="2" w:space="0" w:color="auto"/>
              <w:right w:val="single" w:sz="2" w:space="0" w:color="auto"/>
            </w:tcBorders>
            <w:vAlign w:val="center"/>
          </w:tcPr>
          <w:p w14:paraId="71CF438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major changes</w:t>
            </w:r>
          </w:p>
        </w:tc>
      </w:tr>
      <w:tr w:rsidR="006B66B7" w:rsidRPr="008C49B7" w14:paraId="3E9546E2"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985CF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Net cash generated from/used in operating activities</w:t>
            </w:r>
          </w:p>
        </w:tc>
        <w:tc>
          <w:tcPr>
            <w:tcW w:w="1928" w:type="dxa"/>
            <w:tcBorders>
              <w:top w:val="single" w:sz="2" w:space="0" w:color="auto"/>
              <w:left w:val="single" w:sz="2" w:space="0" w:color="auto"/>
              <w:bottom w:val="single" w:sz="2" w:space="0" w:color="auto"/>
              <w:right w:val="single" w:sz="2" w:space="0" w:color="auto"/>
            </w:tcBorders>
            <w:vAlign w:val="center"/>
          </w:tcPr>
          <w:p w14:paraId="5B327A3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270,551,262.13</w:t>
            </w:r>
          </w:p>
        </w:tc>
        <w:tc>
          <w:tcPr>
            <w:tcW w:w="1928" w:type="dxa"/>
            <w:tcBorders>
              <w:top w:val="single" w:sz="2" w:space="0" w:color="auto"/>
              <w:left w:val="single" w:sz="2" w:space="0" w:color="auto"/>
              <w:bottom w:val="single" w:sz="2" w:space="0" w:color="auto"/>
              <w:right w:val="single" w:sz="2" w:space="0" w:color="auto"/>
            </w:tcBorders>
            <w:vAlign w:val="center"/>
          </w:tcPr>
          <w:p w14:paraId="3A887D8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500,071,932.98</w:t>
            </w:r>
          </w:p>
        </w:tc>
        <w:tc>
          <w:tcPr>
            <w:tcW w:w="1928" w:type="dxa"/>
            <w:tcBorders>
              <w:top w:val="single" w:sz="2" w:space="0" w:color="auto"/>
              <w:left w:val="single" w:sz="2" w:space="0" w:color="auto"/>
              <w:bottom w:val="single" w:sz="2" w:space="0" w:color="auto"/>
              <w:right w:val="single" w:sz="2" w:space="0" w:color="auto"/>
            </w:tcBorders>
            <w:vAlign w:val="center"/>
          </w:tcPr>
          <w:p w14:paraId="2145930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-45.90%</w:t>
            </w:r>
          </w:p>
        </w:tc>
        <w:tc>
          <w:tcPr>
            <w:tcW w:w="1928" w:type="dxa"/>
            <w:tcBorders>
              <w:top w:val="single" w:sz="2" w:space="0" w:color="auto"/>
              <w:left w:val="single" w:sz="2" w:space="0" w:color="auto"/>
              <w:bottom w:val="single" w:sz="2" w:space="0" w:color="auto"/>
              <w:right w:val="single" w:sz="2" w:space="0" w:color="auto"/>
            </w:tcBorders>
            <w:vAlign w:val="center"/>
          </w:tcPr>
          <w:p w14:paraId="0526DA6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increased taxes and reduced tax refunds during the Reporting Period.</w:t>
            </w:r>
          </w:p>
        </w:tc>
      </w:tr>
      <w:tr w:rsidR="006B66B7" w:rsidRPr="008C49B7" w14:paraId="4112102C"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CD1F0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Net cash generated from/used in investing activities</w:t>
            </w:r>
          </w:p>
        </w:tc>
        <w:tc>
          <w:tcPr>
            <w:tcW w:w="1928" w:type="dxa"/>
            <w:tcBorders>
              <w:top w:val="single" w:sz="2" w:space="0" w:color="auto"/>
              <w:left w:val="single" w:sz="2" w:space="0" w:color="auto"/>
              <w:bottom w:val="single" w:sz="2" w:space="0" w:color="auto"/>
              <w:right w:val="single" w:sz="2" w:space="0" w:color="auto"/>
            </w:tcBorders>
            <w:vAlign w:val="center"/>
          </w:tcPr>
          <w:p w14:paraId="7B2CEC1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-237,495,727.67</w:t>
            </w:r>
          </w:p>
        </w:tc>
        <w:tc>
          <w:tcPr>
            <w:tcW w:w="1928" w:type="dxa"/>
            <w:tcBorders>
              <w:top w:val="single" w:sz="2" w:space="0" w:color="auto"/>
              <w:left w:val="single" w:sz="2" w:space="0" w:color="auto"/>
              <w:bottom w:val="single" w:sz="2" w:space="0" w:color="auto"/>
              <w:right w:val="single" w:sz="2" w:space="0" w:color="auto"/>
            </w:tcBorders>
            <w:vAlign w:val="center"/>
          </w:tcPr>
          <w:p w14:paraId="056B364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-832,553,744.90</w:t>
            </w:r>
          </w:p>
        </w:tc>
        <w:tc>
          <w:tcPr>
            <w:tcW w:w="1928" w:type="dxa"/>
            <w:tcBorders>
              <w:top w:val="single" w:sz="2" w:space="0" w:color="auto"/>
              <w:left w:val="single" w:sz="2" w:space="0" w:color="auto"/>
              <w:bottom w:val="single" w:sz="2" w:space="0" w:color="auto"/>
              <w:right w:val="single" w:sz="2" w:space="0" w:color="auto"/>
            </w:tcBorders>
            <w:vAlign w:val="center"/>
          </w:tcPr>
          <w:p w14:paraId="7D0F2E7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71.47%</w:t>
            </w:r>
          </w:p>
        </w:tc>
        <w:tc>
          <w:tcPr>
            <w:tcW w:w="1928" w:type="dxa"/>
            <w:tcBorders>
              <w:top w:val="single" w:sz="2" w:space="0" w:color="auto"/>
              <w:left w:val="single" w:sz="2" w:space="0" w:color="auto"/>
              <w:bottom w:val="single" w:sz="2" w:space="0" w:color="auto"/>
              <w:right w:val="single" w:sz="2" w:space="0" w:color="auto"/>
            </w:tcBorders>
            <w:vAlign w:val="center"/>
          </w:tcPr>
          <w:p w14:paraId="4A768D2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decreased asset acquisition and construction and investment in wealth management of the Company during the Reporting Period.</w:t>
            </w:r>
          </w:p>
        </w:tc>
      </w:tr>
      <w:tr w:rsidR="006B66B7" w:rsidRPr="008C49B7" w14:paraId="410F3841"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033D4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Net cash generated from/used in financing activities</w:t>
            </w:r>
          </w:p>
        </w:tc>
        <w:tc>
          <w:tcPr>
            <w:tcW w:w="1928" w:type="dxa"/>
            <w:tcBorders>
              <w:top w:val="single" w:sz="2" w:space="0" w:color="auto"/>
              <w:left w:val="single" w:sz="2" w:space="0" w:color="auto"/>
              <w:bottom w:val="single" w:sz="2" w:space="0" w:color="auto"/>
              <w:right w:val="single" w:sz="2" w:space="0" w:color="auto"/>
            </w:tcBorders>
            <w:vAlign w:val="center"/>
          </w:tcPr>
          <w:p w14:paraId="3051B53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1,631,443,874.87</w:t>
            </w:r>
          </w:p>
        </w:tc>
        <w:tc>
          <w:tcPr>
            <w:tcW w:w="1928" w:type="dxa"/>
            <w:tcBorders>
              <w:top w:val="single" w:sz="2" w:space="0" w:color="auto"/>
              <w:left w:val="single" w:sz="2" w:space="0" w:color="auto"/>
              <w:bottom w:val="single" w:sz="2" w:space="0" w:color="auto"/>
              <w:right w:val="single" w:sz="2" w:space="0" w:color="auto"/>
            </w:tcBorders>
            <w:vAlign w:val="center"/>
          </w:tcPr>
          <w:p w14:paraId="49A1C74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-10,355,335.90</w:t>
            </w:r>
          </w:p>
        </w:tc>
        <w:tc>
          <w:tcPr>
            <w:tcW w:w="1928" w:type="dxa"/>
            <w:tcBorders>
              <w:top w:val="single" w:sz="2" w:space="0" w:color="auto"/>
              <w:left w:val="single" w:sz="2" w:space="0" w:color="auto"/>
              <w:bottom w:val="single" w:sz="2" w:space="0" w:color="auto"/>
              <w:right w:val="single" w:sz="2" w:space="0" w:color="auto"/>
            </w:tcBorders>
            <w:vAlign w:val="center"/>
          </w:tcPr>
          <w:p w14:paraId="5E67203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15,854.62%</w:t>
            </w:r>
          </w:p>
        </w:tc>
        <w:tc>
          <w:tcPr>
            <w:tcW w:w="1928" w:type="dxa"/>
            <w:tcBorders>
              <w:top w:val="single" w:sz="2" w:space="0" w:color="auto"/>
              <w:left w:val="single" w:sz="2" w:space="0" w:color="auto"/>
              <w:bottom w:val="single" w:sz="2" w:space="0" w:color="auto"/>
              <w:right w:val="single" w:sz="2" w:space="0" w:color="auto"/>
            </w:tcBorders>
            <w:vAlign w:val="center"/>
          </w:tcPr>
          <w:p w14:paraId="354C095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new funds raised overseas by the Company during the Reporting Period.</w:t>
            </w:r>
          </w:p>
        </w:tc>
      </w:tr>
      <w:tr w:rsidR="006B66B7" w:rsidRPr="008C49B7" w14:paraId="247EFBF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EDF3C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Net increase in cash and cash equivalents</w:t>
            </w:r>
          </w:p>
        </w:tc>
        <w:tc>
          <w:tcPr>
            <w:tcW w:w="1928" w:type="dxa"/>
            <w:tcBorders>
              <w:top w:val="single" w:sz="2" w:space="0" w:color="auto"/>
              <w:left w:val="single" w:sz="2" w:space="0" w:color="auto"/>
              <w:bottom w:val="single" w:sz="2" w:space="0" w:color="auto"/>
              <w:right w:val="single" w:sz="2" w:space="0" w:color="auto"/>
            </w:tcBorders>
            <w:vAlign w:val="center"/>
          </w:tcPr>
          <w:p w14:paraId="66AEBF4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1,756,356,591.02</w:t>
            </w:r>
          </w:p>
        </w:tc>
        <w:tc>
          <w:tcPr>
            <w:tcW w:w="1928" w:type="dxa"/>
            <w:tcBorders>
              <w:top w:val="single" w:sz="2" w:space="0" w:color="auto"/>
              <w:left w:val="single" w:sz="2" w:space="0" w:color="auto"/>
              <w:bottom w:val="single" w:sz="2" w:space="0" w:color="auto"/>
              <w:right w:val="single" w:sz="2" w:space="0" w:color="auto"/>
            </w:tcBorders>
            <w:vAlign w:val="center"/>
          </w:tcPr>
          <w:p w14:paraId="58EE309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-328,713,776.50</w:t>
            </w:r>
          </w:p>
        </w:tc>
        <w:tc>
          <w:tcPr>
            <w:tcW w:w="1928" w:type="dxa"/>
            <w:tcBorders>
              <w:top w:val="single" w:sz="2" w:space="0" w:color="auto"/>
              <w:left w:val="single" w:sz="2" w:space="0" w:color="auto"/>
              <w:bottom w:val="single" w:sz="2" w:space="0" w:color="auto"/>
              <w:right w:val="single" w:sz="2" w:space="0" w:color="auto"/>
            </w:tcBorders>
            <w:vAlign w:val="center"/>
          </w:tcPr>
          <w:p w14:paraId="44CBB4A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634.31%</w:t>
            </w:r>
          </w:p>
        </w:tc>
        <w:tc>
          <w:tcPr>
            <w:tcW w:w="1928" w:type="dxa"/>
            <w:tcBorders>
              <w:top w:val="single" w:sz="2" w:space="0" w:color="auto"/>
              <w:left w:val="single" w:sz="2" w:space="0" w:color="auto"/>
              <w:bottom w:val="single" w:sz="2" w:space="0" w:color="auto"/>
              <w:right w:val="single" w:sz="2" w:space="0" w:color="auto"/>
            </w:tcBorders>
            <w:vAlign w:val="center"/>
          </w:tcPr>
          <w:p w14:paraId="55DD43C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new funds raised overseas by the Company during the Reporting Period.</w:t>
            </w:r>
          </w:p>
        </w:tc>
      </w:tr>
    </w:tbl>
    <w:p w14:paraId="36953388"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Company's profit structure or source of profit underwent material changes during the Reporting Period.</w:t>
      </w:r>
    </w:p>
    <w:p w14:paraId="14E6CB77" w14:textId="61409561"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8C49B7"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75184CA6"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Company's profit structure or source of profit underwent no material changes during the Reporting Period.</w:t>
      </w:r>
    </w:p>
    <w:p w14:paraId="404173E4"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Products or services accounting for more than 10%</w:t>
      </w:r>
    </w:p>
    <w:p w14:paraId="2A07C7C6" w14:textId="77777777" w:rsidR="006B66B7" w:rsidRPr="00F73301" w:rsidRDefault="002349C6" w:rsidP="008C49B7">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0787B786"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080"/>
        <w:gridCol w:w="1418"/>
        <w:gridCol w:w="1559"/>
        <w:gridCol w:w="1451"/>
      </w:tblGrid>
      <w:tr w:rsidR="006B66B7" w:rsidRPr="008C49B7" w14:paraId="266E9DD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C9832D1" w14:textId="77777777" w:rsidR="006B66B7" w:rsidRPr="008C49B7" w:rsidRDefault="006B66B7" w:rsidP="008C49B7">
            <w:pPr>
              <w:snapToGrid w:val="0"/>
              <w:rPr>
                <w:rFonts w:ascii="Times New Roman"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E2836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Operating revenue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DD7A31E"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Operating cost</w:t>
            </w:r>
          </w:p>
        </w:tc>
        <w:tc>
          <w:tcPr>
            <w:tcW w:w="1080" w:type="dxa"/>
            <w:tcBorders>
              <w:top w:val="single" w:sz="2" w:space="0" w:color="auto"/>
              <w:left w:val="single" w:sz="2" w:space="0" w:color="auto"/>
              <w:bottom w:val="single" w:sz="2" w:space="0" w:color="auto"/>
              <w:right w:val="single" w:sz="2" w:space="0" w:color="auto"/>
            </w:tcBorders>
            <w:shd w:val="clear" w:color="auto" w:fill="D3D3D3"/>
            <w:vAlign w:val="center"/>
          </w:tcPr>
          <w:p w14:paraId="24997F41"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Gross profit margin</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2FB3B3C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Increase/decrease in operating revenue from the same period of the previous year</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C04F15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Increase/decrease in operating cost from the same period last year</w:t>
            </w: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14:paraId="04AAC5B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Increase/decrease in gross profit margin from the same period last year</w:t>
            </w:r>
          </w:p>
        </w:tc>
      </w:tr>
      <w:tr w:rsidR="006B66B7" w:rsidRPr="008C49B7" w14:paraId="06F77FBA" w14:textId="77777777" w:rsidTr="0001208F">
        <w:trPr>
          <w:jc w:val="center"/>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7CA9538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By product or service</w:t>
            </w:r>
          </w:p>
        </w:tc>
      </w:tr>
      <w:tr w:rsidR="006B66B7" w:rsidRPr="008C49B7" w14:paraId="630F441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FEBAFE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Semiconductor components</w:t>
            </w:r>
          </w:p>
        </w:tc>
        <w:tc>
          <w:tcPr>
            <w:tcW w:w="1377" w:type="dxa"/>
            <w:tcBorders>
              <w:top w:val="single" w:sz="2" w:space="0" w:color="auto"/>
              <w:left w:val="single" w:sz="2" w:space="0" w:color="auto"/>
              <w:bottom w:val="single" w:sz="2" w:space="0" w:color="auto"/>
              <w:right w:val="single" w:sz="2" w:space="0" w:color="auto"/>
            </w:tcBorders>
            <w:vAlign w:val="center"/>
          </w:tcPr>
          <w:p w14:paraId="6FC806A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2,218,061,362.39</w:t>
            </w:r>
          </w:p>
        </w:tc>
        <w:tc>
          <w:tcPr>
            <w:tcW w:w="1377" w:type="dxa"/>
            <w:tcBorders>
              <w:top w:val="single" w:sz="2" w:space="0" w:color="auto"/>
              <w:left w:val="single" w:sz="2" w:space="0" w:color="auto"/>
              <w:bottom w:val="single" w:sz="2" w:space="0" w:color="auto"/>
              <w:right w:val="single" w:sz="2" w:space="0" w:color="auto"/>
            </w:tcBorders>
            <w:vAlign w:val="center"/>
          </w:tcPr>
          <w:p w14:paraId="67B36D4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1,549,247,092.03</w:t>
            </w:r>
          </w:p>
        </w:tc>
        <w:tc>
          <w:tcPr>
            <w:tcW w:w="1080" w:type="dxa"/>
            <w:tcBorders>
              <w:top w:val="single" w:sz="2" w:space="0" w:color="auto"/>
              <w:left w:val="single" w:sz="2" w:space="0" w:color="auto"/>
              <w:bottom w:val="single" w:sz="2" w:space="0" w:color="auto"/>
              <w:right w:val="single" w:sz="2" w:space="0" w:color="auto"/>
            </w:tcBorders>
            <w:vAlign w:val="center"/>
          </w:tcPr>
          <w:p w14:paraId="6973794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30.15%</w:t>
            </w:r>
          </w:p>
        </w:tc>
        <w:tc>
          <w:tcPr>
            <w:tcW w:w="1418" w:type="dxa"/>
            <w:tcBorders>
              <w:top w:val="single" w:sz="2" w:space="0" w:color="auto"/>
              <w:left w:val="single" w:sz="2" w:space="0" w:color="auto"/>
              <w:bottom w:val="single" w:sz="2" w:space="0" w:color="auto"/>
              <w:right w:val="single" w:sz="2" w:space="0" w:color="auto"/>
            </w:tcBorders>
            <w:vAlign w:val="center"/>
          </w:tcPr>
          <w:p w14:paraId="0E00A61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-6.17%</w:t>
            </w:r>
          </w:p>
        </w:tc>
        <w:tc>
          <w:tcPr>
            <w:tcW w:w="1559" w:type="dxa"/>
            <w:tcBorders>
              <w:top w:val="single" w:sz="2" w:space="0" w:color="auto"/>
              <w:left w:val="single" w:sz="2" w:space="0" w:color="auto"/>
              <w:bottom w:val="single" w:sz="2" w:space="0" w:color="auto"/>
              <w:right w:val="single" w:sz="2" w:space="0" w:color="auto"/>
            </w:tcBorders>
            <w:vAlign w:val="center"/>
          </w:tcPr>
          <w:p w14:paraId="49F149A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3.68%</w:t>
            </w:r>
          </w:p>
        </w:tc>
        <w:tc>
          <w:tcPr>
            <w:tcW w:w="1451" w:type="dxa"/>
            <w:tcBorders>
              <w:top w:val="single" w:sz="2" w:space="0" w:color="auto"/>
              <w:left w:val="single" w:sz="2" w:space="0" w:color="auto"/>
              <w:bottom w:val="single" w:sz="2" w:space="0" w:color="auto"/>
              <w:right w:val="single" w:sz="2" w:space="0" w:color="auto"/>
            </w:tcBorders>
            <w:vAlign w:val="center"/>
          </w:tcPr>
          <w:p w14:paraId="48A452F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-6.64%</w:t>
            </w:r>
          </w:p>
        </w:tc>
      </w:tr>
      <w:tr w:rsidR="006B66B7" w:rsidRPr="008C49B7" w14:paraId="7E2323A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BB3097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Semiconductor chips</w:t>
            </w:r>
          </w:p>
        </w:tc>
        <w:tc>
          <w:tcPr>
            <w:tcW w:w="1377" w:type="dxa"/>
            <w:tcBorders>
              <w:top w:val="single" w:sz="2" w:space="0" w:color="auto"/>
              <w:left w:val="single" w:sz="2" w:space="0" w:color="auto"/>
              <w:bottom w:val="single" w:sz="2" w:space="0" w:color="auto"/>
              <w:right w:val="single" w:sz="2" w:space="0" w:color="auto"/>
            </w:tcBorders>
            <w:vAlign w:val="center"/>
          </w:tcPr>
          <w:p w14:paraId="7E7E99B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260,095,604.95</w:t>
            </w:r>
          </w:p>
        </w:tc>
        <w:tc>
          <w:tcPr>
            <w:tcW w:w="1377" w:type="dxa"/>
            <w:tcBorders>
              <w:top w:val="single" w:sz="2" w:space="0" w:color="auto"/>
              <w:left w:val="single" w:sz="2" w:space="0" w:color="auto"/>
              <w:bottom w:val="single" w:sz="2" w:space="0" w:color="auto"/>
              <w:right w:val="single" w:sz="2" w:space="0" w:color="auto"/>
            </w:tcBorders>
            <w:vAlign w:val="center"/>
          </w:tcPr>
          <w:p w14:paraId="59DB842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203,016,085.15</w:t>
            </w:r>
          </w:p>
        </w:tc>
        <w:tc>
          <w:tcPr>
            <w:tcW w:w="1080" w:type="dxa"/>
            <w:tcBorders>
              <w:top w:val="single" w:sz="2" w:space="0" w:color="auto"/>
              <w:left w:val="single" w:sz="2" w:space="0" w:color="auto"/>
              <w:bottom w:val="single" w:sz="2" w:space="0" w:color="auto"/>
              <w:right w:val="single" w:sz="2" w:space="0" w:color="auto"/>
            </w:tcBorders>
            <w:vAlign w:val="center"/>
          </w:tcPr>
          <w:p w14:paraId="556AA0D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21.95%</w:t>
            </w:r>
          </w:p>
        </w:tc>
        <w:tc>
          <w:tcPr>
            <w:tcW w:w="1418" w:type="dxa"/>
            <w:tcBorders>
              <w:top w:val="single" w:sz="2" w:space="0" w:color="auto"/>
              <w:left w:val="single" w:sz="2" w:space="0" w:color="auto"/>
              <w:bottom w:val="single" w:sz="2" w:space="0" w:color="auto"/>
              <w:right w:val="single" w:sz="2" w:space="0" w:color="auto"/>
            </w:tcBorders>
            <w:vAlign w:val="center"/>
          </w:tcPr>
          <w:p w14:paraId="76AA3B6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-35.89%</w:t>
            </w:r>
          </w:p>
        </w:tc>
        <w:tc>
          <w:tcPr>
            <w:tcW w:w="1559" w:type="dxa"/>
            <w:tcBorders>
              <w:top w:val="single" w:sz="2" w:space="0" w:color="auto"/>
              <w:left w:val="single" w:sz="2" w:space="0" w:color="auto"/>
              <w:bottom w:val="single" w:sz="2" w:space="0" w:color="auto"/>
              <w:right w:val="single" w:sz="2" w:space="0" w:color="auto"/>
            </w:tcBorders>
            <w:vAlign w:val="center"/>
          </w:tcPr>
          <w:p w14:paraId="7BB6386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-20.39%</w:t>
            </w:r>
          </w:p>
        </w:tc>
        <w:tc>
          <w:tcPr>
            <w:tcW w:w="1451" w:type="dxa"/>
            <w:tcBorders>
              <w:top w:val="single" w:sz="2" w:space="0" w:color="auto"/>
              <w:left w:val="single" w:sz="2" w:space="0" w:color="auto"/>
              <w:bottom w:val="single" w:sz="2" w:space="0" w:color="auto"/>
              <w:right w:val="single" w:sz="2" w:space="0" w:color="auto"/>
            </w:tcBorders>
            <w:vAlign w:val="center"/>
          </w:tcPr>
          <w:p w14:paraId="189DF09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-15.19%</w:t>
            </w:r>
          </w:p>
        </w:tc>
      </w:tr>
      <w:tr w:rsidR="006B66B7" w:rsidRPr="008C49B7" w14:paraId="45C40EE3"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251C696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Semiconductor silicon wafers</w:t>
            </w:r>
          </w:p>
        </w:tc>
        <w:tc>
          <w:tcPr>
            <w:tcW w:w="1377" w:type="dxa"/>
            <w:tcBorders>
              <w:top w:val="single" w:sz="2" w:space="0" w:color="auto"/>
              <w:left w:val="single" w:sz="2" w:space="0" w:color="auto"/>
              <w:bottom w:val="single" w:sz="2" w:space="0" w:color="auto"/>
              <w:right w:val="single" w:sz="2" w:space="0" w:color="auto"/>
            </w:tcBorders>
            <w:vAlign w:val="center"/>
          </w:tcPr>
          <w:p w14:paraId="4E039DA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90,935,642.95</w:t>
            </w:r>
          </w:p>
        </w:tc>
        <w:tc>
          <w:tcPr>
            <w:tcW w:w="1377" w:type="dxa"/>
            <w:tcBorders>
              <w:top w:val="single" w:sz="2" w:space="0" w:color="auto"/>
              <w:left w:val="single" w:sz="2" w:space="0" w:color="auto"/>
              <w:bottom w:val="single" w:sz="2" w:space="0" w:color="auto"/>
              <w:right w:val="single" w:sz="2" w:space="0" w:color="auto"/>
            </w:tcBorders>
            <w:vAlign w:val="center"/>
          </w:tcPr>
          <w:p w14:paraId="7BC413B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74,984,039.02</w:t>
            </w:r>
          </w:p>
        </w:tc>
        <w:tc>
          <w:tcPr>
            <w:tcW w:w="1080" w:type="dxa"/>
            <w:tcBorders>
              <w:top w:val="single" w:sz="2" w:space="0" w:color="auto"/>
              <w:left w:val="single" w:sz="2" w:space="0" w:color="auto"/>
              <w:bottom w:val="single" w:sz="2" w:space="0" w:color="auto"/>
              <w:right w:val="single" w:sz="2" w:space="0" w:color="auto"/>
            </w:tcBorders>
            <w:vAlign w:val="center"/>
          </w:tcPr>
          <w:p w14:paraId="2C34491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17.54%</w:t>
            </w:r>
          </w:p>
        </w:tc>
        <w:tc>
          <w:tcPr>
            <w:tcW w:w="1418" w:type="dxa"/>
            <w:tcBorders>
              <w:top w:val="single" w:sz="2" w:space="0" w:color="auto"/>
              <w:left w:val="single" w:sz="2" w:space="0" w:color="auto"/>
              <w:bottom w:val="single" w:sz="2" w:space="0" w:color="auto"/>
              <w:right w:val="single" w:sz="2" w:space="0" w:color="auto"/>
            </w:tcBorders>
            <w:vAlign w:val="center"/>
          </w:tcPr>
          <w:p w14:paraId="6CE4BE7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-42.18%</w:t>
            </w:r>
          </w:p>
        </w:tc>
        <w:tc>
          <w:tcPr>
            <w:tcW w:w="1559" w:type="dxa"/>
            <w:tcBorders>
              <w:top w:val="single" w:sz="2" w:space="0" w:color="auto"/>
              <w:left w:val="single" w:sz="2" w:space="0" w:color="auto"/>
              <w:bottom w:val="single" w:sz="2" w:space="0" w:color="auto"/>
              <w:right w:val="single" w:sz="2" w:space="0" w:color="auto"/>
            </w:tcBorders>
            <w:vAlign w:val="center"/>
          </w:tcPr>
          <w:p w14:paraId="1E6B9D2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-29.40%</w:t>
            </w:r>
          </w:p>
        </w:tc>
        <w:tc>
          <w:tcPr>
            <w:tcW w:w="1451" w:type="dxa"/>
            <w:tcBorders>
              <w:top w:val="single" w:sz="2" w:space="0" w:color="auto"/>
              <w:left w:val="single" w:sz="2" w:space="0" w:color="auto"/>
              <w:bottom w:val="single" w:sz="2" w:space="0" w:color="auto"/>
              <w:right w:val="single" w:sz="2" w:space="0" w:color="auto"/>
            </w:tcBorders>
            <w:vAlign w:val="center"/>
          </w:tcPr>
          <w:p w14:paraId="21794E7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-14.93%</w:t>
            </w:r>
          </w:p>
        </w:tc>
      </w:tr>
      <w:tr w:rsidR="006B66B7" w:rsidRPr="008C49B7" w14:paraId="1B64BC43"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0D7BE44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64F101A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2,569,092,610.29</w:t>
            </w:r>
          </w:p>
        </w:tc>
        <w:tc>
          <w:tcPr>
            <w:tcW w:w="1377" w:type="dxa"/>
            <w:tcBorders>
              <w:top w:val="single" w:sz="2" w:space="0" w:color="auto"/>
              <w:left w:val="single" w:sz="2" w:space="0" w:color="auto"/>
              <w:bottom w:val="single" w:sz="2" w:space="0" w:color="auto"/>
              <w:right w:val="single" w:sz="2" w:space="0" w:color="auto"/>
            </w:tcBorders>
            <w:vAlign w:val="center"/>
          </w:tcPr>
          <w:p w14:paraId="0CDA6F8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1,827,247,216.20</w:t>
            </w:r>
          </w:p>
        </w:tc>
        <w:tc>
          <w:tcPr>
            <w:tcW w:w="1080" w:type="dxa"/>
            <w:tcBorders>
              <w:top w:val="single" w:sz="2" w:space="0" w:color="auto"/>
              <w:left w:val="single" w:sz="2" w:space="0" w:color="auto"/>
              <w:bottom w:val="single" w:sz="2" w:space="0" w:color="auto"/>
              <w:right w:val="single" w:sz="2" w:space="0" w:color="auto"/>
            </w:tcBorders>
            <w:vAlign w:val="center"/>
          </w:tcPr>
          <w:p w14:paraId="32F4E5B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28.88%</w:t>
            </w:r>
          </w:p>
        </w:tc>
        <w:tc>
          <w:tcPr>
            <w:tcW w:w="1418" w:type="dxa"/>
            <w:tcBorders>
              <w:top w:val="single" w:sz="2" w:space="0" w:color="auto"/>
              <w:left w:val="single" w:sz="2" w:space="0" w:color="auto"/>
              <w:bottom w:val="single" w:sz="2" w:space="0" w:color="auto"/>
              <w:right w:val="single" w:sz="2" w:space="0" w:color="auto"/>
            </w:tcBorders>
            <w:vAlign w:val="center"/>
          </w:tcPr>
          <w:p w14:paraId="781E1B6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-12.22%</w:t>
            </w:r>
          </w:p>
        </w:tc>
        <w:tc>
          <w:tcPr>
            <w:tcW w:w="1559" w:type="dxa"/>
            <w:tcBorders>
              <w:top w:val="single" w:sz="2" w:space="0" w:color="auto"/>
              <w:left w:val="single" w:sz="2" w:space="0" w:color="auto"/>
              <w:bottom w:val="single" w:sz="2" w:space="0" w:color="auto"/>
              <w:right w:val="single" w:sz="2" w:space="0" w:color="auto"/>
            </w:tcBorders>
            <w:vAlign w:val="center"/>
          </w:tcPr>
          <w:p w14:paraId="360E7B3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-1.52%</w:t>
            </w:r>
          </w:p>
        </w:tc>
        <w:tc>
          <w:tcPr>
            <w:tcW w:w="1451" w:type="dxa"/>
            <w:tcBorders>
              <w:top w:val="single" w:sz="2" w:space="0" w:color="auto"/>
              <w:left w:val="single" w:sz="2" w:space="0" w:color="auto"/>
              <w:bottom w:val="single" w:sz="2" w:space="0" w:color="auto"/>
              <w:right w:val="single" w:sz="2" w:space="0" w:color="auto"/>
            </w:tcBorders>
            <w:vAlign w:val="center"/>
          </w:tcPr>
          <w:p w14:paraId="649AA2C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-7.73%</w:t>
            </w:r>
          </w:p>
        </w:tc>
      </w:tr>
    </w:tbl>
    <w:p w14:paraId="029720BF" w14:textId="77777777" w:rsidR="006B66B7" w:rsidRPr="00F73301" w:rsidRDefault="006B66B7" w:rsidP="00A9288A">
      <w:pPr>
        <w:snapToGrid w:val="0"/>
        <w:spacing w:beforeLines="50" w:before="156" w:afterLines="50" w:after="156"/>
        <w:jc w:val="both"/>
        <w:rPr>
          <w:rFonts w:ascii="Times New Roman" w:hAnsi="Times New Roman" w:cs="Times New Roman"/>
          <w:sz w:val="24"/>
          <w:szCs w:val="24"/>
        </w:rPr>
      </w:pPr>
    </w:p>
    <w:p w14:paraId="7AD00105" w14:textId="77777777" w:rsidR="006B66B7" w:rsidRPr="00F73301" w:rsidRDefault="002349C6" w:rsidP="00A9288A">
      <w:pPr>
        <w:pStyle w:val="2"/>
      </w:pPr>
      <w:bookmarkStart w:id="18" w:name="_Toc988906"/>
      <w:r w:rsidRPr="00F73301">
        <w:t>IV. Analysis of Non-principal Business</w:t>
      </w:r>
      <w:bookmarkEnd w:id="18"/>
    </w:p>
    <w:p w14:paraId="18C42185"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3746A9BC"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2263"/>
        <w:gridCol w:w="1593"/>
      </w:tblGrid>
      <w:tr w:rsidR="006B66B7" w:rsidRPr="008C49B7" w14:paraId="680A109E" w14:textId="77777777" w:rsidTr="0001208F">
        <w:trPr>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2CEA508A" w14:textId="77777777" w:rsidR="006B66B7" w:rsidRPr="008C49B7" w:rsidRDefault="006B66B7" w:rsidP="008C49B7">
            <w:pPr>
              <w:snapToGrid w:val="0"/>
              <w:rPr>
                <w:rFonts w:ascii="Times New Roman"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207D4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Amount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73AB2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Proportion to total profit</w:t>
            </w:r>
          </w:p>
        </w:tc>
        <w:tc>
          <w:tcPr>
            <w:tcW w:w="2263" w:type="dxa"/>
            <w:tcBorders>
              <w:top w:val="single" w:sz="2" w:space="0" w:color="auto"/>
              <w:left w:val="single" w:sz="2" w:space="0" w:color="auto"/>
              <w:bottom w:val="single" w:sz="2" w:space="0" w:color="auto"/>
              <w:right w:val="single" w:sz="2" w:space="0" w:color="auto"/>
            </w:tcBorders>
            <w:shd w:val="clear" w:color="auto" w:fill="D3D3D3"/>
            <w:vAlign w:val="center"/>
          </w:tcPr>
          <w:p w14:paraId="397A734D"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Reason(s)</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14:paraId="29A6334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Sustainable or not</w:t>
            </w:r>
          </w:p>
        </w:tc>
      </w:tr>
      <w:tr w:rsidR="006B66B7" w:rsidRPr="008C49B7" w14:paraId="65B334C7" w14:textId="77777777" w:rsidTr="0001208F">
        <w:trPr>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52C77D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Investment income</w:t>
            </w:r>
          </w:p>
        </w:tc>
        <w:tc>
          <w:tcPr>
            <w:tcW w:w="1928" w:type="dxa"/>
            <w:tcBorders>
              <w:top w:val="single" w:sz="2" w:space="0" w:color="auto"/>
              <w:left w:val="single" w:sz="2" w:space="0" w:color="auto"/>
              <w:bottom w:val="single" w:sz="2" w:space="0" w:color="auto"/>
              <w:right w:val="single" w:sz="2" w:space="0" w:color="auto"/>
            </w:tcBorders>
            <w:vAlign w:val="center"/>
          </w:tcPr>
          <w:p w14:paraId="75FDF89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35,468,139.61</w:t>
            </w:r>
          </w:p>
        </w:tc>
        <w:tc>
          <w:tcPr>
            <w:tcW w:w="1928" w:type="dxa"/>
            <w:tcBorders>
              <w:top w:val="single" w:sz="2" w:space="0" w:color="auto"/>
              <w:left w:val="single" w:sz="2" w:space="0" w:color="auto"/>
              <w:bottom w:val="single" w:sz="2" w:space="0" w:color="auto"/>
              <w:right w:val="single" w:sz="2" w:space="0" w:color="auto"/>
            </w:tcBorders>
            <w:vAlign w:val="center"/>
          </w:tcPr>
          <w:p w14:paraId="2B36033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7.48%</w:t>
            </w:r>
          </w:p>
        </w:tc>
        <w:tc>
          <w:tcPr>
            <w:tcW w:w="2263" w:type="dxa"/>
            <w:tcBorders>
              <w:top w:val="single" w:sz="2" w:space="0" w:color="auto"/>
              <w:left w:val="single" w:sz="2" w:space="0" w:color="auto"/>
              <w:bottom w:val="single" w:sz="2" w:space="0" w:color="auto"/>
              <w:right w:val="single" w:sz="2" w:space="0" w:color="auto"/>
            </w:tcBorders>
            <w:vAlign w:val="center"/>
          </w:tcPr>
          <w:p w14:paraId="5225DFF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income on long-term equity investments calculated by the equity method.</w:t>
            </w:r>
          </w:p>
        </w:tc>
        <w:tc>
          <w:tcPr>
            <w:tcW w:w="1593" w:type="dxa"/>
            <w:tcBorders>
              <w:top w:val="single" w:sz="2" w:space="0" w:color="auto"/>
              <w:left w:val="single" w:sz="2" w:space="0" w:color="auto"/>
              <w:bottom w:val="single" w:sz="2" w:space="0" w:color="auto"/>
              <w:right w:val="single" w:sz="2" w:space="0" w:color="auto"/>
            </w:tcBorders>
            <w:vAlign w:val="center"/>
          </w:tcPr>
          <w:p w14:paraId="120F080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w:t>
            </w:r>
          </w:p>
        </w:tc>
      </w:tr>
      <w:tr w:rsidR="006B66B7" w:rsidRPr="008C49B7" w14:paraId="66D1132D" w14:textId="77777777" w:rsidTr="0001208F">
        <w:trPr>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26FCA06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Gains or losses from changes in fair value</w:t>
            </w:r>
          </w:p>
        </w:tc>
        <w:tc>
          <w:tcPr>
            <w:tcW w:w="1928" w:type="dxa"/>
            <w:tcBorders>
              <w:top w:val="single" w:sz="2" w:space="0" w:color="auto"/>
              <w:left w:val="single" w:sz="2" w:space="0" w:color="auto"/>
              <w:bottom w:val="single" w:sz="2" w:space="0" w:color="auto"/>
              <w:right w:val="single" w:sz="2" w:space="0" w:color="auto"/>
            </w:tcBorders>
            <w:vAlign w:val="center"/>
          </w:tcPr>
          <w:p w14:paraId="44A1FDF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-15,580,233.35</w:t>
            </w:r>
          </w:p>
        </w:tc>
        <w:tc>
          <w:tcPr>
            <w:tcW w:w="1928" w:type="dxa"/>
            <w:tcBorders>
              <w:top w:val="single" w:sz="2" w:space="0" w:color="auto"/>
              <w:left w:val="single" w:sz="2" w:space="0" w:color="auto"/>
              <w:bottom w:val="single" w:sz="2" w:space="0" w:color="auto"/>
              <w:right w:val="single" w:sz="2" w:space="0" w:color="auto"/>
            </w:tcBorders>
            <w:vAlign w:val="center"/>
          </w:tcPr>
          <w:p w14:paraId="159893D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-3.28%</w:t>
            </w:r>
          </w:p>
        </w:tc>
        <w:tc>
          <w:tcPr>
            <w:tcW w:w="2263" w:type="dxa"/>
            <w:tcBorders>
              <w:top w:val="single" w:sz="2" w:space="0" w:color="auto"/>
              <w:left w:val="single" w:sz="2" w:space="0" w:color="auto"/>
              <w:bottom w:val="single" w:sz="2" w:space="0" w:color="auto"/>
              <w:right w:val="single" w:sz="2" w:space="0" w:color="auto"/>
            </w:tcBorders>
            <w:vAlign w:val="center"/>
          </w:tcPr>
          <w:p w14:paraId="196C984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Mainly due to the decline in the share prices of Chengzhi Shareholding Co., Ltd. indirectly held through Nantong </w:t>
            </w:r>
            <w:proofErr w:type="spellStart"/>
            <w:r w:rsidRPr="008C49B7">
              <w:rPr>
                <w:rFonts w:ascii="Times New Roman" w:eastAsia="宋体" w:hAnsi="Times New Roman" w:cs="Times New Roman"/>
                <w:sz w:val="18"/>
                <w:szCs w:val="18"/>
              </w:rPr>
              <w:t>Jinxin</w:t>
            </w:r>
            <w:proofErr w:type="spellEnd"/>
            <w:r w:rsidRPr="008C49B7">
              <w:rPr>
                <w:rFonts w:ascii="Times New Roman" w:eastAsia="宋体" w:hAnsi="Times New Roman" w:cs="Times New Roman"/>
                <w:sz w:val="18"/>
                <w:szCs w:val="18"/>
              </w:rPr>
              <w:t xml:space="preserve"> </w:t>
            </w:r>
            <w:proofErr w:type="spellStart"/>
            <w:r w:rsidRPr="008C49B7">
              <w:rPr>
                <w:rFonts w:ascii="Times New Roman" w:eastAsia="宋体" w:hAnsi="Times New Roman" w:cs="Times New Roman"/>
                <w:sz w:val="18"/>
                <w:szCs w:val="18"/>
              </w:rPr>
              <w:t>Haohua</w:t>
            </w:r>
            <w:proofErr w:type="spellEnd"/>
            <w:r w:rsidRPr="008C49B7">
              <w:rPr>
                <w:rFonts w:ascii="Times New Roman" w:eastAsia="宋体" w:hAnsi="Times New Roman" w:cs="Times New Roman"/>
                <w:sz w:val="18"/>
                <w:szCs w:val="18"/>
              </w:rPr>
              <w:t xml:space="preserve"> Investment Center (LP) and </w:t>
            </w:r>
            <w:proofErr w:type="spellStart"/>
            <w:r w:rsidRPr="008C49B7">
              <w:rPr>
                <w:rFonts w:ascii="Times New Roman" w:eastAsia="宋体" w:hAnsi="Times New Roman" w:cs="Times New Roman"/>
                <w:sz w:val="18"/>
                <w:szCs w:val="18"/>
              </w:rPr>
              <w:t>Guobo</w:t>
            </w:r>
            <w:proofErr w:type="spellEnd"/>
            <w:r w:rsidRPr="008C49B7">
              <w:rPr>
                <w:rFonts w:ascii="Times New Roman" w:eastAsia="宋体" w:hAnsi="Times New Roman" w:cs="Times New Roman"/>
                <w:sz w:val="18"/>
                <w:szCs w:val="18"/>
              </w:rPr>
              <w:t xml:space="preserve"> Electronics Co., Ltd. indirectly held through Ningbo </w:t>
            </w:r>
            <w:proofErr w:type="spellStart"/>
            <w:r w:rsidRPr="008C49B7">
              <w:rPr>
                <w:rFonts w:ascii="Times New Roman" w:eastAsia="宋体" w:hAnsi="Times New Roman" w:cs="Times New Roman"/>
                <w:sz w:val="18"/>
                <w:szCs w:val="18"/>
              </w:rPr>
              <w:t>Dongxin</w:t>
            </w:r>
            <w:proofErr w:type="spellEnd"/>
            <w:r w:rsidRPr="008C49B7">
              <w:rPr>
                <w:rFonts w:ascii="Times New Roman" w:eastAsia="宋体" w:hAnsi="Times New Roman" w:cs="Times New Roman"/>
                <w:sz w:val="18"/>
                <w:szCs w:val="18"/>
              </w:rPr>
              <w:t xml:space="preserve"> </w:t>
            </w:r>
            <w:proofErr w:type="spellStart"/>
            <w:r w:rsidRPr="008C49B7">
              <w:rPr>
                <w:rFonts w:ascii="Times New Roman" w:eastAsia="宋体" w:hAnsi="Times New Roman" w:cs="Times New Roman"/>
                <w:sz w:val="18"/>
                <w:szCs w:val="18"/>
              </w:rPr>
              <w:t>Guohong</w:t>
            </w:r>
            <w:proofErr w:type="spellEnd"/>
            <w:r w:rsidRPr="008C49B7">
              <w:rPr>
                <w:rFonts w:ascii="Times New Roman" w:eastAsia="宋体" w:hAnsi="Times New Roman" w:cs="Times New Roman"/>
                <w:sz w:val="18"/>
                <w:szCs w:val="18"/>
              </w:rPr>
              <w:t xml:space="preserve"> Enterprise Management Partnership (LP) at the end of the Reporting Period.</w:t>
            </w:r>
          </w:p>
        </w:tc>
        <w:tc>
          <w:tcPr>
            <w:tcW w:w="1593" w:type="dxa"/>
            <w:tcBorders>
              <w:top w:val="single" w:sz="2" w:space="0" w:color="auto"/>
              <w:left w:val="single" w:sz="2" w:space="0" w:color="auto"/>
              <w:bottom w:val="single" w:sz="2" w:space="0" w:color="auto"/>
              <w:right w:val="single" w:sz="2" w:space="0" w:color="auto"/>
            </w:tcBorders>
            <w:vAlign w:val="center"/>
          </w:tcPr>
          <w:p w14:paraId="761A378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w:t>
            </w:r>
          </w:p>
        </w:tc>
      </w:tr>
      <w:tr w:rsidR="006B66B7" w:rsidRPr="008C49B7" w14:paraId="621F1F7F" w14:textId="77777777" w:rsidTr="0001208F">
        <w:trPr>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DD99D2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Asset impairment</w:t>
            </w:r>
          </w:p>
        </w:tc>
        <w:tc>
          <w:tcPr>
            <w:tcW w:w="1928" w:type="dxa"/>
            <w:tcBorders>
              <w:top w:val="single" w:sz="2" w:space="0" w:color="auto"/>
              <w:left w:val="single" w:sz="2" w:space="0" w:color="auto"/>
              <w:bottom w:val="single" w:sz="2" w:space="0" w:color="auto"/>
              <w:right w:val="single" w:sz="2" w:space="0" w:color="auto"/>
            </w:tcBorders>
            <w:vAlign w:val="center"/>
          </w:tcPr>
          <w:p w14:paraId="206EF26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-27,191,500.99</w:t>
            </w:r>
          </w:p>
        </w:tc>
        <w:tc>
          <w:tcPr>
            <w:tcW w:w="1928" w:type="dxa"/>
            <w:tcBorders>
              <w:top w:val="single" w:sz="2" w:space="0" w:color="auto"/>
              <w:left w:val="single" w:sz="2" w:space="0" w:color="auto"/>
              <w:bottom w:val="single" w:sz="2" w:space="0" w:color="auto"/>
              <w:right w:val="single" w:sz="2" w:space="0" w:color="auto"/>
            </w:tcBorders>
            <w:vAlign w:val="center"/>
          </w:tcPr>
          <w:p w14:paraId="5B554DF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-5.73%</w:t>
            </w:r>
          </w:p>
        </w:tc>
        <w:tc>
          <w:tcPr>
            <w:tcW w:w="2263" w:type="dxa"/>
            <w:tcBorders>
              <w:top w:val="single" w:sz="2" w:space="0" w:color="auto"/>
              <w:left w:val="single" w:sz="2" w:space="0" w:color="auto"/>
              <w:bottom w:val="single" w:sz="2" w:space="0" w:color="auto"/>
              <w:right w:val="single" w:sz="2" w:space="0" w:color="auto"/>
            </w:tcBorders>
            <w:vAlign w:val="center"/>
          </w:tcPr>
          <w:p w14:paraId="729D486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reserve fund for market diminution in value of inventory.</w:t>
            </w:r>
          </w:p>
        </w:tc>
        <w:tc>
          <w:tcPr>
            <w:tcW w:w="1593" w:type="dxa"/>
            <w:tcBorders>
              <w:top w:val="single" w:sz="2" w:space="0" w:color="auto"/>
              <w:left w:val="single" w:sz="2" w:space="0" w:color="auto"/>
              <w:bottom w:val="single" w:sz="2" w:space="0" w:color="auto"/>
              <w:right w:val="single" w:sz="2" w:space="0" w:color="auto"/>
            </w:tcBorders>
            <w:vAlign w:val="center"/>
          </w:tcPr>
          <w:p w14:paraId="16EECC4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w:t>
            </w:r>
          </w:p>
        </w:tc>
      </w:tr>
      <w:tr w:rsidR="006B66B7" w:rsidRPr="008C49B7" w14:paraId="28C72D4D" w14:textId="77777777" w:rsidTr="0001208F">
        <w:trPr>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F08405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Non-operating income</w:t>
            </w:r>
          </w:p>
        </w:tc>
        <w:tc>
          <w:tcPr>
            <w:tcW w:w="1928" w:type="dxa"/>
            <w:tcBorders>
              <w:top w:val="single" w:sz="2" w:space="0" w:color="auto"/>
              <w:left w:val="single" w:sz="2" w:space="0" w:color="auto"/>
              <w:bottom w:val="single" w:sz="2" w:space="0" w:color="auto"/>
              <w:right w:val="single" w:sz="2" w:space="0" w:color="auto"/>
            </w:tcBorders>
            <w:vAlign w:val="center"/>
          </w:tcPr>
          <w:p w14:paraId="5A988D4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1,363,917.48</w:t>
            </w:r>
          </w:p>
        </w:tc>
        <w:tc>
          <w:tcPr>
            <w:tcW w:w="1928" w:type="dxa"/>
            <w:tcBorders>
              <w:top w:val="single" w:sz="2" w:space="0" w:color="auto"/>
              <w:left w:val="single" w:sz="2" w:space="0" w:color="auto"/>
              <w:bottom w:val="single" w:sz="2" w:space="0" w:color="auto"/>
              <w:right w:val="single" w:sz="2" w:space="0" w:color="auto"/>
            </w:tcBorders>
            <w:vAlign w:val="center"/>
          </w:tcPr>
          <w:p w14:paraId="2971214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0.29%</w:t>
            </w:r>
          </w:p>
        </w:tc>
        <w:tc>
          <w:tcPr>
            <w:tcW w:w="2263" w:type="dxa"/>
            <w:tcBorders>
              <w:top w:val="single" w:sz="2" w:space="0" w:color="auto"/>
              <w:left w:val="single" w:sz="2" w:space="0" w:color="auto"/>
              <w:bottom w:val="single" w:sz="2" w:space="0" w:color="auto"/>
              <w:right w:val="single" w:sz="2" w:space="0" w:color="auto"/>
            </w:tcBorders>
            <w:vAlign w:val="center"/>
          </w:tcPr>
          <w:p w14:paraId="74159E7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income from indemnity.</w:t>
            </w:r>
          </w:p>
        </w:tc>
        <w:tc>
          <w:tcPr>
            <w:tcW w:w="1593" w:type="dxa"/>
            <w:tcBorders>
              <w:top w:val="single" w:sz="2" w:space="0" w:color="auto"/>
              <w:left w:val="single" w:sz="2" w:space="0" w:color="auto"/>
              <w:bottom w:val="single" w:sz="2" w:space="0" w:color="auto"/>
              <w:right w:val="single" w:sz="2" w:space="0" w:color="auto"/>
            </w:tcBorders>
            <w:vAlign w:val="center"/>
          </w:tcPr>
          <w:p w14:paraId="7C6E267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w:t>
            </w:r>
          </w:p>
        </w:tc>
      </w:tr>
      <w:tr w:rsidR="006B66B7" w:rsidRPr="008C49B7" w14:paraId="5CD22D99" w14:textId="77777777" w:rsidTr="0001208F">
        <w:trPr>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C21BD1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Non-operating expense</w:t>
            </w:r>
          </w:p>
        </w:tc>
        <w:tc>
          <w:tcPr>
            <w:tcW w:w="1928" w:type="dxa"/>
            <w:tcBorders>
              <w:top w:val="single" w:sz="2" w:space="0" w:color="auto"/>
              <w:left w:val="single" w:sz="2" w:space="0" w:color="auto"/>
              <w:bottom w:val="single" w:sz="2" w:space="0" w:color="auto"/>
              <w:right w:val="single" w:sz="2" w:space="0" w:color="auto"/>
            </w:tcBorders>
            <w:vAlign w:val="center"/>
          </w:tcPr>
          <w:p w14:paraId="3560C8B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6,558,907.81</w:t>
            </w:r>
          </w:p>
        </w:tc>
        <w:tc>
          <w:tcPr>
            <w:tcW w:w="1928" w:type="dxa"/>
            <w:tcBorders>
              <w:top w:val="single" w:sz="2" w:space="0" w:color="auto"/>
              <w:left w:val="single" w:sz="2" w:space="0" w:color="auto"/>
              <w:bottom w:val="single" w:sz="2" w:space="0" w:color="auto"/>
              <w:right w:val="single" w:sz="2" w:space="0" w:color="auto"/>
            </w:tcBorders>
            <w:vAlign w:val="center"/>
          </w:tcPr>
          <w:p w14:paraId="5D0103E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1.38%</w:t>
            </w:r>
          </w:p>
        </w:tc>
        <w:tc>
          <w:tcPr>
            <w:tcW w:w="2263" w:type="dxa"/>
            <w:tcBorders>
              <w:top w:val="single" w:sz="2" w:space="0" w:color="auto"/>
              <w:left w:val="single" w:sz="2" w:space="0" w:color="auto"/>
              <w:bottom w:val="single" w:sz="2" w:space="0" w:color="auto"/>
              <w:right w:val="single" w:sz="2" w:space="0" w:color="auto"/>
            </w:tcBorders>
            <w:vAlign w:val="center"/>
          </w:tcPr>
          <w:p w14:paraId="0AFF6C3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external public welfare donations.</w:t>
            </w:r>
          </w:p>
        </w:tc>
        <w:tc>
          <w:tcPr>
            <w:tcW w:w="1593" w:type="dxa"/>
            <w:tcBorders>
              <w:top w:val="single" w:sz="2" w:space="0" w:color="auto"/>
              <w:left w:val="single" w:sz="2" w:space="0" w:color="auto"/>
              <w:bottom w:val="single" w:sz="2" w:space="0" w:color="auto"/>
              <w:right w:val="single" w:sz="2" w:space="0" w:color="auto"/>
            </w:tcBorders>
            <w:vAlign w:val="center"/>
          </w:tcPr>
          <w:p w14:paraId="03E755C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w:t>
            </w:r>
          </w:p>
        </w:tc>
      </w:tr>
      <w:tr w:rsidR="006B66B7" w:rsidRPr="008C49B7" w14:paraId="395F6BA3" w14:textId="77777777" w:rsidTr="0001208F">
        <w:trPr>
          <w:jc w:val="center"/>
        </w:trPr>
        <w:tc>
          <w:tcPr>
            <w:tcW w:w="1927" w:type="dxa"/>
            <w:tcBorders>
              <w:top w:val="single" w:sz="2" w:space="0" w:color="auto"/>
              <w:left w:val="single" w:sz="2" w:space="0" w:color="auto"/>
              <w:bottom w:val="single" w:sz="2" w:space="0" w:color="auto"/>
              <w:right w:val="single" w:sz="2" w:space="0" w:color="auto"/>
            </w:tcBorders>
            <w:vAlign w:val="center"/>
          </w:tcPr>
          <w:p w14:paraId="062C27E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 income</w:t>
            </w:r>
          </w:p>
        </w:tc>
        <w:tc>
          <w:tcPr>
            <w:tcW w:w="1928" w:type="dxa"/>
            <w:tcBorders>
              <w:top w:val="single" w:sz="2" w:space="0" w:color="auto"/>
              <w:left w:val="single" w:sz="2" w:space="0" w:color="auto"/>
              <w:bottom w:val="single" w:sz="2" w:space="0" w:color="auto"/>
              <w:right w:val="single" w:sz="2" w:space="0" w:color="auto"/>
            </w:tcBorders>
            <w:vAlign w:val="center"/>
          </w:tcPr>
          <w:p w14:paraId="670413F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21,756,005.54</w:t>
            </w:r>
          </w:p>
        </w:tc>
        <w:tc>
          <w:tcPr>
            <w:tcW w:w="1928" w:type="dxa"/>
            <w:tcBorders>
              <w:top w:val="single" w:sz="2" w:space="0" w:color="auto"/>
              <w:left w:val="single" w:sz="2" w:space="0" w:color="auto"/>
              <w:bottom w:val="single" w:sz="2" w:space="0" w:color="auto"/>
              <w:right w:val="single" w:sz="2" w:space="0" w:color="auto"/>
            </w:tcBorders>
            <w:vAlign w:val="center"/>
          </w:tcPr>
          <w:p w14:paraId="227F1AB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4.59%</w:t>
            </w:r>
          </w:p>
        </w:tc>
        <w:tc>
          <w:tcPr>
            <w:tcW w:w="2263" w:type="dxa"/>
            <w:tcBorders>
              <w:top w:val="single" w:sz="2" w:space="0" w:color="auto"/>
              <w:left w:val="single" w:sz="2" w:space="0" w:color="auto"/>
              <w:bottom w:val="single" w:sz="2" w:space="0" w:color="auto"/>
              <w:right w:val="single" w:sz="2" w:space="0" w:color="auto"/>
            </w:tcBorders>
            <w:vAlign w:val="center"/>
          </w:tcPr>
          <w:p w14:paraId="013191F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government grants related to the Company's routine operating activities.</w:t>
            </w:r>
          </w:p>
        </w:tc>
        <w:tc>
          <w:tcPr>
            <w:tcW w:w="1593" w:type="dxa"/>
            <w:tcBorders>
              <w:top w:val="single" w:sz="2" w:space="0" w:color="auto"/>
              <w:left w:val="single" w:sz="2" w:space="0" w:color="auto"/>
              <w:bottom w:val="single" w:sz="2" w:space="0" w:color="auto"/>
              <w:right w:val="single" w:sz="2" w:space="0" w:color="auto"/>
            </w:tcBorders>
            <w:vAlign w:val="center"/>
          </w:tcPr>
          <w:p w14:paraId="65BA5BC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w:t>
            </w:r>
          </w:p>
        </w:tc>
      </w:tr>
    </w:tbl>
    <w:p w14:paraId="1CB10DB4" w14:textId="77777777" w:rsidR="006B66B7" w:rsidRPr="00F73301" w:rsidRDefault="002349C6" w:rsidP="008C49B7">
      <w:pPr>
        <w:pStyle w:val="2"/>
      </w:pPr>
      <w:bookmarkStart w:id="19" w:name="_Toc988907"/>
      <w:r w:rsidRPr="00F73301">
        <w:t>V. Analysis of Assets and Liabilities</w:t>
      </w:r>
      <w:bookmarkEnd w:id="19"/>
    </w:p>
    <w:p w14:paraId="4F6782CA" w14:textId="77777777" w:rsidR="006B66B7" w:rsidRPr="00F73301" w:rsidRDefault="002349C6" w:rsidP="008C49B7">
      <w:pPr>
        <w:pStyle w:val="3"/>
      </w:pPr>
      <w:bookmarkStart w:id="20" w:name="_Toc988908"/>
      <w:r w:rsidRPr="00F73301">
        <w:t>1. Significant changes in the composition of assets</w:t>
      </w:r>
      <w:bookmarkEnd w:id="20"/>
    </w:p>
    <w:p w14:paraId="51115566"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445"/>
        <w:gridCol w:w="1309"/>
      </w:tblGrid>
      <w:tr w:rsidR="006B66B7" w:rsidRPr="008C49B7" w14:paraId="73EFE341"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10617FA" w14:textId="77777777" w:rsidR="006B66B7" w:rsidRPr="008C49B7" w:rsidRDefault="006B66B7" w:rsidP="008C49B7">
            <w:pPr>
              <w:snapToGrid w:val="0"/>
              <w:rPr>
                <w:rFonts w:ascii="Times New Roman" w:hAnsi="Times New Roman" w:cs="Times New Roman"/>
                <w:sz w:val="18"/>
                <w:szCs w:val="18"/>
              </w:rPr>
            </w:pP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1D2973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End of the Reporting Period</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FF876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As at the end of the previous year</w:t>
            </w:r>
          </w:p>
        </w:tc>
        <w:tc>
          <w:tcPr>
            <w:tcW w:w="144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3F92D6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Increase/decrease in percentage</w:t>
            </w:r>
          </w:p>
        </w:tc>
        <w:tc>
          <w:tcPr>
            <w:tcW w:w="13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502D8A"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Notes to significant changes</w:t>
            </w:r>
          </w:p>
        </w:tc>
      </w:tr>
      <w:tr w:rsidR="006B66B7" w:rsidRPr="008C49B7" w14:paraId="12FD63B5"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4EE2E25" w14:textId="77777777" w:rsidR="006B66B7" w:rsidRPr="008C49B7" w:rsidRDefault="006B66B7" w:rsidP="008C49B7">
            <w:pPr>
              <w:snapToGrid w:val="0"/>
              <w:rPr>
                <w:rFonts w:ascii="Times New Roman"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06D334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Amount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54417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Proportion to total assets</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35F7D6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Amount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5B44E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Proportion to total assets</w:t>
            </w:r>
          </w:p>
        </w:tc>
        <w:tc>
          <w:tcPr>
            <w:tcW w:w="144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6EC28F" w14:textId="77777777" w:rsidR="006B66B7" w:rsidRPr="008C49B7" w:rsidRDefault="006B66B7" w:rsidP="008C49B7">
            <w:pPr>
              <w:snapToGrid w:val="0"/>
              <w:rPr>
                <w:rFonts w:ascii="Times New Roman" w:hAnsi="Times New Roman" w:cs="Times New Roman"/>
                <w:sz w:val="18"/>
                <w:szCs w:val="18"/>
              </w:rPr>
            </w:pPr>
          </w:p>
        </w:tc>
        <w:tc>
          <w:tcPr>
            <w:tcW w:w="130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2AB8B9" w14:textId="77777777" w:rsidR="006B66B7" w:rsidRPr="008C49B7" w:rsidRDefault="006B66B7" w:rsidP="008C49B7">
            <w:pPr>
              <w:snapToGrid w:val="0"/>
              <w:rPr>
                <w:rFonts w:ascii="Times New Roman" w:hAnsi="Times New Roman" w:cs="Times New Roman"/>
                <w:sz w:val="18"/>
                <w:szCs w:val="18"/>
              </w:rPr>
            </w:pPr>
          </w:p>
        </w:tc>
      </w:tr>
      <w:tr w:rsidR="006B66B7" w:rsidRPr="008C49B7" w14:paraId="09593EF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E6C9B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Monetary assets</w:t>
            </w:r>
          </w:p>
        </w:tc>
        <w:tc>
          <w:tcPr>
            <w:tcW w:w="1377" w:type="dxa"/>
            <w:tcBorders>
              <w:top w:val="single" w:sz="2" w:space="0" w:color="auto"/>
              <w:left w:val="single" w:sz="2" w:space="0" w:color="auto"/>
              <w:bottom w:val="single" w:sz="2" w:space="0" w:color="auto"/>
              <w:right w:val="single" w:sz="2" w:space="0" w:color="auto"/>
            </w:tcBorders>
            <w:vAlign w:val="center"/>
          </w:tcPr>
          <w:p w14:paraId="39D4EC0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3,205,907,228.09</w:t>
            </w:r>
          </w:p>
        </w:tc>
        <w:tc>
          <w:tcPr>
            <w:tcW w:w="1377" w:type="dxa"/>
            <w:tcBorders>
              <w:top w:val="single" w:sz="2" w:space="0" w:color="auto"/>
              <w:left w:val="single" w:sz="2" w:space="0" w:color="auto"/>
              <w:bottom w:val="single" w:sz="2" w:space="0" w:color="auto"/>
              <w:right w:val="single" w:sz="2" w:space="0" w:color="auto"/>
            </w:tcBorders>
            <w:vAlign w:val="center"/>
          </w:tcPr>
          <w:p w14:paraId="386EFEF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26.56%</w:t>
            </w:r>
          </w:p>
        </w:tc>
        <w:tc>
          <w:tcPr>
            <w:tcW w:w="1377" w:type="dxa"/>
            <w:tcBorders>
              <w:top w:val="single" w:sz="2" w:space="0" w:color="auto"/>
              <w:left w:val="single" w:sz="2" w:space="0" w:color="auto"/>
              <w:bottom w:val="single" w:sz="2" w:space="0" w:color="auto"/>
              <w:right w:val="single" w:sz="2" w:space="0" w:color="auto"/>
            </w:tcBorders>
            <w:vAlign w:val="center"/>
          </w:tcPr>
          <w:p w14:paraId="1538155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1,457,284,129.97</w:t>
            </w:r>
          </w:p>
        </w:tc>
        <w:tc>
          <w:tcPr>
            <w:tcW w:w="1377" w:type="dxa"/>
            <w:tcBorders>
              <w:top w:val="single" w:sz="2" w:space="0" w:color="auto"/>
              <w:left w:val="single" w:sz="2" w:space="0" w:color="auto"/>
              <w:bottom w:val="single" w:sz="2" w:space="0" w:color="auto"/>
              <w:right w:val="single" w:sz="2" w:space="0" w:color="auto"/>
            </w:tcBorders>
            <w:vAlign w:val="center"/>
          </w:tcPr>
          <w:p w14:paraId="2397424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15.37%</w:t>
            </w:r>
          </w:p>
        </w:tc>
        <w:tc>
          <w:tcPr>
            <w:tcW w:w="1445" w:type="dxa"/>
            <w:tcBorders>
              <w:top w:val="single" w:sz="2" w:space="0" w:color="auto"/>
              <w:left w:val="single" w:sz="2" w:space="0" w:color="auto"/>
              <w:bottom w:val="single" w:sz="2" w:space="0" w:color="auto"/>
              <w:right w:val="single" w:sz="2" w:space="0" w:color="auto"/>
            </w:tcBorders>
            <w:vAlign w:val="center"/>
          </w:tcPr>
          <w:p w14:paraId="7CD6AD4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11.19%</w:t>
            </w:r>
          </w:p>
        </w:tc>
        <w:tc>
          <w:tcPr>
            <w:tcW w:w="1309" w:type="dxa"/>
            <w:tcBorders>
              <w:top w:val="single" w:sz="2" w:space="0" w:color="auto"/>
              <w:left w:val="single" w:sz="2" w:space="0" w:color="auto"/>
              <w:bottom w:val="single" w:sz="2" w:space="0" w:color="auto"/>
              <w:right w:val="single" w:sz="2" w:space="0" w:color="auto"/>
            </w:tcBorders>
            <w:vAlign w:val="center"/>
          </w:tcPr>
          <w:p w14:paraId="52C276E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arrival of funds raised from the Company's issuance of global deposition receipts (GDRs) during the Reporting Period.</w:t>
            </w:r>
          </w:p>
        </w:tc>
      </w:tr>
      <w:tr w:rsidR="006B66B7" w:rsidRPr="008C49B7" w14:paraId="4EAFDE46"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D032B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Accounts receivable</w:t>
            </w:r>
          </w:p>
        </w:tc>
        <w:tc>
          <w:tcPr>
            <w:tcW w:w="1377" w:type="dxa"/>
            <w:tcBorders>
              <w:top w:val="single" w:sz="2" w:space="0" w:color="auto"/>
              <w:left w:val="single" w:sz="2" w:space="0" w:color="auto"/>
              <w:bottom w:val="single" w:sz="2" w:space="0" w:color="auto"/>
              <w:right w:val="single" w:sz="2" w:space="0" w:color="auto"/>
            </w:tcBorders>
            <w:vAlign w:val="center"/>
          </w:tcPr>
          <w:p w14:paraId="313557F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1,479,614,231.88</w:t>
            </w:r>
          </w:p>
        </w:tc>
        <w:tc>
          <w:tcPr>
            <w:tcW w:w="1377" w:type="dxa"/>
            <w:tcBorders>
              <w:top w:val="single" w:sz="2" w:space="0" w:color="auto"/>
              <w:left w:val="single" w:sz="2" w:space="0" w:color="auto"/>
              <w:bottom w:val="single" w:sz="2" w:space="0" w:color="auto"/>
              <w:right w:val="single" w:sz="2" w:space="0" w:color="auto"/>
            </w:tcBorders>
            <w:vAlign w:val="center"/>
          </w:tcPr>
          <w:p w14:paraId="667B6F6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12.26%</w:t>
            </w:r>
          </w:p>
        </w:tc>
        <w:tc>
          <w:tcPr>
            <w:tcW w:w="1377" w:type="dxa"/>
            <w:tcBorders>
              <w:top w:val="single" w:sz="2" w:space="0" w:color="auto"/>
              <w:left w:val="single" w:sz="2" w:space="0" w:color="auto"/>
              <w:bottom w:val="single" w:sz="2" w:space="0" w:color="auto"/>
              <w:right w:val="single" w:sz="2" w:space="0" w:color="auto"/>
            </w:tcBorders>
            <w:vAlign w:val="center"/>
          </w:tcPr>
          <w:p w14:paraId="286D746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1,208,174,469.34</w:t>
            </w:r>
          </w:p>
        </w:tc>
        <w:tc>
          <w:tcPr>
            <w:tcW w:w="1377" w:type="dxa"/>
            <w:tcBorders>
              <w:top w:val="single" w:sz="2" w:space="0" w:color="auto"/>
              <w:left w:val="single" w:sz="2" w:space="0" w:color="auto"/>
              <w:bottom w:val="single" w:sz="2" w:space="0" w:color="auto"/>
              <w:right w:val="single" w:sz="2" w:space="0" w:color="auto"/>
            </w:tcBorders>
            <w:vAlign w:val="center"/>
          </w:tcPr>
          <w:p w14:paraId="0A17267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12.74%</w:t>
            </w:r>
          </w:p>
        </w:tc>
        <w:tc>
          <w:tcPr>
            <w:tcW w:w="1445" w:type="dxa"/>
            <w:tcBorders>
              <w:top w:val="single" w:sz="2" w:space="0" w:color="auto"/>
              <w:left w:val="single" w:sz="2" w:space="0" w:color="auto"/>
              <w:bottom w:val="single" w:sz="2" w:space="0" w:color="auto"/>
              <w:right w:val="single" w:sz="2" w:space="0" w:color="auto"/>
            </w:tcBorders>
            <w:vAlign w:val="center"/>
          </w:tcPr>
          <w:p w14:paraId="352AE8D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-0.48%</w:t>
            </w:r>
          </w:p>
        </w:tc>
        <w:tc>
          <w:tcPr>
            <w:tcW w:w="1309" w:type="dxa"/>
            <w:tcBorders>
              <w:top w:val="single" w:sz="2" w:space="0" w:color="auto"/>
              <w:left w:val="single" w:sz="2" w:space="0" w:color="auto"/>
              <w:bottom w:val="single" w:sz="2" w:space="0" w:color="auto"/>
              <w:right w:val="single" w:sz="2" w:space="0" w:color="auto"/>
            </w:tcBorders>
            <w:vAlign w:val="center"/>
          </w:tcPr>
          <w:p w14:paraId="4A342D0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significant changes.</w:t>
            </w:r>
          </w:p>
        </w:tc>
      </w:tr>
      <w:tr w:rsidR="006B66B7" w:rsidRPr="008C49B7" w14:paraId="3123F713"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EF0BE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Inventories</w:t>
            </w:r>
          </w:p>
        </w:tc>
        <w:tc>
          <w:tcPr>
            <w:tcW w:w="1377" w:type="dxa"/>
            <w:tcBorders>
              <w:top w:val="single" w:sz="2" w:space="0" w:color="auto"/>
              <w:left w:val="single" w:sz="2" w:space="0" w:color="auto"/>
              <w:bottom w:val="single" w:sz="2" w:space="0" w:color="auto"/>
              <w:right w:val="single" w:sz="2" w:space="0" w:color="auto"/>
            </w:tcBorders>
            <w:vAlign w:val="center"/>
          </w:tcPr>
          <w:p w14:paraId="2CA7988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1,161,724,500.64</w:t>
            </w:r>
          </w:p>
        </w:tc>
        <w:tc>
          <w:tcPr>
            <w:tcW w:w="1377" w:type="dxa"/>
            <w:tcBorders>
              <w:top w:val="single" w:sz="2" w:space="0" w:color="auto"/>
              <w:left w:val="single" w:sz="2" w:space="0" w:color="auto"/>
              <w:bottom w:val="single" w:sz="2" w:space="0" w:color="auto"/>
              <w:right w:val="single" w:sz="2" w:space="0" w:color="auto"/>
            </w:tcBorders>
            <w:vAlign w:val="center"/>
          </w:tcPr>
          <w:p w14:paraId="349301B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9.62%</w:t>
            </w:r>
          </w:p>
        </w:tc>
        <w:tc>
          <w:tcPr>
            <w:tcW w:w="1377" w:type="dxa"/>
            <w:tcBorders>
              <w:top w:val="single" w:sz="2" w:space="0" w:color="auto"/>
              <w:left w:val="single" w:sz="2" w:space="0" w:color="auto"/>
              <w:bottom w:val="single" w:sz="2" w:space="0" w:color="auto"/>
              <w:right w:val="single" w:sz="2" w:space="0" w:color="auto"/>
            </w:tcBorders>
            <w:vAlign w:val="center"/>
          </w:tcPr>
          <w:p w14:paraId="06B62D7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1,213,168,285.70</w:t>
            </w:r>
          </w:p>
        </w:tc>
        <w:tc>
          <w:tcPr>
            <w:tcW w:w="1377" w:type="dxa"/>
            <w:tcBorders>
              <w:top w:val="single" w:sz="2" w:space="0" w:color="auto"/>
              <w:left w:val="single" w:sz="2" w:space="0" w:color="auto"/>
              <w:bottom w:val="single" w:sz="2" w:space="0" w:color="auto"/>
              <w:right w:val="single" w:sz="2" w:space="0" w:color="auto"/>
            </w:tcBorders>
            <w:vAlign w:val="center"/>
          </w:tcPr>
          <w:p w14:paraId="15FBE3F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12.79%</w:t>
            </w:r>
          </w:p>
        </w:tc>
        <w:tc>
          <w:tcPr>
            <w:tcW w:w="1445" w:type="dxa"/>
            <w:tcBorders>
              <w:top w:val="single" w:sz="2" w:space="0" w:color="auto"/>
              <w:left w:val="single" w:sz="2" w:space="0" w:color="auto"/>
              <w:bottom w:val="single" w:sz="2" w:space="0" w:color="auto"/>
              <w:right w:val="single" w:sz="2" w:space="0" w:color="auto"/>
            </w:tcBorders>
            <w:vAlign w:val="center"/>
          </w:tcPr>
          <w:p w14:paraId="7B6610A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-3.17%</w:t>
            </w:r>
          </w:p>
        </w:tc>
        <w:tc>
          <w:tcPr>
            <w:tcW w:w="1309" w:type="dxa"/>
            <w:tcBorders>
              <w:top w:val="single" w:sz="2" w:space="0" w:color="auto"/>
              <w:left w:val="single" w:sz="2" w:space="0" w:color="auto"/>
              <w:bottom w:val="single" w:sz="2" w:space="0" w:color="auto"/>
              <w:right w:val="single" w:sz="2" w:space="0" w:color="auto"/>
            </w:tcBorders>
            <w:vAlign w:val="center"/>
          </w:tcPr>
          <w:p w14:paraId="1599321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significant changes.</w:t>
            </w:r>
          </w:p>
        </w:tc>
      </w:tr>
      <w:tr w:rsidR="006B66B7" w:rsidRPr="008C49B7" w14:paraId="19E88E6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CA4F6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Long-term equity investments</w:t>
            </w:r>
          </w:p>
        </w:tc>
        <w:tc>
          <w:tcPr>
            <w:tcW w:w="1377" w:type="dxa"/>
            <w:tcBorders>
              <w:top w:val="single" w:sz="2" w:space="0" w:color="auto"/>
              <w:left w:val="single" w:sz="2" w:space="0" w:color="auto"/>
              <w:bottom w:val="single" w:sz="2" w:space="0" w:color="auto"/>
              <w:right w:val="single" w:sz="2" w:space="0" w:color="auto"/>
            </w:tcBorders>
            <w:vAlign w:val="center"/>
          </w:tcPr>
          <w:p w14:paraId="2B54B81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60,747,681.56</w:t>
            </w:r>
          </w:p>
        </w:tc>
        <w:tc>
          <w:tcPr>
            <w:tcW w:w="1377" w:type="dxa"/>
            <w:tcBorders>
              <w:top w:val="single" w:sz="2" w:space="0" w:color="auto"/>
              <w:left w:val="single" w:sz="2" w:space="0" w:color="auto"/>
              <w:bottom w:val="single" w:sz="2" w:space="0" w:color="auto"/>
              <w:right w:val="single" w:sz="2" w:space="0" w:color="auto"/>
            </w:tcBorders>
            <w:vAlign w:val="center"/>
          </w:tcPr>
          <w:p w14:paraId="6C26775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0.50%</w:t>
            </w:r>
          </w:p>
        </w:tc>
        <w:tc>
          <w:tcPr>
            <w:tcW w:w="1377" w:type="dxa"/>
            <w:tcBorders>
              <w:top w:val="single" w:sz="2" w:space="0" w:color="auto"/>
              <w:left w:val="single" w:sz="2" w:space="0" w:color="auto"/>
              <w:bottom w:val="single" w:sz="2" w:space="0" w:color="auto"/>
              <w:right w:val="single" w:sz="2" w:space="0" w:color="auto"/>
            </w:tcBorders>
            <w:vAlign w:val="center"/>
          </w:tcPr>
          <w:p w14:paraId="1ABCEE3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466,606,774.74</w:t>
            </w:r>
          </w:p>
        </w:tc>
        <w:tc>
          <w:tcPr>
            <w:tcW w:w="1377" w:type="dxa"/>
            <w:tcBorders>
              <w:top w:val="single" w:sz="2" w:space="0" w:color="auto"/>
              <w:left w:val="single" w:sz="2" w:space="0" w:color="auto"/>
              <w:bottom w:val="single" w:sz="2" w:space="0" w:color="auto"/>
              <w:right w:val="single" w:sz="2" w:space="0" w:color="auto"/>
            </w:tcBorders>
            <w:vAlign w:val="center"/>
          </w:tcPr>
          <w:p w14:paraId="5D0AA07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4.92%</w:t>
            </w:r>
          </w:p>
        </w:tc>
        <w:tc>
          <w:tcPr>
            <w:tcW w:w="1445" w:type="dxa"/>
            <w:tcBorders>
              <w:top w:val="single" w:sz="2" w:space="0" w:color="auto"/>
              <w:left w:val="single" w:sz="2" w:space="0" w:color="auto"/>
              <w:bottom w:val="single" w:sz="2" w:space="0" w:color="auto"/>
              <w:right w:val="single" w:sz="2" w:space="0" w:color="auto"/>
            </w:tcBorders>
            <w:vAlign w:val="center"/>
          </w:tcPr>
          <w:p w14:paraId="7BBA1CA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-4.42%</w:t>
            </w:r>
          </w:p>
        </w:tc>
        <w:tc>
          <w:tcPr>
            <w:tcW w:w="1309" w:type="dxa"/>
            <w:tcBorders>
              <w:top w:val="single" w:sz="2" w:space="0" w:color="auto"/>
              <w:left w:val="single" w:sz="2" w:space="0" w:color="auto"/>
              <w:bottom w:val="single" w:sz="2" w:space="0" w:color="auto"/>
              <w:right w:val="single" w:sz="2" w:space="0" w:color="auto"/>
            </w:tcBorders>
            <w:vAlign w:val="center"/>
          </w:tcPr>
          <w:p w14:paraId="2DEA8B23" w14:textId="4A0D6A4E" w:rsidR="006B66B7" w:rsidRPr="008C49B7" w:rsidRDefault="002349C6" w:rsidP="00AE0D5B">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Mainly due to the Company's acquisition of 30% equity interest of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by public delisting, during the Reporting Period, which resulted in an accumulated transfer of 70%;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became a holding subsidiary of the Company and was included in the scope of consolidated statements.</w:t>
            </w:r>
          </w:p>
        </w:tc>
      </w:tr>
      <w:tr w:rsidR="006B66B7" w:rsidRPr="008C49B7" w14:paraId="3F4A618B"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9AC440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Fixed assets</w:t>
            </w:r>
          </w:p>
        </w:tc>
        <w:tc>
          <w:tcPr>
            <w:tcW w:w="1377" w:type="dxa"/>
            <w:tcBorders>
              <w:top w:val="single" w:sz="2" w:space="0" w:color="auto"/>
              <w:left w:val="single" w:sz="2" w:space="0" w:color="auto"/>
              <w:bottom w:val="single" w:sz="2" w:space="0" w:color="auto"/>
              <w:right w:val="single" w:sz="2" w:space="0" w:color="auto"/>
            </w:tcBorders>
            <w:vAlign w:val="center"/>
          </w:tcPr>
          <w:p w14:paraId="30BAEAB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3,324,897,727.75</w:t>
            </w:r>
          </w:p>
        </w:tc>
        <w:tc>
          <w:tcPr>
            <w:tcW w:w="1377" w:type="dxa"/>
            <w:tcBorders>
              <w:top w:val="single" w:sz="2" w:space="0" w:color="auto"/>
              <w:left w:val="single" w:sz="2" w:space="0" w:color="auto"/>
              <w:bottom w:val="single" w:sz="2" w:space="0" w:color="auto"/>
              <w:right w:val="single" w:sz="2" w:space="0" w:color="auto"/>
            </w:tcBorders>
            <w:vAlign w:val="center"/>
          </w:tcPr>
          <w:p w14:paraId="0DCAE8A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27.55%</w:t>
            </w:r>
          </w:p>
        </w:tc>
        <w:tc>
          <w:tcPr>
            <w:tcW w:w="1377" w:type="dxa"/>
            <w:tcBorders>
              <w:top w:val="single" w:sz="2" w:space="0" w:color="auto"/>
              <w:left w:val="single" w:sz="2" w:space="0" w:color="auto"/>
              <w:bottom w:val="single" w:sz="2" w:space="0" w:color="auto"/>
              <w:right w:val="single" w:sz="2" w:space="0" w:color="auto"/>
            </w:tcBorders>
            <w:vAlign w:val="center"/>
          </w:tcPr>
          <w:p w14:paraId="3C4B889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2,914,129,006.48</w:t>
            </w:r>
          </w:p>
        </w:tc>
        <w:tc>
          <w:tcPr>
            <w:tcW w:w="1377" w:type="dxa"/>
            <w:tcBorders>
              <w:top w:val="single" w:sz="2" w:space="0" w:color="auto"/>
              <w:left w:val="single" w:sz="2" w:space="0" w:color="auto"/>
              <w:bottom w:val="single" w:sz="2" w:space="0" w:color="auto"/>
              <w:right w:val="single" w:sz="2" w:space="0" w:color="auto"/>
            </w:tcBorders>
            <w:vAlign w:val="center"/>
          </w:tcPr>
          <w:p w14:paraId="38C4A8E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30.73%</w:t>
            </w:r>
          </w:p>
        </w:tc>
        <w:tc>
          <w:tcPr>
            <w:tcW w:w="1445" w:type="dxa"/>
            <w:tcBorders>
              <w:top w:val="single" w:sz="2" w:space="0" w:color="auto"/>
              <w:left w:val="single" w:sz="2" w:space="0" w:color="auto"/>
              <w:bottom w:val="single" w:sz="2" w:space="0" w:color="auto"/>
              <w:right w:val="single" w:sz="2" w:space="0" w:color="auto"/>
            </w:tcBorders>
            <w:vAlign w:val="center"/>
          </w:tcPr>
          <w:p w14:paraId="6B8FA24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-3.18%</w:t>
            </w:r>
          </w:p>
        </w:tc>
        <w:tc>
          <w:tcPr>
            <w:tcW w:w="1309" w:type="dxa"/>
            <w:tcBorders>
              <w:top w:val="single" w:sz="2" w:space="0" w:color="auto"/>
              <w:left w:val="single" w:sz="2" w:space="0" w:color="auto"/>
              <w:bottom w:val="single" w:sz="2" w:space="0" w:color="auto"/>
              <w:right w:val="single" w:sz="2" w:space="0" w:color="auto"/>
            </w:tcBorders>
            <w:vAlign w:val="center"/>
          </w:tcPr>
          <w:p w14:paraId="0051057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significant changes.</w:t>
            </w:r>
          </w:p>
        </w:tc>
      </w:tr>
      <w:tr w:rsidR="006B66B7" w:rsidRPr="008C49B7" w14:paraId="08BF028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38CF2C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Construction in progress</w:t>
            </w:r>
          </w:p>
        </w:tc>
        <w:tc>
          <w:tcPr>
            <w:tcW w:w="1377" w:type="dxa"/>
            <w:tcBorders>
              <w:top w:val="single" w:sz="2" w:space="0" w:color="auto"/>
              <w:left w:val="single" w:sz="2" w:space="0" w:color="auto"/>
              <w:bottom w:val="single" w:sz="2" w:space="0" w:color="auto"/>
              <w:right w:val="single" w:sz="2" w:space="0" w:color="auto"/>
            </w:tcBorders>
            <w:vAlign w:val="center"/>
          </w:tcPr>
          <w:p w14:paraId="7149B57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612,601,462.25</w:t>
            </w:r>
          </w:p>
        </w:tc>
        <w:tc>
          <w:tcPr>
            <w:tcW w:w="1377" w:type="dxa"/>
            <w:tcBorders>
              <w:top w:val="single" w:sz="2" w:space="0" w:color="auto"/>
              <w:left w:val="single" w:sz="2" w:space="0" w:color="auto"/>
              <w:bottom w:val="single" w:sz="2" w:space="0" w:color="auto"/>
              <w:right w:val="single" w:sz="2" w:space="0" w:color="auto"/>
            </w:tcBorders>
            <w:vAlign w:val="center"/>
          </w:tcPr>
          <w:p w14:paraId="33C4ABB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5.08%</w:t>
            </w:r>
          </w:p>
        </w:tc>
        <w:tc>
          <w:tcPr>
            <w:tcW w:w="1377" w:type="dxa"/>
            <w:tcBorders>
              <w:top w:val="single" w:sz="2" w:space="0" w:color="auto"/>
              <w:left w:val="single" w:sz="2" w:space="0" w:color="auto"/>
              <w:bottom w:val="single" w:sz="2" w:space="0" w:color="auto"/>
              <w:right w:val="single" w:sz="2" w:space="0" w:color="auto"/>
            </w:tcBorders>
            <w:vAlign w:val="center"/>
          </w:tcPr>
          <w:p w14:paraId="1AFD735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461,878,389.19</w:t>
            </w:r>
          </w:p>
        </w:tc>
        <w:tc>
          <w:tcPr>
            <w:tcW w:w="1377" w:type="dxa"/>
            <w:tcBorders>
              <w:top w:val="single" w:sz="2" w:space="0" w:color="auto"/>
              <w:left w:val="single" w:sz="2" w:space="0" w:color="auto"/>
              <w:bottom w:val="single" w:sz="2" w:space="0" w:color="auto"/>
              <w:right w:val="single" w:sz="2" w:space="0" w:color="auto"/>
            </w:tcBorders>
            <w:vAlign w:val="center"/>
          </w:tcPr>
          <w:p w14:paraId="083F7A6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4.87%</w:t>
            </w:r>
          </w:p>
        </w:tc>
        <w:tc>
          <w:tcPr>
            <w:tcW w:w="1445" w:type="dxa"/>
            <w:tcBorders>
              <w:top w:val="single" w:sz="2" w:space="0" w:color="auto"/>
              <w:left w:val="single" w:sz="2" w:space="0" w:color="auto"/>
              <w:bottom w:val="single" w:sz="2" w:space="0" w:color="auto"/>
              <w:right w:val="single" w:sz="2" w:space="0" w:color="auto"/>
            </w:tcBorders>
            <w:vAlign w:val="center"/>
          </w:tcPr>
          <w:p w14:paraId="0646623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0.21%</w:t>
            </w:r>
          </w:p>
        </w:tc>
        <w:tc>
          <w:tcPr>
            <w:tcW w:w="1309" w:type="dxa"/>
            <w:tcBorders>
              <w:top w:val="single" w:sz="2" w:space="0" w:color="auto"/>
              <w:left w:val="single" w:sz="2" w:space="0" w:color="auto"/>
              <w:bottom w:val="single" w:sz="2" w:space="0" w:color="auto"/>
              <w:right w:val="single" w:sz="2" w:space="0" w:color="auto"/>
            </w:tcBorders>
            <w:vAlign w:val="center"/>
          </w:tcPr>
          <w:p w14:paraId="553260F9" w14:textId="442B8C97" w:rsidR="006B66B7" w:rsidRPr="008C49B7" w:rsidRDefault="002349C6" w:rsidP="00AE0D5B">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Mainly due to the Company's acquisition of 30% equity interest of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by public delisting, during the Reporting Period, which resulted in an accumulated transfer of 70%;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became a holding subsidiary of the Company and was included in the scope of consolidated statements.</w:t>
            </w:r>
          </w:p>
        </w:tc>
      </w:tr>
      <w:tr w:rsidR="006B66B7" w:rsidRPr="008C49B7" w14:paraId="7321BD56"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CFE4B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Right-of-use assets</w:t>
            </w:r>
          </w:p>
        </w:tc>
        <w:tc>
          <w:tcPr>
            <w:tcW w:w="1377" w:type="dxa"/>
            <w:tcBorders>
              <w:top w:val="single" w:sz="2" w:space="0" w:color="auto"/>
              <w:left w:val="single" w:sz="2" w:space="0" w:color="auto"/>
              <w:bottom w:val="single" w:sz="2" w:space="0" w:color="auto"/>
              <w:right w:val="single" w:sz="2" w:space="0" w:color="auto"/>
            </w:tcBorders>
            <w:vAlign w:val="center"/>
          </w:tcPr>
          <w:p w14:paraId="1C86B9E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101,650,369.03</w:t>
            </w:r>
          </w:p>
        </w:tc>
        <w:tc>
          <w:tcPr>
            <w:tcW w:w="1377" w:type="dxa"/>
            <w:tcBorders>
              <w:top w:val="single" w:sz="2" w:space="0" w:color="auto"/>
              <w:left w:val="single" w:sz="2" w:space="0" w:color="auto"/>
              <w:bottom w:val="single" w:sz="2" w:space="0" w:color="auto"/>
              <w:right w:val="single" w:sz="2" w:space="0" w:color="auto"/>
            </w:tcBorders>
            <w:vAlign w:val="center"/>
          </w:tcPr>
          <w:p w14:paraId="779739F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0.84%</w:t>
            </w:r>
          </w:p>
        </w:tc>
        <w:tc>
          <w:tcPr>
            <w:tcW w:w="1377" w:type="dxa"/>
            <w:tcBorders>
              <w:top w:val="single" w:sz="2" w:space="0" w:color="auto"/>
              <w:left w:val="single" w:sz="2" w:space="0" w:color="auto"/>
              <w:bottom w:val="single" w:sz="2" w:space="0" w:color="auto"/>
              <w:right w:val="single" w:sz="2" w:space="0" w:color="auto"/>
            </w:tcBorders>
            <w:vAlign w:val="center"/>
          </w:tcPr>
          <w:p w14:paraId="7F98CC5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7,434,752.94</w:t>
            </w:r>
          </w:p>
        </w:tc>
        <w:tc>
          <w:tcPr>
            <w:tcW w:w="1377" w:type="dxa"/>
            <w:tcBorders>
              <w:top w:val="single" w:sz="2" w:space="0" w:color="auto"/>
              <w:left w:val="single" w:sz="2" w:space="0" w:color="auto"/>
              <w:bottom w:val="single" w:sz="2" w:space="0" w:color="auto"/>
              <w:right w:val="single" w:sz="2" w:space="0" w:color="auto"/>
            </w:tcBorders>
            <w:vAlign w:val="center"/>
          </w:tcPr>
          <w:p w14:paraId="23E51F2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0.08%</w:t>
            </w:r>
          </w:p>
        </w:tc>
        <w:tc>
          <w:tcPr>
            <w:tcW w:w="1445" w:type="dxa"/>
            <w:tcBorders>
              <w:top w:val="single" w:sz="2" w:space="0" w:color="auto"/>
              <w:left w:val="single" w:sz="2" w:space="0" w:color="auto"/>
              <w:bottom w:val="single" w:sz="2" w:space="0" w:color="auto"/>
              <w:right w:val="single" w:sz="2" w:space="0" w:color="auto"/>
            </w:tcBorders>
            <w:vAlign w:val="center"/>
          </w:tcPr>
          <w:p w14:paraId="27E9998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0.76%</w:t>
            </w:r>
          </w:p>
        </w:tc>
        <w:tc>
          <w:tcPr>
            <w:tcW w:w="1309" w:type="dxa"/>
            <w:tcBorders>
              <w:top w:val="single" w:sz="2" w:space="0" w:color="auto"/>
              <w:left w:val="single" w:sz="2" w:space="0" w:color="auto"/>
              <w:bottom w:val="single" w:sz="2" w:space="0" w:color="auto"/>
              <w:right w:val="single" w:sz="2" w:space="0" w:color="auto"/>
            </w:tcBorders>
            <w:vAlign w:val="center"/>
          </w:tcPr>
          <w:p w14:paraId="47B48366" w14:textId="71E5DED8" w:rsidR="006B66B7" w:rsidRPr="008C49B7" w:rsidRDefault="002349C6" w:rsidP="00AE0D5B">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Mainly due to the Company's acquisition of 30% equity interest of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by public delisting, during the Reporting Period, which resulted in an accumulated transfer of 70%;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became a </w:t>
            </w:r>
            <w:r w:rsidRPr="008C49B7">
              <w:rPr>
                <w:rFonts w:ascii="Times New Roman" w:eastAsia="宋体" w:hAnsi="Times New Roman" w:cs="Times New Roman"/>
                <w:sz w:val="18"/>
                <w:szCs w:val="18"/>
              </w:rPr>
              <w:lastRenderedPageBreak/>
              <w:t>holding subsidiary of the Company and was included in the scope of consolidated statements.</w:t>
            </w:r>
          </w:p>
        </w:tc>
      </w:tr>
      <w:tr w:rsidR="006B66B7" w:rsidRPr="008C49B7" w14:paraId="56671375"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6991E9"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Short-term borrowings</w:t>
            </w:r>
          </w:p>
        </w:tc>
        <w:tc>
          <w:tcPr>
            <w:tcW w:w="1377" w:type="dxa"/>
            <w:tcBorders>
              <w:top w:val="single" w:sz="2" w:space="0" w:color="auto"/>
              <w:left w:val="single" w:sz="2" w:space="0" w:color="auto"/>
              <w:bottom w:val="single" w:sz="2" w:space="0" w:color="auto"/>
              <w:right w:val="single" w:sz="2" w:space="0" w:color="auto"/>
            </w:tcBorders>
            <w:vAlign w:val="center"/>
          </w:tcPr>
          <w:p w14:paraId="1D0F99A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758,112,140.28</w:t>
            </w:r>
          </w:p>
        </w:tc>
        <w:tc>
          <w:tcPr>
            <w:tcW w:w="1377" w:type="dxa"/>
            <w:tcBorders>
              <w:top w:val="single" w:sz="2" w:space="0" w:color="auto"/>
              <w:left w:val="single" w:sz="2" w:space="0" w:color="auto"/>
              <w:bottom w:val="single" w:sz="2" w:space="0" w:color="auto"/>
              <w:right w:val="single" w:sz="2" w:space="0" w:color="auto"/>
            </w:tcBorders>
            <w:vAlign w:val="center"/>
          </w:tcPr>
          <w:p w14:paraId="7A862E7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6.28%</w:t>
            </w:r>
          </w:p>
        </w:tc>
        <w:tc>
          <w:tcPr>
            <w:tcW w:w="1377" w:type="dxa"/>
            <w:tcBorders>
              <w:top w:val="single" w:sz="2" w:space="0" w:color="auto"/>
              <w:left w:val="single" w:sz="2" w:space="0" w:color="auto"/>
              <w:bottom w:val="single" w:sz="2" w:space="0" w:color="auto"/>
              <w:right w:val="single" w:sz="2" w:space="0" w:color="auto"/>
            </w:tcBorders>
            <w:vAlign w:val="center"/>
          </w:tcPr>
          <w:p w14:paraId="08B1C88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273,121,541.00</w:t>
            </w:r>
          </w:p>
        </w:tc>
        <w:tc>
          <w:tcPr>
            <w:tcW w:w="1377" w:type="dxa"/>
            <w:tcBorders>
              <w:top w:val="single" w:sz="2" w:space="0" w:color="auto"/>
              <w:left w:val="single" w:sz="2" w:space="0" w:color="auto"/>
              <w:bottom w:val="single" w:sz="2" w:space="0" w:color="auto"/>
              <w:right w:val="single" w:sz="2" w:space="0" w:color="auto"/>
            </w:tcBorders>
            <w:vAlign w:val="center"/>
          </w:tcPr>
          <w:p w14:paraId="2765A9B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2.88%</w:t>
            </w:r>
          </w:p>
        </w:tc>
        <w:tc>
          <w:tcPr>
            <w:tcW w:w="1445" w:type="dxa"/>
            <w:tcBorders>
              <w:top w:val="single" w:sz="2" w:space="0" w:color="auto"/>
              <w:left w:val="single" w:sz="2" w:space="0" w:color="auto"/>
              <w:bottom w:val="single" w:sz="2" w:space="0" w:color="auto"/>
              <w:right w:val="single" w:sz="2" w:space="0" w:color="auto"/>
            </w:tcBorders>
            <w:vAlign w:val="center"/>
          </w:tcPr>
          <w:p w14:paraId="022DD6A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3.40%</w:t>
            </w:r>
          </w:p>
        </w:tc>
        <w:tc>
          <w:tcPr>
            <w:tcW w:w="1309" w:type="dxa"/>
            <w:tcBorders>
              <w:top w:val="single" w:sz="2" w:space="0" w:color="auto"/>
              <w:left w:val="single" w:sz="2" w:space="0" w:color="auto"/>
              <w:bottom w:val="single" w:sz="2" w:space="0" w:color="auto"/>
              <w:right w:val="single" w:sz="2" w:space="0" w:color="auto"/>
            </w:tcBorders>
            <w:vAlign w:val="center"/>
          </w:tcPr>
          <w:p w14:paraId="3390D5CE" w14:textId="58D4A965" w:rsidR="006B66B7" w:rsidRPr="008C49B7" w:rsidRDefault="002349C6" w:rsidP="00A962B3">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Mainly due to the Company's increase in banking facilities with a term shorter than one year and acquisition of 30% equity interest of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by public delisting, during the Reporting Period, which resulted in an accumulated transfer of 70%;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became a holding subsidiary of the Company and was included in the scope of consolidated statements.</w:t>
            </w:r>
          </w:p>
        </w:tc>
      </w:tr>
      <w:tr w:rsidR="006B66B7" w:rsidRPr="008C49B7" w14:paraId="4061A05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62554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Contract liabilities</w:t>
            </w:r>
          </w:p>
        </w:tc>
        <w:tc>
          <w:tcPr>
            <w:tcW w:w="1377" w:type="dxa"/>
            <w:tcBorders>
              <w:top w:val="single" w:sz="2" w:space="0" w:color="auto"/>
              <w:left w:val="single" w:sz="2" w:space="0" w:color="auto"/>
              <w:bottom w:val="single" w:sz="2" w:space="0" w:color="auto"/>
              <w:right w:val="single" w:sz="2" w:space="0" w:color="auto"/>
            </w:tcBorders>
            <w:vAlign w:val="center"/>
          </w:tcPr>
          <w:p w14:paraId="166D921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21,693,325.50</w:t>
            </w:r>
          </w:p>
        </w:tc>
        <w:tc>
          <w:tcPr>
            <w:tcW w:w="1377" w:type="dxa"/>
            <w:tcBorders>
              <w:top w:val="single" w:sz="2" w:space="0" w:color="auto"/>
              <w:left w:val="single" w:sz="2" w:space="0" w:color="auto"/>
              <w:bottom w:val="single" w:sz="2" w:space="0" w:color="auto"/>
              <w:right w:val="single" w:sz="2" w:space="0" w:color="auto"/>
            </w:tcBorders>
            <w:vAlign w:val="center"/>
          </w:tcPr>
          <w:p w14:paraId="0489DF9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0.18%</w:t>
            </w:r>
          </w:p>
        </w:tc>
        <w:tc>
          <w:tcPr>
            <w:tcW w:w="1377" w:type="dxa"/>
            <w:tcBorders>
              <w:top w:val="single" w:sz="2" w:space="0" w:color="auto"/>
              <w:left w:val="single" w:sz="2" w:space="0" w:color="auto"/>
              <w:bottom w:val="single" w:sz="2" w:space="0" w:color="auto"/>
              <w:right w:val="single" w:sz="2" w:space="0" w:color="auto"/>
            </w:tcBorders>
            <w:vAlign w:val="center"/>
          </w:tcPr>
          <w:p w14:paraId="38533A8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37,431,854.37</w:t>
            </w:r>
          </w:p>
        </w:tc>
        <w:tc>
          <w:tcPr>
            <w:tcW w:w="1377" w:type="dxa"/>
            <w:tcBorders>
              <w:top w:val="single" w:sz="2" w:space="0" w:color="auto"/>
              <w:left w:val="single" w:sz="2" w:space="0" w:color="auto"/>
              <w:bottom w:val="single" w:sz="2" w:space="0" w:color="auto"/>
              <w:right w:val="single" w:sz="2" w:space="0" w:color="auto"/>
            </w:tcBorders>
            <w:vAlign w:val="center"/>
          </w:tcPr>
          <w:p w14:paraId="6BFA5B3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0.39%</w:t>
            </w:r>
          </w:p>
        </w:tc>
        <w:tc>
          <w:tcPr>
            <w:tcW w:w="1445" w:type="dxa"/>
            <w:tcBorders>
              <w:top w:val="single" w:sz="2" w:space="0" w:color="auto"/>
              <w:left w:val="single" w:sz="2" w:space="0" w:color="auto"/>
              <w:bottom w:val="single" w:sz="2" w:space="0" w:color="auto"/>
              <w:right w:val="single" w:sz="2" w:space="0" w:color="auto"/>
            </w:tcBorders>
            <w:vAlign w:val="center"/>
          </w:tcPr>
          <w:p w14:paraId="7E8A099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-0.21%</w:t>
            </w:r>
          </w:p>
        </w:tc>
        <w:tc>
          <w:tcPr>
            <w:tcW w:w="1309" w:type="dxa"/>
            <w:tcBorders>
              <w:top w:val="single" w:sz="2" w:space="0" w:color="auto"/>
              <w:left w:val="single" w:sz="2" w:space="0" w:color="auto"/>
              <w:bottom w:val="single" w:sz="2" w:space="0" w:color="auto"/>
              <w:right w:val="single" w:sz="2" w:space="0" w:color="auto"/>
            </w:tcBorders>
            <w:vAlign w:val="center"/>
          </w:tcPr>
          <w:p w14:paraId="109F0A7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decrease in the Company's advances from customers during the Reporting Period.</w:t>
            </w:r>
          </w:p>
        </w:tc>
      </w:tr>
      <w:tr w:rsidR="006B66B7" w:rsidRPr="008C49B7" w14:paraId="5D3BE9C1"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C51286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Long-term borrowings</w:t>
            </w:r>
          </w:p>
        </w:tc>
        <w:tc>
          <w:tcPr>
            <w:tcW w:w="1377" w:type="dxa"/>
            <w:tcBorders>
              <w:top w:val="single" w:sz="2" w:space="0" w:color="auto"/>
              <w:left w:val="single" w:sz="2" w:space="0" w:color="auto"/>
              <w:bottom w:val="single" w:sz="2" w:space="0" w:color="auto"/>
              <w:right w:val="single" w:sz="2" w:space="0" w:color="auto"/>
            </w:tcBorders>
            <w:vAlign w:val="center"/>
          </w:tcPr>
          <w:p w14:paraId="50871E5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450,241,087.28</w:t>
            </w:r>
          </w:p>
        </w:tc>
        <w:tc>
          <w:tcPr>
            <w:tcW w:w="1377" w:type="dxa"/>
            <w:tcBorders>
              <w:top w:val="single" w:sz="2" w:space="0" w:color="auto"/>
              <w:left w:val="single" w:sz="2" w:space="0" w:color="auto"/>
              <w:bottom w:val="single" w:sz="2" w:space="0" w:color="auto"/>
              <w:right w:val="single" w:sz="2" w:space="0" w:color="auto"/>
            </w:tcBorders>
            <w:vAlign w:val="center"/>
          </w:tcPr>
          <w:p w14:paraId="6AA3578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3.73%</w:t>
            </w:r>
          </w:p>
        </w:tc>
        <w:tc>
          <w:tcPr>
            <w:tcW w:w="1377" w:type="dxa"/>
            <w:tcBorders>
              <w:top w:val="single" w:sz="2" w:space="0" w:color="auto"/>
              <w:left w:val="single" w:sz="2" w:space="0" w:color="auto"/>
              <w:bottom w:val="single" w:sz="2" w:space="0" w:color="auto"/>
              <w:right w:val="single" w:sz="2" w:space="0" w:color="auto"/>
            </w:tcBorders>
            <w:vAlign w:val="center"/>
          </w:tcPr>
          <w:p w14:paraId="1762B0A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400,283,333.33</w:t>
            </w:r>
          </w:p>
        </w:tc>
        <w:tc>
          <w:tcPr>
            <w:tcW w:w="1377" w:type="dxa"/>
            <w:tcBorders>
              <w:top w:val="single" w:sz="2" w:space="0" w:color="auto"/>
              <w:left w:val="single" w:sz="2" w:space="0" w:color="auto"/>
              <w:bottom w:val="single" w:sz="2" w:space="0" w:color="auto"/>
              <w:right w:val="single" w:sz="2" w:space="0" w:color="auto"/>
            </w:tcBorders>
            <w:vAlign w:val="center"/>
          </w:tcPr>
          <w:p w14:paraId="4020279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4.22%</w:t>
            </w:r>
          </w:p>
        </w:tc>
        <w:tc>
          <w:tcPr>
            <w:tcW w:w="1445" w:type="dxa"/>
            <w:tcBorders>
              <w:top w:val="single" w:sz="2" w:space="0" w:color="auto"/>
              <w:left w:val="single" w:sz="2" w:space="0" w:color="auto"/>
              <w:bottom w:val="single" w:sz="2" w:space="0" w:color="auto"/>
              <w:right w:val="single" w:sz="2" w:space="0" w:color="auto"/>
            </w:tcBorders>
            <w:vAlign w:val="center"/>
          </w:tcPr>
          <w:p w14:paraId="2C9B06A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-0.49%</w:t>
            </w:r>
          </w:p>
        </w:tc>
        <w:tc>
          <w:tcPr>
            <w:tcW w:w="1309" w:type="dxa"/>
            <w:tcBorders>
              <w:top w:val="single" w:sz="2" w:space="0" w:color="auto"/>
              <w:left w:val="single" w:sz="2" w:space="0" w:color="auto"/>
              <w:bottom w:val="single" w:sz="2" w:space="0" w:color="auto"/>
              <w:right w:val="single" w:sz="2" w:space="0" w:color="auto"/>
            </w:tcBorders>
            <w:vAlign w:val="center"/>
          </w:tcPr>
          <w:p w14:paraId="5259E1E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 significant changes.</w:t>
            </w:r>
          </w:p>
        </w:tc>
      </w:tr>
      <w:tr w:rsidR="006B66B7" w:rsidRPr="008C49B7" w14:paraId="7642CE0B"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83699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Lease liabilities</w:t>
            </w:r>
          </w:p>
        </w:tc>
        <w:tc>
          <w:tcPr>
            <w:tcW w:w="1377" w:type="dxa"/>
            <w:tcBorders>
              <w:top w:val="single" w:sz="2" w:space="0" w:color="auto"/>
              <w:left w:val="single" w:sz="2" w:space="0" w:color="auto"/>
              <w:bottom w:val="single" w:sz="2" w:space="0" w:color="auto"/>
              <w:right w:val="single" w:sz="2" w:space="0" w:color="auto"/>
            </w:tcBorders>
            <w:vAlign w:val="center"/>
          </w:tcPr>
          <w:p w14:paraId="727726A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113,974,087.94</w:t>
            </w:r>
          </w:p>
        </w:tc>
        <w:tc>
          <w:tcPr>
            <w:tcW w:w="1377" w:type="dxa"/>
            <w:tcBorders>
              <w:top w:val="single" w:sz="2" w:space="0" w:color="auto"/>
              <w:left w:val="single" w:sz="2" w:space="0" w:color="auto"/>
              <w:bottom w:val="single" w:sz="2" w:space="0" w:color="auto"/>
              <w:right w:val="single" w:sz="2" w:space="0" w:color="auto"/>
            </w:tcBorders>
            <w:vAlign w:val="center"/>
          </w:tcPr>
          <w:p w14:paraId="6012386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0.94%</w:t>
            </w:r>
          </w:p>
        </w:tc>
        <w:tc>
          <w:tcPr>
            <w:tcW w:w="1377" w:type="dxa"/>
            <w:tcBorders>
              <w:top w:val="single" w:sz="2" w:space="0" w:color="auto"/>
              <w:left w:val="single" w:sz="2" w:space="0" w:color="auto"/>
              <w:bottom w:val="single" w:sz="2" w:space="0" w:color="auto"/>
              <w:right w:val="single" w:sz="2" w:space="0" w:color="auto"/>
            </w:tcBorders>
            <w:vAlign w:val="center"/>
          </w:tcPr>
          <w:p w14:paraId="360B4EC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4,863,114.56</w:t>
            </w:r>
          </w:p>
        </w:tc>
        <w:tc>
          <w:tcPr>
            <w:tcW w:w="1377" w:type="dxa"/>
            <w:tcBorders>
              <w:top w:val="single" w:sz="2" w:space="0" w:color="auto"/>
              <w:left w:val="single" w:sz="2" w:space="0" w:color="auto"/>
              <w:bottom w:val="single" w:sz="2" w:space="0" w:color="auto"/>
              <w:right w:val="single" w:sz="2" w:space="0" w:color="auto"/>
            </w:tcBorders>
            <w:vAlign w:val="center"/>
          </w:tcPr>
          <w:p w14:paraId="6ADA872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0.05%</w:t>
            </w:r>
          </w:p>
        </w:tc>
        <w:tc>
          <w:tcPr>
            <w:tcW w:w="1445" w:type="dxa"/>
            <w:tcBorders>
              <w:top w:val="single" w:sz="2" w:space="0" w:color="auto"/>
              <w:left w:val="single" w:sz="2" w:space="0" w:color="auto"/>
              <w:bottom w:val="single" w:sz="2" w:space="0" w:color="auto"/>
              <w:right w:val="single" w:sz="2" w:space="0" w:color="auto"/>
            </w:tcBorders>
            <w:vAlign w:val="center"/>
          </w:tcPr>
          <w:p w14:paraId="5C7EDE7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0.89%</w:t>
            </w:r>
          </w:p>
        </w:tc>
        <w:tc>
          <w:tcPr>
            <w:tcW w:w="1309" w:type="dxa"/>
            <w:tcBorders>
              <w:top w:val="single" w:sz="2" w:space="0" w:color="auto"/>
              <w:left w:val="single" w:sz="2" w:space="0" w:color="auto"/>
              <w:bottom w:val="single" w:sz="2" w:space="0" w:color="auto"/>
              <w:right w:val="single" w:sz="2" w:space="0" w:color="auto"/>
            </w:tcBorders>
            <w:vAlign w:val="center"/>
          </w:tcPr>
          <w:p w14:paraId="0A298793" w14:textId="780C6531" w:rsidR="006B66B7" w:rsidRPr="008C49B7" w:rsidRDefault="002349C6" w:rsidP="00A962B3">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Mainly due to the Company's acquisition of 30% equity interest of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by public delisting, during the Reporting Period, which resulted in an accumulated transfer of 70%;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became a holding subsidiary of the Company and was included in the scope of </w:t>
            </w:r>
            <w:r w:rsidRPr="008C49B7">
              <w:rPr>
                <w:rFonts w:ascii="Times New Roman" w:eastAsia="宋体" w:hAnsi="Times New Roman" w:cs="Times New Roman"/>
                <w:sz w:val="18"/>
                <w:szCs w:val="18"/>
              </w:rPr>
              <w:lastRenderedPageBreak/>
              <w:t>consolidated statements.</w:t>
            </w:r>
          </w:p>
        </w:tc>
      </w:tr>
      <w:tr w:rsidR="006B66B7" w:rsidRPr="008C49B7" w14:paraId="58E1C15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7BE76C4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Held-for-trading financial assets</w:t>
            </w:r>
          </w:p>
        </w:tc>
        <w:tc>
          <w:tcPr>
            <w:tcW w:w="1377" w:type="dxa"/>
            <w:tcBorders>
              <w:top w:val="single" w:sz="2" w:space="0" w:color="auto"/>
              <w:left w:val="single" w:sz="2" w:space="0" w:color="auto"/>
              <w:bottom w:val="single" w:sz="2" w:space="0" w:color="auto"/>
              <w:right w:val="single" w:sz="2" w:space="0" w:color="auto"/>
            </w:tcBorders>
            <w:vAlign w:val="center"/>
          </w:tcPr>
          <w:p w14:paraId="78331DB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21,400,000.00</w:t>
            </w:r>
          </w:p>
        </w:tc>
        <w:tc>
          <w:tcPr>
            <w:tcW w:w="1377" w:type="dxa"/>
            <w:tcBorders>
              <w:top w:val="single" w:sz="2" w:space="0" w:color="auto"/>
              <w:left w:val="single" w:sz="2" w:space="0" w:color="auto"/>
              <w:bottom w:val="single" w:sz="2" w:space="0" w:color="auto"/>
              <w:right w:val="single" w:sz="2" w:space="0" w:color="auto"/>
            </w:tcBorders>
            <w:vAlign w:val="center"/>
          </w:tcPr>
          <w:p w14:paraId="5C06E70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0.18%</w:t>
            </w:r>
          </w:p>
        </w:tc>
        <w:tc>
          <w:tcPr>
            <w:tcW w:w="1377" w:type="dxa"/>
            <w:tcBorders>
              <w:top w:val="single" w:sz="2" w:space="0" w:color="auto"/>
              <w:left w:val="single" w:sz="2" w:space="0" w:color="auto"/>
              <w:bottom w:val="single" w:sz="2" w:space="0" w:color="auto"/>
              <w:right w:val="single" w:sz="2" w:space="0" w:color="auto"/>
            </w:tcBorders>
            <w:vAlign w:val="center"/>
          </w:tcPr>
          <w:p w14:paraId="0FDA5F7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63,200,000.00</w:t>
            </w:r>
          </w:p>
        </w:tc>
        <w:tc>
          <w:tcPr>
            <w:tcW w:w="1377" w:type="dxa"/>
            <w:tcBorders>
              <w:top w:val="single" w:sz="2" w:space="0" w:color="auto"/>
              <w:left w:val="single" w:sz="2" w:space="0" w:color="auto"/>
              <w:bottom w:val="single" w:sz="2" w:space="0" w:color="auto"/>
              <w:right w:val="single" w:sz="2" w:space="0" w:color="auto"/>
            </w:tcBorders>
            <w:vAlign w:val="center"/>
          </w:tcPr>
          <w:p w14:paraId="478C791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0.67%</w:t>
            </w:r>
          </w:p>
        </w:tc>
        <w:tc>
          <w:tcPr>
            <w:tcW w:w="1445" w:type="dxa"/>
            <w:tcBorders>
              <w:top w:val="single" w:sz="2" w:space="0" w:color="auto"/>
              <w:left w:val="single" w:sz="2" w:space="0" w:color="auto"/>
              <w:bottom w:val="single" w:sz="2" w:space="0" w:color="auto"/>
              <w:right w:val="single" w:sz="2" w:space="0" w:color="auto"/>
            </w:tcBorders>
            <w:vAlign w:val="center"/>
          </w:tcPr>
          <w:p w14:paraId="730D8D8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-0.49%</w:t>
            </w:r>
          </w:p>
        </w:tc>
        <w:tc>
          <w:tcPr>
            <w:tcW w:w="1309" w:type="dxa"/>
            <w:tcBorders>
              <w:top w:val="single" w:sz="2" w:space="0" w:color="auto"/>
              <w:left w:val="single" w:sz="2" w:space="0" w:color="auto"/>
              <w:bottom w:val="single" w:sz="2" w:space="0" w:color="auto"/>
              <w:right w:val="single" w:sz="2" w:space="0" w:color="auto"/>
            </w:tcBorders>
            <w:vAlign w:val="center"/>
          </w:tcPr>
          <w:p w14:paraId="69FAE2F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Company's redemption of short-term risk-controllable financial products during the Reporting Period.</w:t>
            </w:r>
          </w:p>
        </w:tc>
      </w:tr>
      <w:tr w:rsidR="006B66B7" w:rsidRPr="008C49B7" w14:paraId="5612C19E"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7C24B5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Notes receivable</w:t>
            </w:r>
          </w:p>
        </w:tc>
        <w:tc>
          <w:tcPr>
            <w:tcW w:w="1377" w:type="dxa"/>
            <w:tcBorders>
              <w:top w:val="single" w:sz="2" w:space="0" w:color="auto"/>
              <w:left w:val="single" w:sz="2" w:space="0" w:color="auto"/>
              <w:bottom w:val="single" w:sz="2" w:space="0" w:color="auto"/>
              <w:right w:val="single" w:sz="2" w:space="0" w:color="auto"/>
            </w:tcBorders>
            <w:vAlign w:val="center"/>
          </w:tcPr>
          <w:p w14:paraId="23D13FA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51,761,214.07</w:t>
            </w:r>
          </w:p>
        </w:tc>
        <w:tc>
          <w:tcPr>
            <w:tcW w:w="1377" w:type="dxa"/>
            <w:tcBorders>
              <w:top w:val="single" w:sz="2" w:space="0" w:color="auto"/>
              <w:left w:val="single" w:sz="2" w:space="0" w:color="auto"/>
              <w:bottom w:val="single" w:sz="2" w:space="0" w:color="auto"/>
              <w:right w:val="single" w:sz="2" w:space="0" w:color="auto"/>
            </w:tcBorders>
            <w:vAlign w:val="center"/>
          </w:tcPr>
          <w:p w14:paraId="2D844EA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0.43%</w:t>
            </w:r>
          </w:p>
        </w:tc>
        <w:tc>
          <w:tcPr>
            <w:tcW w:w="1377" w:type="dxa"/>
            <w:tcBorders>
              <w:top w:val="single" w:sz="2" w:space="0" w:color="auto"/>
              <w:left w:val="single" w:sz="2" w:space="0" w:color="auto"/>
              <w:bottom w:val="single" w:sz="2" w:space="0" w:color="auto"/>
              <w:right w:val="single" w:sz="2" w:space="0" w:color="auto"/>
            </w:tcBorders>
            <w:vAlign w:val="center"/>
          </w:tcPr>
          <w:p w14:paraId="47CA13B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13,066,108.69</w:t>
            </w:r>
          </w:p>
        </w:tc>
        <w:tc>
          <w:tcPr>
            <w:tcW w:w="1377" w:type="dxa"/>
            <w:tcBorders>
              <w:top w:val="single" w:sz="2" w:space="0" w:color="auto"/>
              <w:left w:val="single" w:sz="2" w:space="0" w:color="auto"/>
              <w:bottom w:val="single" w:sz="2" w:space="0" w:color="auto"/>
              <w:right w:val="single" w:sz="2" w:space="0" w:color="auto"/>
            </w:tcBorders>
            <w:vAlign w:val="center"/>
          </w:tcPr>
          <w:p w14:paraId="2E6426E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0.14%</w:t>
            </w:r>
          </w:p>
        </w:tc>
        <w:tc>
          <w:tcPr>
            <w:tcW w:w="1445" w:type="dxa"/>
            <w:tcBorders>
              <w:top w:val="single" w:sz="2" w:space="0" w:color="auto"/>
              <w:left w:val="single" w:sz="2" w:space="0" w:color="auto"/>
              <w:bottom w:val="single" w:sz="2" w:space="0" w:color="auto"/>
              <w:right w:val="single" w:sz="2" w:space="0" w:color="auto"/>
            </w:tcBorders>
            <w:vAlign w:val="center"/>
          </w:tcPr>
          <w:p w14:paraId="533565A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0.29%</w:t>
            </w:r>
          </w:p>
        </w:tc>
        <w:tc>
          <w:tcPr>
            <w:tcW w:w="1309" w:type="dxa"/>
            <w:tcBorders>
              <w:top w:val="single" w:sz="2" w:space="0" w:color="auto"/>
              <w:left w:val="single" w:sz="2" w:space="0" w:color="auto"/>
              <w:bottom w:val="single" w:sz="2" w:space="0" w:color="auto"/>
              <w:right w:val="single" w:sz="2" w:space="0" w:color="auto"/>
            </w:tcBorders>
            <w:vAlign w:val="center"/>
          </w:tcPr>
          <w:p w14:paraId="428A7E0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increase in commercial acceptance notes held by the Company during the Reporting Period.</w:t>
            </w:r>
          </w:p>
        </w:tc>
      </w:tr>
      <w:tr w:rsidR="006B66B7" w:rsidRPr="008C49B7" w14:paraId="635909F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289A9EC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 receivables</w:t>
            </w:r>
          </w:p>
        </w:tc>
        <w:tc>
          <w:tcPr>
            <w:tcW w:w="1377" w:type="dxa"/>
            <w:tcBorders>
              <w:top w:val="single" w:sz="2" w:space="0" w:color="auto"/>
              <w:left w:val="single" w:sz="2" w:space="0" w:color="auto"/>
              <w:bottom w:val="single" w:sz="2" w:space="0" w:color="auto"/>
              <w:right w:val="single" w:sz="2" w:space="0" w:color="auto"/>
            </w:tcBorders>
            <w:vAlign w:val="center"/>
          </w:tcPr>
          <w:p w14:paraId="4EC9B34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11,135,073.77</w:t>
            </w:r>
          </w:p>
        </w:tc>
        <w:tc>
          <w:tcPr>
            <w:tcW w:w="1377" w:type="dxa"/>
            <w:tcBorders>
              <w:top w:val="single" w:sz="2" w:space="0" w:color="auto"/>
              <w:left w:val="single" w:sz="2" w:space="0" w:color="auto"/>
              <w:bottom w:val="single" w:sz="2" w:space="0" w:color="auto"/>
              <w:right w:val="single" w:sz="2" w:space="0" w:color="auto"/>
            </w:tcBorders>
            <w:vAlign w:val="center"/>
          </w:tcPr>
          <w:p w14:paraId="2AEF57C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0.09%</w:t>
            </w:r>
          </w:p>
        </w:tc>
        <w:tc>
          <w:tcPr>
            <w:tcW w:w="1377" w:type="dxa"/>
            <w:tcBorders>
              <w:top w:val="single" w:sz="2" w:space="0" w:color="auto"/>
              <w:left w:val="single" w:sz="2" w:space="0" w:color="auto"/>
              <w:bottom w:val="single" w:sz="2" w:space="0" w:color="auto"/>
              <w:right w:val="single" w:sz="2" w:space="0" w:color="auto"/>
            </w:tcBorders>
            <w:vAlign w:val="center"/>
          </w:tcPr>
          <w:p w14:paraId="3B0639F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22,043,111.30</w:t>
            </w:r>
          </w:p>
        </w:tc>
        <w:tc>
          <w:tcPr>
            <w:tcW w:w="1377" w:type="dxa"/>
            <w:tcBorders>
              <w:top w:val="single" w:sz="2" w:space="0" w:color="auto"/>
              <w:left w:val="single" w:sz="2" w:space="0" w:color="auto"/>
              <w:bottom w:val="single" w:sz="2" w:space="0" w:color="auto"/>
              <w:right w:val="single" w:sz="2" w:space="0" w:color="auto"/>
            </w:tcBorders>
            <w:vAlign w:val="center"/>
          </w:tcPr>
          <w:p w14:paraId="78EB858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0.23%</w:t>
            </w:r>
          </w:p>
        </w:tc>
        <w:tc>
          <w:tcPr>
            <w:tcW w:w="1445" w:type="dxa"/>
            <w:tcBorders>
              <w:top w:val="single" w:sz="2" w:space="0" w:color="auto"/>
              <w:left w:val="single" w:sz="2" w:space="0" w:color="auto"/>
              <w:bottom w:val="single" w:sz="2" w:space="0" w:color="auto"/>
              <w:right w:val="single" w:sz="2" w:space="0" w:color="auto"/>
            </w:tcBorders>
            <w:vAlign w:val="center"/>
          </w:tcPr>
          <w:p w14:paraId="7E6FB94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-0.14%</w:t>
            </w:r>
          </w:p>
        </w:tc>
        <w:tc>
          <w:tcPr>
            <w:tcW w:w="1309" w:type="dxa"/>
            <w:tcBorders>
              <w:top w:val="single" w:sz="2" w:space="0" w:color="auto"/>
              <w:left w:val="single" w:sz="2" w:space="0" w:color="auto"/>
              <w:bottom w:val="single" w:sz="2" w:space="0" w:color="auto"/>
              <w:right w:val="single" w:sz="2" w:space="0" w:color="auto"/>
            </w:tcBorders>
            <w:vAlign w:val="center"/>
          </w:tcPr>
          <w:p w14:paraId="1F24D70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decrease in the Company's receivable margins and security deposits.</w:t>
            </w:r>
          </w:p>
        </w:tc>
      </w:tr>
      <w:tr w:rsidR="006B66B7" w:rsidRPr="008C49B7" w14:paraId="7918C2E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9E0494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 current assets</w:t>
            </w:r>
          </w:p>
        </w:tc>
        <w:tc>
          <w:tcPr>
            <w:tcW w:w="1377" w:type="dxa"/>
            <w:tcBorders>
              <w:top w:val="single" w:sz="2" w:space="0" w:color="auto"/>
              <w:left w:val="single" w:sz="2" w:space="0" w:color="auto"/>
              <w:bottom w:val="single" w:sz="2" w:space="0" w:color="auto"/>
              <w:right w:val="single" w:sz="2" w:space="0" w:color="auto"/>
            </w:tcBorders>
            <w:vAlign w:val="center"/>
          </w:tcPr>
          <w:p w14:paraId="5C6929D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43,137,681.30</w:t>
            </w:r>
          </w:p>
        </w:tc>
        <w:tc>
          <w:tcPr>
            <w:tcW w:w="1377" w:type="dxa"/>
            <w:tcBorders>
              <w:top w:val="single" w:sz="2" w:space="0" w:color="auto"/>
              <w:left w:val="single" w:sz="2" w:space="0" w:color="auto"/>
              <w:bottom w:val="single" w:sz="2" w:space="0" w:color="auto"/>
              <w:right w:val="single" w:sz="2" w:space="0" w:color="auto"/>
            </w:tcBorders>
            <w:vAlign w:val="center"/>
          </w:tcPr>
          <w:p w14:paraId="497754F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0.36%</w:t>
            </w:r>
          </w:p>
        </w:tc>
        <w:tc>
          <w:tcPr>
            <w:tcW w:w="1377" w:type="dxa"/>
            <w:tcBorders>
              <w:top w:val="single" w:sz="2" w:space="0" w:color="auto"/>
              <w:left w:val="single" w:sz="2" w:space="0" w:color="auto"/>
              <w:bottom w:val="single" w:sz="2" w:space="0" w:color="auto"/>
              <w:right w:val="single" w:sz="2" w:space="0" w:color="auto"/>
            </w:tcBorders>
            <w:vAlign w:val="center"/>
          </w:tcPr>
          <w:p w14:paraId="0203F14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135,165,283.82</w:t>
            </w:r>
          </w:p>
        </w:tc>
        <w:tc>
          <w:tcPr>
            <w:tcW w:w="1377" w:type="dxa"/>
            <w:tcBorders>
              <w:top w:val="single" w:sz="2" w:space="0" w:color="auto"/>
              <w:left w:val="single" w:sz="2" w:space="0" w:color="auto"/>
              <w:bottom w:val="single" w:sz="2" w:space="0" w:color="auto"/>
              <w:right w:val="single" w:sz="2" w:space="0" w:color="auto"/>
            </w:tcBorders>
            <w:vAlign w:val="center"/>
          </w:tcPr>
          <w:p w14:paraId="6C4C37A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1.43%</w:t>
            </w:r>
          </w:p>
        </w:tc>
        <w:tc>
          <w:tcPr>
            <w:tcW w:w="1445" w:type="dxa"/>
            <w:tcBorders>
              <w:top w:val="single" w:sz="2" w:space="0" w:color="auto"/>
              <w:left w:val="single" w:sz="2" w:space="0" w:color="auto"/>
              <w:bottom w:val="single" w:sz="2" w:space="0" w:color="auto"/>
              <w:right w:val="single" w:sz="2" w:space="0" w:color="auto"/>
            </w:tcBorders>
            <w:vAlign w:val="center"/>
          </w:tcPr>
          <w:p w14:paraId="43004CC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-1.07%</w:t>
            </w:r>
          </w:p>
        </w:tc>
        <w:tc>
          <w:tcPr>
            <w:tcW w:w="1309" w:type="dxa"/>
            <w:tcBorders>
              <w:top w:val="single" w:sz="2" w:space="0" w:color="auto"/>
              <w:left w:val="single" w:sz="2" w:space="0" w:color="auto"/>
              <w:bottom w:val="single" w:sz="2" w:space="0" w:color="auto"/>
              <w:right w:val="single" w:sz="2" w:space="0" w:color="auto"/>
            </w:tcBorders>
            <w:vAlign w:val="center"/>
          </w:tcPr>
          <w:p w14:paraId="7D8F2F5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redemption of principal guaranteed fixed-income financial products by the Company during the Reporting Period.</w:t>
            </w:r>
          </w:p>
        </w:tc>
      </w:tr>
      <w:tr w:rsidR="006B66B7" w:rsidRPr="008C49B7" w14:paraId="7B1160B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45FAC42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Goodwill</w:t>
            </w:r>
          </w:p>
        </w:tc>
        <w:tc>
          <w:tcPr>
            <w:tcW w:w="1377" w:type="dxa"/>
            <w:tcBorders>
              <w:top w:val="single" w:sz="2" w:space="0" w:color="auto"/>
              <w:left w:val="single" w:sz="2" w:space="0" w:color="auto"/>
              <w:bottom w:val="single" w:sz="2" w:space="0" w:color="auto"/>
              <w:right w:val="single" w:sz="2" w:space="0" w:color="auto"/>
            </w:tcBorders>
            <w:vAlign w:val="center"/>
          </w:tcPr>
          <w:p w14:paraId="4044061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304,661,333.30</w:t>
            </w:r>
          </w:p>
        </w:tc>
        <w:tc>
          <w:tcPr>
            <w:tcW w:w="1377" w:type="dxa"/>
            <w:tcBorders>
              <w:top w:val="single" w:sz="2" w:space="0" w:color="auto"/>
              <w:left w:val="single" w:sz="2" w:space="0" w:color="auto"/>
              <w:bottom w:val="single" w:sz="2" w:space="0" w:color="auto"/>
              <w:right w:val="single" w:sz="2" w:space="0" w:color="auto"/>
            </w:tcBorders>
            <w:vAlign w:val="center"/>
          </w:tcPr>
          <w:p w14:paraId="0CA9F50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2.52%</w:t>
            </w:r>
          </w:p>
        </w:tc>
        <w:tc>
          <w:tcPr>
            <w:tcW w:w="1377" w:type="dxa"/>
            <w:tcBorders>
              <w:top w:val="single" w:sz="2" w:space="0" w:color="auto"/>
              <w:left w:val="single" w:sz="2" w:space="0" w:color="auto"/>
              <w:bottom w:val="single" w:sz="2" w:space="0" w:color="auto"/>
              <w:right w:val="single" w:sz="2" w:space="0" w:color="auto"/>
            </w:tcBorders>
            <w:vAlign w:val="center"/>
          </w:tcPr>
          <w:p w14:paraId="6F2AA7A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163,664,335.43</w:t>
            </w:r>
          </w:p>
        </w:tc>
        <w:tc>
          <w:tcPr>
            <w:tcW w:w="1377" w:type="dxa"/>
            <w:tcBorders>
              <w:top w:val="single" w:sz="2" w:space="0" w:color="auto"/>
              <w:left w:val="single" w:sz="2" w:space="0" w:color="auto"/>
              <w:bottom w:val="single" w:sz="2" w:space="0" w:color="auto"/>
              <w:right w:val="single" w:sz="2" w:space="0" w:color="auto"/>
            </w:tcBorders>
            <w:vAlign w:val="center"/>
          </w:tcPr>
          <w:p w14:paraId="526E606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1.73%</w:t>
            </w:r>
          </w:p>
        </w:tc>
        <w:tc>
          <w:tcPr>
            <w:tcW w:w="1445" w:type="dxa"/>
            <w:tcBorders>
              <w:top w:val="single" w:sz="2" w:space="0" w:color="auto"/>
              <w:left w:val="single" w:sz="2" w:space="0" w:color="auto"/>
              <w:bottom w:val="single" w:sz="2" w:space="0" w:color="auto"/>
              <w:right w:val="single" w:sz="2" w:space="0" w:color="auto"/>
            </w:tcBorders>
            <w:vAlign w:val="center"/>
          </w:tcPr>
          <w:p w14:paraId="6F75F64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0.79%</w:t>
            </w:r>
          </w:p>
        </w:tc>
        <w:tc>
          <w:tcPr>
            <w:tcW w:w="1309" w:type="dxa"/>
            <w:tcBorders>
              <w:top w:val="single" w:sz="2" w:space="0" w:color="auto"/>
              <w:left w:val="single" w:sz="2" w:space="0" w:color="auto"/>
              <w:bottom w:val="single" w:sz="2" w:space="0" w:color="auto"/>
              <w:right w:val="single" w:sz="2" w:space="0" w:color="auto"/>
            </w:tcBorders>
            <w:vAlign w:val="center"/>
          </w:tcPr>
          <w:p w14:paraId="1B7538D1" w14:textId="5ADE2A65" w:rsidR="006B66B7" w:rsidRPr="008C49B7" w:rsidRDefault="002349C6" w:rsidP="00AD1D55">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Mainly due to the Company's acquisition of 30% equity interest of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by public delisting, during the Reporting Period, which resulted in an accumulated transfer of 70%;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became a holding subsidiary of the Company and was included in the scope of consolidated statements.</w:t>
            </w:r>
          </w:p>
        </w:tc>
      </w:tr>
      <w:tr w:rsidR="006B66B7" w:rsidRPr="008C49B7" w14:paraId="1FF7185B"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4B7846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 non-current assets</w:t>
            </w:r>
          </w:p>
        </w:tc>
        <w:tc>
          <w:tcPr>
            <w:tcW w:w="1377" w:type="dxa"/>
            <w:tcBorders>
              <w:top w:val="single" w:sz="2" w:space="0" w:color="auto"/>
              <w:left w:val="single" w:sz="2" w:space="0" w:color="auto"/>
              <w:bottom w:val="single" w:sz="2" w:space="0" w:color="auto"/>
              <w:right w:val="single" w:sz="2" w:space="0" w:color="auto"/>
            </w:tcBorders>
            <w:vAlign w:val="center"/>
          </w:tcPr>
          <w:p w14:paraId="6F5F211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699,160,886.35</w:t>
            </w:r>
          </w:p>
        </w:tc>
        <w:tc>
          <w:tcPr>
            <w:tcW w:w="1377" w:type="dxa"/>
            <w:tcBorders>
              <w:top w:val="single" w:sz="2" w:space="0" w:color="auto"/>
              <w:left w:val="single" w:sz="2" w:space="0" w:color="auto"/>
              <w:bottom w:val="single" w:sz="2" w:space="0" w:color="auto"/>
              <w:right w:val="single" w:sz="2" w:space="0" w:color="auto"/>
            </w:tcBorders>
            <w:vAlign w:val="center"/>
          </w:tcPr>
          <w:p w14:paraId="2F850F4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5.79%</w:t>
            </w:r>
          </w:p>
        </w:tc>
        <w:tc>
          <w:tcPr>
            <w:tcW w:w="1377" w:type="dxa"/>
            <w:tcBorders>
              <w:top w:val="single" w:sz="2" w:space="0" w:color="auto"/>
              <w:left w:val="single" w:sz="2" w:space="0" w:color="auto"/>
              <w:bottom w:val="single" w:sz="2" w:space="0" w:color="auto"/>
              <w:right w:val="single" w:sz="2" w:space="0" w:color="auto"/>
            </w:tcBorders>
            <w:vAlign w:val="center"/>
          </w:tcPr>
          <w:p w14:paraId="1EA7D8F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329,554,214.72</w:t>
            </w:r>
          </w:p>
        </w:tc>
        <w:tc>
          <w:tcPr>
            <w:tcW w:w="1377" w:type="dxa"/>
            <w:tcBorders>
              <w:top w:val="single" w:sz="2" w:space="0" w:color="auto"/>
              <w:left w:val="single" w:sz="2" w:space="0" w:color="auto"/>
              <w:bottom w:val="single" w:sz="2" w:space="0" w:color="auto"/>
              <w:right w:val="single" w:sz="2" w:space="0" w:color="auto"/>
            </w:tcBorders>
            <w:vAlign w:val="center"/>
          </w:tcPr>
          <w:p w14:paraId="283AF16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3.48%</w:t>
            </w:r>
          </w:p>
        </w:tc>
        <w:tc>
          <w:tcPr>
            <w:tcW w:w="1445" w:type="dxa"/>
            <w:tcBorders>
              <w:top w:val="single" w:sz="2" w:space="0" w:color="auto"/>
              <w:left w:val="single" w:sz="2" w:space="0" w:color="auto"/>
              <w:bottom w:val="single" w:sz="2" w:space="0" w:color="auto"/>
              <w:right w:val="single" w:sz="2" w:space="0" w:color="auto"/>
            </w:tcBorders>
            <w:vAlign w:val="center"/>
          </w:tcPr>
          <w:p w14:paraId="784B609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2.31%</w:t>
            </w:r>
          </w:p>
        </w:tc>
        <w:tc>
          <w:tcPr>
            <w:tcW w:w="1309" w:type="dxa"/>
            <w:tcBorders>
              <w:top w:val="single" w:sz="2" w:space="0" w:color="auto"/>
              <w:left w:val="single" w:sz="2" w:space="0" w:color="auto"/>
              <w:bottom w:val="single" w:sz="2" w:space="0" w:color="auto"/>
              <w:right w:val="single" w:sz="2" w:space="0" w:color="auto"/>
            </w:tcBorders>
            <w:vAlign w:val="center"/>
          </w:tcPr>
          <w:p w14:paraId="7EC67EB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Mainly due to the increase in the contract payment for engineering equipment in </w:t>
            </w:r>
            <w:r w:rsidRPr="008C49B7">
              <w:rPr>
                <w:rFonts w:ascii="Times New Roman" w:eastAsia="宋体" w:hAnsi="Times New Roman" w:cs="Times New Roman"/>
                <w:sz w:val="18"/>
                <w:szCs w:val="18"/>
              </w:rPr>
              <w:lastRenderedPageBreak/>
              <w:t>advance by the Company during the Reporting Period.</w:t>
            </w:r>
          </w:p>
        </w:tc>
      </w:tr>
      <w:tr w:rsidR="006B66B7" w:rsidRPr="008C49B7" w14:paraId="7776BA3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56E1C9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Notes payable</w:t>
            </w:r>
          </w:p>
        </w:tc>
        <w:tc>
          <w:tcPr>
            <w:tcW w:w="1377" w:type="dxa"/>
            <w:tcBorders>
              <w:top w:val="single" w:sz="2" w:space="0" w:color="auto"/>
              <w:left w:val="single" w:sz="2" w:space="0" w:color="auto"/>
              <w:bottom w:val="single" w:sz="2" w:space="0" w:color="auto"/>
              <w:right w:val="single" w:sz="2" w:space="0" w:color="auto"/>
            </w:tcBorders>
            <w:vAlign w:val="center"/>
          </w:tcPr>
          <w:p w14:paraId="4C4CD72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253,148,954.71</w:t>
            </w:r>
          </w:p>
        </w:tc>
        <w:tc>
          <w:tcPr>
            <w:tcW w:w="1377" w:type="dxa"/>
            <w:tcBorders>
              <w:top w:val="single" w:sz="2" w:space="0" w:color="auto"/>
              <w:left w:val="single" w:sz="2" w:space="0" w:color="auto"/>
              <w:bottom w:val="single" w:sz="2" w:space="0" w:color="auto"/>
              <w:right w:val="single" w:sz="2" w:space="0" w:color="auto"/>
            </w:tcBorders>
            <w:vAlign w:val="center"/>
          </w:tcPr>
          <w:p w14:paraId="3AE5DEE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2.10%</w:t>
            </w:r>
          </w:p>
        </w:tc>
        <w:tc>
          <w:tcPr>
            <w:tcW w:w="1377" w:type="dxa"/>
            <w:tcBorders>
              <w:top w:val="single" w:sz="2" w:space="0" w:color="auto"/>
              <w:left w:val="single" w:sz="2" w:space="0" w:color="auto"/>
              <w:bottom w:val="single" w:sz="2" w:space="0" w:color="auto"/>
              <w:right w:val="single" w:sz="2" w:space="0" w:color="auto"/>
            </w:tcBorders>
            <w:vAlign w:val="center"/>
          </w:tcPr>
          <w:p w14:paraId="1FA4726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404,866,538.45</w:t>
            </w:r>
          </w:p>
        </w:tc>
        <w:tc>
          <w:tcPr>
            <w:tcW w:w="1377" w:type="dxa"/>
            <w:tcBorders>
              <w:top w:val="single" w:sz="2" w:space="0" w:color="auto"/>
              <w:left w:val="single" w:sz="2" w:space="0" w:color="auto"/>
              <w:bottom w:val="single" w:sz="2" w:space="0" w:color="auto"/>
              <w:right w:val="single" w:sz="2" w:space="0" w:color="auto"/>
            </w:tcBorders>
            <w:vAlign w:val="center"/>
          </w:tcPr>
          <w:p w14:paraId="02C574E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4.27%</w:t>
            </w:r>
          </w:p>
        </w:tc>
        <w:tc>
          <w:tcPr>
            <w:tcW w:w="1445" w:type="dxa"/>
            <w:tcBorders>
              <w:top w:val="single" w:sz="2" w:space="0" w:color="auto"/>
              <w:left w:val="single" w:sz="2" w:space="0" w:color="auto"/>
              <w:bottom w:val="single" w:sz="2" w:space="0" w:color="auto"/>
              <w:right w:val="single" w:sz="2" w:space="0" w:color="auto"/>
            </w:tcBorders>
            <w:vAlign w:val="center"/>
          </w:tcPr>
          <w:p w14:paraId="6C23283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-2.17%</w:t>
            </w:r>
          </w:p>
        </w:tc>
        <w:tc>
          <w:tcPr>
            <w:tcW w:w="1309" w:type="dxa"/>
            <w:tcBorders>
              <w:top w:val="single" w:sz="2" w:space="0" w:color="auto"/>
              <w:left w:val="single" w:sz="2" w:space="0" w:color="auto"/>
              <w:bottom w:val="single" w:sz="2" w:space="0" w:color="auto"/>
              <w:right w:val="single" w:sz="2" w:space="0" w:color="auto"/>
            </w:tcBorders>
            <w:vAlign w:val="center"/>
          </w:tcPr>
          <w:p w14:paraId="1BCBE0A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decrease in bank acceptance receivable of the Company during the Reporting Period.</w:t>
            </w:r>
          </w:p>
        </w:tc>
      </w:tr>
      <w:tr w:rsidR="006B66B7" w:rsidRPr="008C49B7" w14:paraId="04872E0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20D1BAE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Employee benefits payable</w:t>
            </w:r>
          </w:p>
        </w:tc>
        <w:tc>
          <w:tcPr>
            <w:tcW w:w="1377" w:type="dxa"/>
            <w:tcBorders>
              <w:top w:val="single" w:sz="2" w:space="0" w:color="auto"/>
              <w:left w:val="single" w:sz="2" w:space="0" w:color="auto"/>
              <w:bottom w:val="single" w:sz="2" w:space="0" w:color="auto"/>
              <w:right w:val="single" w:sz="2" w:space="0" w:color="auto"/>
            </w:tcBorders>
            <w:vAlign w:val="center"/>
          </w:tcPr>
          <w:p w14:paraId="28FAEB8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90,878,657.81</w:t>
            </w:r>
          </w:p>
        </w:tc>
        <w:tc>
          <w:tcPr>
            <w:tcW w:w="1377" w:type="dxa"/>
            <w:tcBorders>
              <w:top w:val="single" w:sz="2" w:space="0" w:color="auto"/>
              <w:left w:val="single" w:sz="2" w:space="0" w:color="auto"/>
              <w:bottom w:val="single" w:sz="2" w:space="0" w:color="auto"/>
              <w:right w:val="single" w:sz="2" w:space="0" w:color="auto"/>
            </w:tcBorders>
            <w:vAlign w:val="center"/>
          </w:tcPr>
          <w:p w14:paraId="3D2A972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0.75%</w:t>
            </w:r>
          </w:p>
        </w:tc>
        <w:tc>
          <w:tcPr>
            <w:tcW w:w="1377" w:type="dxa"/>
            <w:tcBorders>
              <w:top w:val="single" w:sz="2" w:space="0" w:color="auto"/>
              <w:left w:val="single" w:sz="2" w:space="0" w:color="auto"/>
              <w:bottom w:val="single" w:sz="2" w:space="0" w:color="auto"/>
              <w:right w:val="single" w:sz="2" w:space="0" w:color="auto"/>
            </w:tcBorders>
            <w:vAlign w:val="center"/>
          </w:tcPr>
          <w:p w14:paraId="25F659D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144,438,351.00</w:t>
            </w:r>
          </w:p>
        </w:tc>
        <w:tc>
          <w:tcPr>
            <w:tcW w:w="1377" w:type="dxa"/>
            <w:tcBorders>
              <w:top w:val="single" w:sz="2" w:space="0" w:color="auto"/>
              <w:left w:val="single" w:sz="2" w:space="0" w:color="auto"/>
              <w:bottom w:val="single" w:sz="2" w:space="0" w:color="auto"/>
              <w:right w:val="single" w:sz="2" w:space="0" w:color="auto"/>
            </w:tcBorders>
            <w:vAlign w:val="center"/>
          </w:tcPr>
          <w:p w14:paraId="76E235D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1.52%</w:t>
            </w:r>
          </w:p>
        </w:tc>
        <w:tc>
          <w:tcPr>
            <w:tcW w:w="1445" w:type="dxa"/>
            <w:tcBorders>
              <w:top w:val="single" w:sz="2" w:space="0" w:color="auto"/>
              <w:left w:val="single" w:sz="2" w:space="0" w:color="auto"/>
              <w:bottom w:val="single" w:sz="2" w:space="0" w:color="auto"/>
              <w:right w:val="single" w:sz="2" w:space="0" w:color="auto"/>
            </w:tcBorders>
            <w:vAlign w:val="center"/>
          </w:tcPr>
          <w:p w14:paraId="5F379E8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-0.77%</w:t>
            </w:r>
          </w:p>
        </w:tc>
        <w:tc>
          <w:tcPr>
            <w:tcW w:w="1309" w:type="dxa"/>
            <w:tcBorders>
              <w:top w:val="single" w:sz="2" w:space="0" w:color="auto"/>
              <w:left w:val="single" w:sz="2" w:space="0" w:color="auto"/>
              <w:bottom w:val="single" w:sz="2" w:space="0" w:color="auto"/>
              <w:right w:val="single" w:sz="2" w:space="0" w:color="auto"/>
            </w:tcBorders>
            <w:vAlign w:val="center"/>
          </w:tcPr>
          <w:p w14:paraId="73C9171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distribution of the Company's year-end bonus during the Reporting Period.</w:t>
            </w:r>
          </w:p>
        </w:tc>
      </w:tr>
      <w:tr w:rsidR="006B66B7" w:rsidRPr="008C49B7" w14:paraId="1E26F5A1"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0FDEC1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Taxes and levies payable</w:t>
            </w:r>
          </w:p>
        </w:tc>
        <w:tc>
          <w:tcPr>
            <w:tcW w:w="1377" w:type="dxa"/>
            <w:tcBorders>
              <w:top w:val="single" w:sz="2" w:space="0" w:color="auto"/>
              <w:left w:val="single" w:sz="2" w:space="0" w:color="auto"/>
              <w:bottom w:val="single" w:sz="2" w:space="0" w:color="auto"/>
              <w:right w:val="single" w:sz="2" w:space="0" w:color="auto"/>
            </w:tcBorders>
            <w:vAlign w:val="center"/>
          </w:tcPr>
          <w:p w14:paraId="3857A3A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32,387,349.08</w:t>
            </w:r>
          </w:p>
        </w:tc>
        <w:tc>
          <w:tcPr>
            <w:tcW w:w="1377" w:type="dxa"/>
            <w:tcBorders>
              <w:top w:val="single" w:sz="2" w:space="0" w:color="auto"/>
              <w:left w:val="single" w:sz="2" w:space="0" w:color="auto"/>
              <w:bottom w:val="single" w:sz="2" w:space="0" w:color="auto"/>
              <w:right w:val="single" w:sz="2" w:space="0" w:color="auto"/>
            </w:tcBorders>
            <w:vAlign w:val="center"/>
          </w:tcPr>
          <w:p w14:paraId="152ECB7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0.27%</w:t>
            </w:r>
          </w:p>
        </w:tc>
        <w:tc>
          <w:tcPr>
            <w:tcW w:w="1377" w:type="dxa"/>
            <w:tcBorders>
              <w:top w:val="single" w:sz="2" w:space="0" w:color="auto"/>
              <w:left w:val="single" w:sz="2" w:space="0" w:color="auto"/>
              <w:bottom w:val="single" w:sz="2" w:space="0" w:color="auto"/>
              <w:right w:val="single" w:sz="2" w:space="0" w:color="auto"/>
            </w:tcBorders>
            <w:vAlign w:val="center"/>
          </w:tcPr>
          <w:p w14:paraId="3F41314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21,829,634.84</w:t>
            </w:r>
          </w:p>
        </w:tc>
        <w:tc>
          <w:tcPr>
            <w:tcW w:w="1377" w:type="dxa"/>
            <w:tcBorders>
              <w:top w:val="single" w:sz="2" w:space="0" w:color="auto"/>
              <w:left w:val="single" w:sz="2" w:space="0" w:color="auto"/>
              <w:bottom w:val="single" w:sz="2" w:space="0" w:color="auto"/>
              <w:right w:val="single" w:sz="2" w:space="0" w:color="auto"/>
            </w:tcBorders>
            <w:vAlign w:val="center"/>
          </w:tcPr>
          <w:p w14:paraId="430B895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0.23%</w:t>
            </w:r>
          </w:p>
        </w:tc>
        <w:tc>
          <w:tcPr>
            <w:tcW w:w="1445" w:type="dxa"/>
            <w:tcBorders>
              <w:top w:val="single" w:sz="2" w:space="0" w:color="auto"/>
              <w:left w:val="single" w:sz="2" w:space="0" w:color="auto"/>
              <w:bottom w:val="single" w:sz="2" w:space="0" w:color="auto"/>
              <w:right w:val="single" w:sz="2" w:space="0" w:color="auto"/>
            </w:tcBorders>
            <w:vAlign w:val="center"/>
          </w:tcPr>
          <w:p w14:paraId="2C9FC83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0.04%</w:t>
            </w:r>
          </w:p>
        </w:tc>
        <w:tc>
          <w:tcPr>
            <w:tcW w:w="1309" w:type="dxa"/>
            <w:tcBorders>
              <w:top w:val="single" w:sz="2" w:space="0" w:color="auto"/>
              <w:left w:val="single" w:sz="2" w:space="0" w:color="auto"/>
              <w:bottom w:val="single" w:sz="2" w:space="0" w:color="auto"/>
              <w:right w:val="single" w:sz="2" w:space="0" w:color="auto"/>
            </w:tcBorders>
            <w:vAlign w:val="center"/>
          </w:tcPr>
          <w:p w14:paraId="08CF9229"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increase in the income taxes payable by the Company during the Reporting Period.</w:t>
            </w:r>
          </w:p>
        </w:tc>
      </w:tr>
      <w:tr w:rsidR="006B66B7" w:rsidRPr="008C49B7" w14:paraId="4B1245F9"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7A9E6F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Current portion of non-current liabilities</w:t>
            </w:r>
          </w:p>
        </w:tc>
        <w:tc>
          <w:tcPr>
            <w:tcW w:w="1377" w:type="dxa"/>
            <w:tcBorders>
              <w:top w:val="single" w:sz="2" w:space="0" w:color="auto"/>
              <w:left w:val="single" w:sz="2" w:space="0" w:color="auto"/>
              <w:bottom w:val="single" w:sz="2" w:space="0" w:color="auto"/>
              <w:right w:val="single" w:sz="2" w:space="0" w:color="auto"/>
            </w:tcBorders>
            <w:vAlign w:val="center"/>
          </w:tcPr>
          <w:p w14:paraId="2C0DBA5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202,797,222.08</w:t>
            </w:r>
          </w:p>
        </w:tc>
        <w:tc>
          <w:tcPr>
            <w:tcW w:w="1377" w:type="dxa"/>
            <w:tcBorders>
              <w:top w:val="single" w:sz="2" w:space="0" w:color="auto"/>
              <w:left w:val="single" w:sz="2" w:space="0" w:color="auto"/>
              <w:bottom w:val="single" w:sz="2" w:space="0" w:color="auto"/>
              <w:right w:val="single" w:sz="2" w:space="0" w:color="auto"/>
            </w:tcBorders>
            <w:vAlign w:val="center"/>
          </w:tcPr>
          <w:p w14:paraId="25B3639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1.68%</w:t>
            </w:r>
          </w:p>
        </w:tc>
        <w:tc>
          <w:tcPr>
            <w:tcW w:w="1377" w:type="dxa"/>
            <w:tcBorders>
              <w:top w:val="single" w:sz="2" w:space="0" w:color="auto"/>
              <w:left w:val="single" w:sz="2" w:space="0" w:color="auto"/>
              <w:bottom w:val="single" w:sz="2" w:space="0" w:color="auto"/>
              <w:right w:val="single" w:sz="2" w:space="0" w:color="auto"/>
            </w:tcBorders>
            <w:vAlign w:val="center"/>
          </w:tcPr>
          <w:p w14:paraId="6DFF8D1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102,412,112.30</w:t>
            </w:r>
          </w:p>
        </w:tc>
        <w:tc>
          <w:tcPr>
            <w:tcW w:w="1377" w:type="dxa"/>
            <w:tcBorders>
              <w:top w:val="single" w:sz="2" w:space="0" w:color="auto"/>
              <w:left w:val="single" w:sz="2" w:space="0" w:color="auto"/>
              <w:bottom w:val="single" w:sz="2" w:space="0" w:color="auto"/>
              <w:right w:val="single" w:sz="2" w:space="0" w:color="auto"/>
            </w:tcBorders>
            <w:vAlign w:val="center"/>
          </w:tcPr>
          <w:p w14:paraId="7FD475E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1.08%</w:t>
            </w:r>
          </w:p>
        </w:tc>
        <w:tc>
          <w:tcPr>
            <w:tcW w:w="1445" w:type="dxa"/>
            <w:tcBorders>
              <w:top w:val="single" w:sz="2" w:space="0" w:color="auto"/>
              <w:left w:val="single" w:sz="2" w:space="0" w:color="auto"/>
              <w:bottom w:val="single" w:sz="2" w:space="0" w:color="auto"/>
              <w:right w:val="single" w:sz="2" w:space="0" w:color="auto"/>
            </w:tcBorders>
            <w:vAlign w:val="center"/>
          </w:tcPr>
          <w:p w14:paraId="14BC3B4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0.60%</w:t>
            </w:r>
          </w:p>
        </w:tc>
        <w:tc>
          <w:tcPr>
            <w:tcW w:w="1309" w:type="dxa"/>
            <w:tcBorders>
              <w:top w:val="single" w:sz="2" w:space="0" w:color="auto"/>
              <w:left w:val="single" w:sz="2" w:space="0" w:color="auto"/>
              <w:bottom w:val="single" w:sz="2" w:space="0" w:color="auto"/>
              <w:right w:val="single" w:sz="2" w:space="0" w:color="auto"/>
            </w:tcBorders>
            <w:vAlign w:val="center"/>
          </w:tcPr>
          <w:p w14:paraId="143B896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increase in the Company's long-term borrowings due within one year during the Reporting Period.</w:t>
            </w:r>
          </w:p>
        </w:tc>
      </w:tr>
      <w:tr w:rsidR="006B66B7" w:rsidRPr="008C49B7" w14:paraId="384B6C3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1713455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 current liabilities</w:t>
            </w:r>
          </w:p>
        </w:tc>
        <w:tc>
          <w:tcPr>
            <w:tcW w:w="1377" w:type="dxa"/>
            <w:tcBorders>
              <w:top w:val="single" w:sz="2" w:space="0" w:color="auto"/>
              <w:left w:val="single" w:sz="2" w:space="0" w:color="auto"/>
              <w:bottom w:val="single" w:sz="2" w:space="0" w:color="auto"/>
              <w:right w:val="single" w:sz="2" w:space="0" w:color="auto"/>
            </w:tcBorders>
            <w:vAlign w:val="center"/>
          </w:tcPr>
          <w:p w14:paraId="5957D2F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776,798.69</w:t>
            </w:r>
          </w:p>
        </w:tc>
        <w:tc>
          <w:tcPr>
            <w:tcW w:w="1377" w:type="dxa"/>
            <w:tcBorders>
              <w:top w:val="single" w:sz="2" w:space="0" w:color="auto"/>
              <w:left w:val="single" w:sz="2" w:space="0" w:color="auto"/>
              <w:bottom w:val="single" w:sz="2" w:space="0" w:color="auto"/>
              <w:right w:val="single" w:sz="2" w:space="0" w:color="auto"/>
            </w:tcBorders>
            <w:vAlign w:val="center"/>
          </w:tcPr>
          <w:p w14:paraId="1944A4E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0.01%</w:t>
            </w:r>
          </w:p>
        </w:tc>
        <w:tc>
          <w:tcPr>
            <w:tcW w:w="1377" w:type="dxa"/>
            <w:tcBorders>
              <w:top w:val="single" w:sz="2" w:space="0" w:color="auto"/>
              <w:left w:val="single" w:sz="2" w:space="0" w:color="auto"/>
              <w:bottom w:val="single" w:sz="2" w:space="0" w:color="auto"/>
              <w:right w:val="single" w:sz="2" w:space="0" w:color="auto"/>
            </w:tcBorders>
            <w:vAlign w:val="center"/>
          </w:tcPr>
          <w:p w14:paraId="7976BF4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2,394,362.02</w:t>
            </w:r>
          </w:p>
        </w:tc>
        <w:tc>
          <w:tcPr>
            <w:tcW w:w="1377" w:type="dxa"/>
            <w:tcBorders>
              <w:top w:val="single" w:sz="2" w:space="0" w:color="auto"/>
              <w:left w:val="single" w:sz="2" w:space="0" w:color="auto"/>
              <w:bottom w:val="single" w:sz="2" w:space="0" w:color="auto"/>
              <w:right w:val="single" w:sz="2" w:space="0" w:color="auto"/>
            </w:tcBorders>
            <w:vAlign w:val="center"/>
          </w:tcPr>
          <w:p w14:paraId="5B94073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0.03%</w:t>
            </w:r>
          </w:p>
        </w:tc>
        <w:tc>
          <w:tcPr>
            <w:tcW w:w="1445" w:type="dxa"/>
            <w:tcBorders>
              <w:top w:val="single" w:sz="2" w:space="0" w:color="auto"/>
              <w:left w:val="single" w:sz="2" w:space="0" w:color="auto"/>
              <w:bottom w:val="single" w:sz="2" w:space="0" w:color="auto"/>
              <w:right w:val="single" w:sz="2" w:space="0" w:color="auto"/>
            </w:tcBorders>
            <w:vAlign w:val="center"/>
          </w:tcPr>
          <w:p w14:paraId="58E4AFE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-0.02%</w:t>
            </w:r>
          </w:p>
        </w:tc>
        <w:tc>
          <w:tcPr>
            <w:tcW w:w="1309" w:type="dxa"/>
            <w:tcBorders>
              <w:top w:val="single" w:sz="2" w:space="0" w:color="auto"/>
              <w:left w:val="single" w:sz="2" w:space="0" w:color="auto"/>
              <w:bottom w:val="single" w:sz="2" w:space="0" w:color="auto"/>
              <w:right w:val="single" w:sz="2" w:space="0" w:color="auto"/>
            </w:tcBorders>
            <w:vAlign w:val="center"/>
          </w:tcPr>
          <w:p w14:paraId="583D073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decrease in the Company's taxes to be charged off during the Reporting Period.</w:t>
            </w:r>
          </w:p>
        </w:tc>
      </w:tr>
      <w:tr w:rsidR="006B66B7" w:rsidRPr="008C49B7" w14:paraId="2A1D4B01"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4083C85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Capital reserves</w:t>
            </w:r>
          </w:p>
        </w:tc>
        <w:tc>
          <w:tcPr>
            <w:tcW w:w="1377" w:type="dxa"/>
            <w:tcBorders>
              <w:top w:val="single" w:sz="2" w:space="0" w:color="auto"/>
              <w:left w:val="single" w:sz="2" w:space="0" w:color="auto"/>
              <w:bottom w:val="single" w:sz="2" w:space="0" w:color="auto"/>
              <w:right w:val="single" w:sz="2" w:space="0" w:color="auto"/>
            </w:tcBorders>
            <w:vAlign w:val="center"/>
          </w:tcPr>
          <w:p w14:paraId="1AA947D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4,032,753,425.09</w:t>
            </w:r>
          </w:p>
        </w:tc>
        <w:tc>
          <w:tcPr>
            <w:tcW w:w="1377" w:type="dxa"/>
            <w:tcBorders>
              <w:top w:val="single" w:sz="2" w:space="0" w:color="auto"/>
              <w:left w:val="single" w:sz="2" w:space="0" w:color="auto"/>
              <w:bottom w:val="single" w:sz="2" w:space="0" w:color="auto"/>
              <w:right w:val="single" w:sz="2" w:space="0" w:color="auto"/>
            </w:tcBorders>
            <w:vAlign w:val="center"/>
          </w:tcPr>
          <w:p w14:paraId="6B369AB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33.41%</w:t>
            </w:r>
          </w:p>
        </w:tc>
        <w:tc>
          <w:tcPr>
            <w:tcW w:w="1377" w:type="dxa"/>
            <w:tcBorders>
              <w:top w:val="single" w:sz="2" w:space="0" w:color="auto"/>
              <w:left w:val="single" w:sz="2" w:space="0" w:color="auto"/>
              <w:bottom w:val="single" w:sz="2" w:space="0" w:color="auto"/>
              <w:right w:val="single" w:sz="2" w:space="0" w:color="auto"/>
            </w:tcBorders>
            <w:vAlign w:val="center"/>
          </w:tcPr>
          <w:p w14:paraId="28DB1A0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2,584,590,243.74</w:t>
            </w:r>
          </w:p>
        </w:tc>
        <w:tc>
          <w:tcPr>
            <w:tcW w:w="1377" w:type="dxa"/>
            <w:tcBorders>
              <w:top w:val="single" w:sz="2" w:space="0" w:color="auto"/>
              <w:left w:val="single" w:sz="2" w:space="0" w:color="auto"/>
              <w:bottom w:val="single" w:sz="2" w:space="0" w:color="auto"/>
              <w:right w:val="single" w:sz="2" w:space="0" w:color="auto"/>
            </w:tcBorders>
            <w:vAlign w:val="center"/>
          </w:tcPr>
          <w:p w14:paraId="78816E0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27.25%</w:t>
            </w:r>
          </w:p>
        </w:tc>
        <w:tc>
          <w:tcPr>
            <w:tcW w:w="1445" w:type="dxa"/>
            <w:tcBorders>
              <w:top w:val="single" w:sz="2" w:space="0" w:color="auto"/>
              <w:left w:val="single" w:sz="2" w:space="0" w:color="auto"/>
              <w:bottom w:val="single" w:sz="2" w:space="0" w:color="auto"/>
              <w:right w:val="single" w:sz="2" w:space="0" w:color="auto"/>
            </w:tcBorders>
            <w:vAlign w:val="center"/>
          </w:tcPr>
          <w:p w14:paraId="18660DC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6.16%</w:t>
            </w:r>
          </w:p>
        </w:tc>
        <w:tc>
          <w:tcPr>
            <w:tcW w:w="1309" w:type="dxa"/>
            <w:tcBorders>
              <w:top w:val="single" w:sz="2" w:space="0" w:color="auto"/>
              <w:left w:val="single" w:sz="2" w:space="0" w:color="auto"/>
              <w:bottom w:val="single" w:sz="2" w:space="0" w:color="auto"/>
              <w:right w:val="single" w:sz="2" w:space="0" w:color="auto"/>
            </w:tcBorders>
            <w:vAlign w:val="center"/>
          </w:tcPr>
          <w:p w14:paraId="1E2C71F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arrival of funds raised from the Company's issuance of global deposition receipts (GDRs) during the Reporting Period.</w:t>
            </w:r>
          </w:p>
        </w:tc>
      </w:tr>
      <w:tr w:rsidR="006B66B7" w:rsidRPr="008C49B7" w14:paraId="38E30FB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40D32E4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 comprehensive income</w:t>
            </w:r>
          </w:p>
        </w:tc>
        <w:tc>
          <w:tcPr>
            <w:tcW w:w="1377" w:type="dxa"/>
            <w:tcBorders>
              <w:top w:val="single" w:sz="2" w:space="0" w:color="auto"/>
              <w:left w:val="single" w:sz="2" w:space="0" w:color="auto"/>
              <w:bottom w:val="single" w:sz="2" w:space="0" w:color="auto"/>
              <w:right w:val="single" w:sz="2" w:space="0" w:color="auto"/>
            </w:tcBorders>
            <w:vAlign w:val="center"/>
          </w:tcPr>
          <w:p w14:paraId="00A2DCC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39,234,628.37</w:t>
            </w:r>
          </w:p>
        </w:tc>
        <w:tc>
          <w:tcPr>
            <w:tcW w:w="1377" w:type="dxa"/>
            <w:tcBorders>
              <w:top w:val="single" w:sz="2" w:space="0" w:color="auto"/>
              <w:left w:val="single" w:sz="2" w:space="0" w:color="auto"/>
              <w:bottom w:val="single" w:sz="2" w:space="0" w:color="auto"/>
              <w:right w:val="single" w:sz="2" w:space="0" w:color="auto"/>
            </w:tcBorders>
            <w:vAlign w:val="center"/>
          </w:tcPr>
          <w:p w14:paraId="02FD156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0.33%</w:t>
            </w:r>
          </w:p>
        </w:tc>
        <w:tc>
          <w:tcPr>
            <w:tcW w:w="1377" w:type="dxa"/>
            <w:tcBorders>
              <w:top w:val="single" w:sz="2" w:space="0" w:color="auto"/>
              <w:left w:val="single" w:sz="2" w:space="0" w:color="auto"/>
              <w:bottom w:val="single" w:sz="2" w:space="0" w:color="auto"/>
              <w:right w:val="single" w:sz="2" w:space="0" w:color="auto"/>
            </w:tcBorders>
            <w:vAlign w:val="center"/>
          </w:tcPr>
          <w:p w14:paraId="422B49C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28,166,283.84</w:t>
            </w:r>
          </w:p>
        </w:tc>
        <w:tc>
          <w:tcPr>
            <w:tcW w:w="1377" w:type="dxa"/>
            <w:tcBorders>
              <w:top w:val="single" w:sz="2" w:space="0" w:color="auto"/>
              <w:left w:val="single" w:sz="2" w:space="0" w:color="auto"/>
              <w:bottom w:val="single" w:sz="2" w:space="0" w:color="auto"/>
              <w:right w:val="single" w:sz="2" w:space="0" w:color="auto"/>
            </w:tcBorders>
            <w:vAlign w:val="center"/>
          </w:tcPr>
          <w:p w14:paraId="11BABE4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0.30%</w:t>
            </w:r>
          </w:p>
        </w:tc>
        <w:tc>
          <w:tcPr>
            <w:tcW w:w="1445" w:type="dxa"/>
            <w:tcBorders>
              <w:top w:val="single" w:sz="2" w:space="0" w:color="auto"/>
              <w:left w:val="single" w:sz="2" w:space="0" w:color="auto"/>
              <w:bottom w:val="single" w:sz="2" w:space="0" w:color="auto"/>
              <w:right w:val="single" w:sz="2" w:space="0" w:color="auto"/>
            </w:tcBorders>
            <w:vAlign w:val="center"/>
          </w:tcPr>
          <w:p w14:paraId="4421BC7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0.03%</w:t>
            </w:r>
          </w:p>
        </w:tc>
        <w:tc>
          <w:tcPr>
            <w:tcW w:w="1309" w:type="dxa"/>
            <w:tcBorders>
              <w:top w:val="single" w:sz="2" w:space="0" w:color="auto"/>
              <w:left w:val="single" w:sz="2" w:space="0" w:color="auto"/>
              <w:bottom w:val="single" w:sz="2" w:space="0" w:color="auto"/>
              <w:right w:val="single" w:sz="2" w:space="0" w:color="auto"/>
            </w:tcBorders>
            <w:vAlign w:val="center"/>
          </w:tcPr>
          <w:p w14:paraId="5D48474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Mainly due to the impact of fluctuations in foreign exchange rates during the Reporting Period.</w:t>
            </w:r>
          </w:p>
        </w:tc>
      </w:tr>
      <w:tr w:rsidR="006B66B7" w:rsidRPr="008C49B7" w14:paraId="3B7B78A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79DDA2C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Non-controlling </w:t>
            </w:r>
            <w:r w:rsidRPr="008C49B7">
              <w:rPr>
                <w:rFonts w:ascii="Times New Roman" w:eastAsia="宋体" w:hAnsi="Times New Roman" w:cs="Times New Roman"/>
                <w:sz w:val="18"/>
                <w:szCs w:val="18"/>
              </w:rPr>
              <w:lastRenderedPageBreak/>
              <w:t>interests</w:t>
            </w:r>
          </w:p>
        </w:tc>
        <w:tc>
          <w:tcPr>
            <w:tcW w:w="1377" w:type="dxa"/>
            <w:tcBorders>
              <w:top w:val="single" w:sz="2" w:space="0" w:color="auto"/>
              <w:left w:val="single" w:sz="2" w:space="0" w:color="auto"/>
              <w:bottom w:val="single" w:sz="2" w:space="0" w:color="auto"/>
              <w:right w:val="single" w:sz="2" w:space="0" w:color="auto"/>
            </w:tcBorders>
            <w:vAlign w:val="center"/>
          </w:tcPr>
          <w:p w14:paraId="46BBD12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407,824,084.79</w:t>
            </w:r>
          </w:p>
        </w:tc>
        <w:tc>
          <w:tcPr>
            <w:tcW w:w="1377" w:type="dxa"/>
            <w:tcBorders>
              <w:top w:val="single" w:sz="2" w:space="0" w:color="auto"/>
              <w:left w:val="single" w:sz="2" w:space="0" w:color="auto"/>
              <w:bottom w:val="single" w:sz="2" w:space="0" w:color="auto"/>
              <w:right w:val="single" w:sz="2" w:space="0" w:color="auto"/>
            </w:tcBorders>
            <w:vAlign w:val="center"/>
          </w:tcPr>
          <w:p w14:paraId="2E541CB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3.38%</w:t>
            </w:r>
          </w:p>
        </w:tc>
        <w:tc>
          <w:tcPr>
            <w:tcW w:w="1377" w:type="dxa"/>
            <w:tcBorders>
              <w:top w:val="single" w:sz="2" w:space="0" w:color="auto"/>
              <w:left w:val="single" w:sz="2" w:space="0" w:color="auto"/>
              <w:bottom w:val="single" w:sz="2" w:space="0" w:color="auto"/>
              <w:right w:val="single" w:sz="2" w:space="0" w:color="auto"/>
            </w:tcBorders>
            <w:vAlign w:val="center"/>
          </w:tcPr>
          <w:p w14:paraId="6BDF486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184,577,839.49</w:t>
            </w:r>
          </w:p>
        </w:tc>
        <w:tc>
          <w:tcPr>
            <w:tcW w:w="1377" w:type="dxa"/>
            <w:tcBorders>
              <w:top w:val="single" w:sz="2" w:space="0" w:color="auto"/>
              <w:left w:val="single" w:sz="2" w:space="0" w:color="auto"/>
              <w:bottom w:val="single" w:sz="2" w:space="0" w:color="auto"/>
              <w:right w:val="single" w:sz="2" w:space="0" w:color="auto"/>
            </w:tcBorders>
            <w:vAlign w:val="center"/>
          </w:tcPr>
          <w:p w14:paraId="6FE8F3F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1.95%</w:t>
            </w:r>
          </w:p>
        </w:tc>
        <w:tc>
          <w:tcPr>
            <w:tcW w:w="1445" w:type="dxa"/>
            <w:tcBorders>
              <w:top w:val="single" w:sz="2" w:space="0" w:color="auto"/>
              <w:left w:val="single" w:sz="2" w:space="0" w:color="auto"/>
              <w:bottom w:val="single" w:sz="2" w:space="0" w:color="auto"/>
              <w:right w:val="single" w:sz="2" w:space="0" w:color="auto"/>
            </w:tcBorders>
            <w:vAlign w:val="center"/>
          </w:tcPr>
          <w:p w14:paraId="56E49AF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1.43%</w:t>
            </w:r>
          </w:p>
        </w:tc>
        <w:tc>
          <w:tcPr>
            <w:tcW w:w="1309" w:type="dxa"/>
            <w:tcBorders>
              <w:top w:val="single" w:sz="2" w:space="0" w:color="auto"/>
              <w:left w:val="single" w:sz="2" w:space="0" w:color="auto"/>
              <w:bottom w:val="single" w:sz="2" w:space="0" w:color="auto"/>
              <w:right w:val="single" w:sz="2" w:space="0" w:color="auto"/>
            </w:tcBorders>
            <w:vAlign w:val="center"/>
          </w:tcPr>
          <w:p w14:paraId="1B197A74" w14:textId="3272F8D3" w:rsidR="006B66B7" w:rsidRPr="008C49B7" w:rsidRDefault="002349C6" w:rsidP="00396DB8">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Mainly due to </w:t>
            </w:r>
            <w:r w:rsidRPr="008C49B7">
              <w:rPr>
                <w:rFonts w:ascii="Times New Roman" w:eastAsia="宋体" w:hAnsi="Times New Roman" w:cs="Times New Roman"/>
                <w:sz w:val="18"/>
                <w:szCs w:val="18"/>
              </w:rPr>
              <w:lastRenderedPageBreak/>
              <w:t xml:space="preserve">the Company's acquisition of 30% equity interest of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by public delisting, during the Reporting Period, which resulted in an accumulated transfer of 70%; Hunan </w:t>
            </w:r>
            <w:proofErr w:type="spellStart"/>
            <w:r w:rsidRPr="008C49B7">
              <w:rPr>
                <w:rFonts w:ascii="Times New Roman" w:eastAsia="宋体" w:hAnsi="Times New Roman" w:cs="Times New Roman"/>
                <w:sz w:val="18"/>
                <w:szCs w:val="18"/>
              </w:rPr>
              <w:t>Chuwei</w:t>
            </w:r>
            <w:proofErr w:type="spellEnd"/>
            <w:r w:rsidRPr="008C49B7">
              <w:rPr>
                <w:rFonts w:ascii="Times New Roman" w:eastAsia="宋体" w:hAnsi="Times New Roman" w:cs="Times New Roman"/>
                <w:sz w:val="18"/>
                <w:szCs w:val="18"/>
              </w:rPr>
              <w:t xml:space="preserve"> became a holding subsidiary of the Company and was included in the scope of consolidated statements.</w:t>
            </w:r>
          </w:p>
        </w:tc>
      </w:tr>
    </w:tbl>
    <w:p w14:paraId="0ACF6CB8" w14:textId="77777777" w:rsidR="006B66B7" w:rsidRPr="00F73301" w:rsidRDefault="002349C6" w:rsidP="00A9288A">
      <w:pPr>
        <w:pStyle w:val="3"/>
      </w:pPr>
      <w:bookmarkStart w:id="21" w:name="_Toc988909"/>
      <w:r w:rsidRPr="00F73301">
        <w:lastRenderedPageBreak/>
        <w:t>2. Principle overseas assets</w:t>
      </w:r>
      <w:bookmarkEnd w:id="21"/>
    </w:p>
    <w:p w14:paraId="528A731C" w14:textId="16462936"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46ECFB7" w14:textId="77777777" w:rsidR="006B66B7" w:rsidRPr="00F73301" w:rsidRDefault="002349C6" w:rsidP="00A9288A">
      <w:pPr>
        <w:pStyle w:val="3"/>
      </w:pPr>
      <w:bookmarkStart w:id="22" w:name="_Toc988910"/>
      <w:r w:rsidRPr="00F73301">
        <w:t>3. Assets and liabilities measured at fair value</w:t>
      </w:r>
      <w:bookmarkEnd w:id="22"/>
    </w:p>
    <w:p w14:paraId="4A237174"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4CC43E0A"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273"/>
        <w:gridCol w:w="810"/>
        <w:gridCol w:w="1029"/>
        <w:gridCol w:w="1007"/>
        <w:gridCol w:w="918"/>
        <w:gridCol w:w="1228"/>
        <w:gridCol w:w="1029"/>
        <w:gridCol w:w="1228"/>
        <w:gridCol w:w="1109"/>
      </w:tblGrid>
      <w:tr w:rsidR="006B66B7" w:rsidRPr="008C49B7" w14:paraId="07543834" w14:textId="77777777" w:rsidTr="0001208F">
        <w:trPr>
          <w:jc w:val="center"/>
        </w:trPr>
        <w:tc>
          <w:tcPr>
            <w:tcW w:w="1273" w:type="dxa"/>
            <w:tcBorders>
              <w:top w:val="single" w:sz="2" w:space="0" w:color="auto"/>
              <w:left w:val="single" w:sz="2" w:space="0" w:color="auto"/>
              <w:bottom w:val="single" w:sz="2" w:space="0" w:color="auto"/>
              <w:right w:val="single" w:sz="2" w:space="0" w:color="auto"/>
            </w:tcBorders>
            <w:shd w:val="clear" w:color="auto" w:fill="D3D3D3"/>
            <w:vAlign w:val="center"/>
          </w:tcPr>
          <w:p w14:paraId="1F8CE9BD"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Item</w:t>
            </w:r>
          </w:p>
        </w:tc>
        <w:tc>
          <w:tcPr>
            <w:tcW w:w="810" w:type="dxa"/>
            <w:tcBorders>
              <w:top w:val="single" w:sz="2" w:space="0" w:color="auto"/>
              <w:left w:val="single" w:sz="2" w:space="0" w:color="auto"/>
              <w:bottom w:val="single" w:sz="2" w:space="0" w:color="auto"/>
              <w:right w:val="single" w:sz="2" w:space="0" w:color="auto"/>
            </w:tcBorders>
            <w:shd w:val="clear" w:color="auto" w:fill="D3D3D3"/>
            <w:vAlign w:val="center"/>
          </w:tcPr>
          <w:p w14:paraId="7BEFC4E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Opening balance</w:t>
            </w:r>
          </w:p>
        </w:tc>
        <w:tc>
          <w:tcPr>
            <w:tcW w:w="1029" w:type="dxa"/>
            <w:tcBorders>
              <w:top w:val="single" w:sz="2" w:space="0" w:color="auto"/>
              <w:left w:val="single" w:sz="2" w:space="0" w:color="auto"/>
              <w:bottom w:val="single" w:sz="2" w:space="0" w:color="auto"/>
              <w:right w:val="single" w:sz="2" w:space="0" w:color="auto"/>
            </w:tcBorders>
            <w:shd w:val="clear" w:color="auto" w:fill="D3D3D3"/>
            <w:vAlign w:val="center"/>
          </w:tcPr>
          <w:p w14:paraId="386202E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Gains and losses from changes in fair value in the Reporting Period</w:t>
            </w:r>
          </w:p>
        </w:tc>
        <w:tc>
          <w:tcPr>
            <w:tcW w:w="1007" w:type="dxa"/>
            <w:tcBorders>
              <w:top w:val="single" w:sz="2" w:space="0" w:color="auto"/>
              <w:left w:val="single" w:sz="2" w:space="0" w:color="auto"/>
              <w:bottom w:val="single" w:sz="2" w:space="0" w:color="auto"/>
              <w:right w:val="single" w:sz="2" w:space="0" w:color="auto"/>
            </w:tcBorders>
            <w:shd w:val="clear" w:color="auto" w:fill="D3D3D3"/>
            <w:vAlign w:val="center"/>
          </w:tcPr>
          <w:p w14:paraId="23160CE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Accumulative fair value changes included in equity</w:t>
            </w:r>
          </w:p>
        </w:tc>
        <w:tc>
          <w:tcPr>
            <w:tcW w:w="918" w:type="dxa"/>
            <w:tcBorders>
              <w:top w:val="single" w:sz="2" w:space="0" w:color="auto"/>
              <w:left w:val="single" w:sz="2" w:space="0" w:color="auto"/>
              <w:bottom w:val="single" w:sz="2" w:space="0" w:color="auto"/>
              <w:right w:val="single" w:sz="2" w:space="0" w:color="auto"/>
            </w:tcBorders>
            <w:shd w:val="clear" w:color="auto" w:fill="D3D3D3"/>
            <w:vAlign w:val="center"/>
          </w:tcPr>
          <w:p w14:paraId="1FF970C7"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Impairments accrued in the Reporting Period</w:t>
            </w:r>
          </w:p>
        </w:tc>
        <w:tc>
          <w:tcPr>
            <w:tcW w:w="1228" w:type="dxa"/>
            <w:tcBorders>
              <w:top w:val="single" w:sz="2" w:space="0" w:color="auto"/>
              <w:left w:val="single" w:sz="2" w:space="0" w:color="auto"/>
              <w:bottom w:val="single" w:sz="2" w:space="0" w:color="auto"/>
              <w:right w:val="single" w:sz="2" w:space="0" w:color="auto"/>
            </w:tcBorders>
            <w:shd w:val="clear" w:color="auto" w:fill="D3D3D3"/>
            <w:vAlign w:val="center"/>
          </w:tcPr>
          <w:p w14:paraId="3F6855FD"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Purchase amount in the Reporting Period</w:t>
            </w:r>
          </w:p>
        </w:tc>
        <w:tc>
          <w:tcPr>
            <w:tcW w:w="1029" w:type="dxa"/>
            <w:tcBorders>
              <w:top w:val="single" w:sz="2" w:space="0" w:color="auto"/>
              <w:left w:val="single" w:sz="2" w:space="0" w:color="auto"/>
              <w:bottom w:val="single" w:sz="2" w:space="0" w:color="auto"/>
              <w:right w:val="single" w:sz="2" w:space="0" w:color="auto"/>
            </w:tcBorders>
            <w:shd w:val="clear" w:color="auto" w:fill="D3D3D3"/>
            <w:vAlign w:val="center"/>
          </w:tcPr>
          <w:p w14:paraId="20B7A0A1"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Selling amount in the Reporting Period</w:t>
            </w:r>
          </w:p>
        </w:tc>
        <w:tc>
          <w:tcPr>
            <w:tcW w:w="1228" w:type="dxa"/>
            <w:tcBorders>
              <w:top w:val="single" w:sz="2" w:space="0" w:color="auto"/>
              <w:left w:val="single" w:sz="2" w:space="0" w:color="auto"/>
              <w:bottom w:val="single" w:sz="2" w:space="0" w:color="auto"/>
              <w:right w:val="single" w:sz="2" w:space="0" w:color="auto"/>
            </w:tcBorders>
            <w:shd w:val="clear" w:color="auto" w:fill="D3D3D3"/>
            <w:vAlign w:val="center"/>
          </w:tcPr>
          <w:p w14:paraId="3F9A128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Other changes</w:t>
            </w:r>
          </w:p>
        </w:tc>
        <w:tc>
          <w:tcPr>
            <w:tcW w:w="1109" w:type="dxa"/>
            <w:tcBorders>
              <w:top w:val="single" w:sz="2" w:space="0" w:color="auto"/>
              <w:left w:val="single" w:sz="2" w:space="0" w:color="auto"/>
              <w:bottom w:val="single" w:sz="2" w:space="0" w:color="auto"/>
              <w:right w:val="single" w:sz="2" w:space="0" w:color="auto"/>
            </w:tcBorders>
            <w:shd w:val="clear" w:color="auto" w:fill="D3D3D3"/>
            <w:vAlign w:val="center"/>
          </w:tcPr>
          <w:p w14:paraId="14C5E7A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Closing balance</w:t>
            </w:r>
          </w:p>
        </w:tc>
      </w:tr>
      <w:tr w:rsidR="006B66B7" w:rsidRPr="008C49B7" w14:paraId="30E41AE7" w14:textId="77777777" w:rsidTr="0001208F">
        <w:trPr>
          <w:jc w:val="center"/>
        </w:trPr>
        <w:tc>
          <w:tcPr>
            <w:tcW w:w="9631"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44FCCA2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Financial assets</w:t>
            </w:r>
          </w:p>
        </w:tc>
      </w:tr>
      <w:tr w:rsidR="006B66B7" w:rsidRPr="008C49B7" w14:paraId="4ED16239" w14:textId="77777777" w:rsidTr="0001208F">
        <w:trPr>
          <w:jc w:val="center"/>
        </w:trPr>
        <w:tc>
          <w:tcPr>
            <w:tcW w:w="1273" w:type="dxa"/>
            <w:tcBorders>
              <w:top w:val="single" w:sz="2" w:space="0" w:color="auto"/>
              <w:left w:val="single" w:sz="2" w:space="0" w:color="auto"/>
              <w:bottom w:val="single" w:sz="2" w:space="0" w:color="auto"/>
              <w:right w:val="single" w:sz="2" w:space="0" w:color="auto"/>
            </w:tcBorders>
            <w:shd w:val="clear" w:color="auto" w:fill="D3D3D3"/>
            <w:vAlign w:val="center"/>
          </w:tcPr>
          <w:p w14:paraId="39E8D68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1. Transactional financial assets (excluding derivative financial assets)</w:t>
            </w:r>
          </w:p>
        </w:tc>
        <w:tc>
          <w:tcPr>
            <w:tcW w:w="810" w:type="dxa"/>
            <w:tcBorders>
              <w:top w:val="single" w:sz="2" w:space="0" w:color="auto"/>
              <w:left w:val="single" w:sz="2" w:space="0" w:color="auto"/>
              <w:bottom w:val="single" w:sz="2" w:space="0" w:color="auto"/>
              <w:right w:val="single" w:sz="2" w:space="0" w:color="auto"/>
            </w:tcBorders>
            <w:vAlign w:val="center"/>
          </w:tcPr>
          <w:p w14:paraId="3479CA6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63,200,000.00</w:t>
            </w:r>
          </w:p>
        </w:tc>
        <w:tc>
          <w:tcPr>
            <w:tcW w:w="1029" w:type="dxa"/>
            <w:tcBorders>
              <w:top w:val="single" w:sz="2" w:space="0" w:color="auto"/>
              <w:left w:val="single" w:sz="2" w:space="0" w:color="auto"/>
              <w:bottom w:val="single" w:sz="2" w:space="0" w:color="auto"/>
              <w:right w:val="single" w:sz="2" w:space="0" w:color="auto"/>
            </w:tcBorders>
            <w:vAlign w:val="center"/>
          </w:tcPr>
          <w:p w14:paraId="3F56024B" w14:textId="77777777" w:rsidR="006B66B7" w:rsidRPr="008C49B7" w:rsidRDefault="006B66B7" w:rsidP="008C49B7">
            <w:pPr>
              <w:snapToGrid w:val="0"/>
              <w:jc w:val="right"/>
              <w:rPr>
                <w:rFonts w:ascii="Times New Roman" w:eastAsia="宋体" w:hAnsi="Times New Roman" w:cs="Times New Roman"/>
                <w:sz w:val="18"/>
                <w:szCs w:val="18"/>
              </w:rPr>
            </w:pPr>
          </w:p>
        </w:tc>
        <w:tc>
          <w:tcPr>
            <w:tcW w:w="1007" w:type="dxa"/>
            <w:tcBorders>
              <w:top w:val="single" w:sz="2" w:space="0" w:color="auto"/>
              <w:left w:val="single" w:sz="2" w:space="0" w:color="auto"/>
              <w:bottom w:val="single" w:sz="2" w:space="0" w:color="auto"/>
              <w:right w:val="single" w:sz="2" w:space="0" w:color="auto"/>
            </w:tcBorders>
            <w:vAlign w:val="center"/>
          </w:tcPr>
          <w:p w14:paraId="61A2D847" w14:textId="77777777" w:rsidR="006B66B7" w:rsidRPr="008C49B7" w:rsidRDefault="006B66B7" w:rsidP="008C49B7">
            <w:pPr>
              <w:snapToGrid w:val="0"/>
              <w:jc w:val="right"/>
              <w:rPr>
                <w:rFonts w:ascii="Times New Roman" w:eastAsia="宋体" w:hAnsi="Times New Roman" w:cs="Times New Roman"/>
                <w:sz w:val="18"/>
                <w:szCs w:val="18"/>
              </w:rPr>
            </w:pPr>
          </w:p>
        </w:tc>
        <w:tc>
          <w:tcPr>
            <w:tcW w:w="918" w:type="dxa"/>
            <w:tcBorders>
              <w:top w:val="single" w:sz="2" w:space="0" w:color="auto"/>
              <w:left w:val="single" w:sz="2" w:space="0" w:color="auto"/>
              <w:bottom w:val="single" w:sz="2" w:space="0" w:color="auto"/>
              <w:right w:val="single" w:sz="2" w:space="0" w:color="auto"/>
            </w:tcBorders>
            <w:vAlign w:val="center"/>
          </w:tcPr>
          <w:p w14:paraId="3F4FFE40" w14:textId="77777777" w:rsidR="006B66B7" w:rsidRPr="008C49B7" w:rsidRDefault="006B66B7" w:rsidP="008C49B7">
            <w:pPr>
              <w:snapToGrid w:val="0"/>
              <w:jc w:val="right"/>
              <w:rPr>
                <w:rFonts w:ascii="Times New Roman" w:eastAsia="宋体" w:hAnsi="Times New Roman" w:cs="Times New Roman"/>
                <w:sz w:val="18"/>
                <w:szCs w:val="18"/>
              </w:rPr>
            </w:pPr>
          </w:p>
        </w:tc>
        <w:tc>
          <w:tcPr>
            <w:tcW w:w="1228" w:type="dxa"/>
            <w:tcBorders>
              <w:top w:val="single" w:sz="2" w:space="0" w:color="auto"/>
              <w:left w:val="single" w:sz="2" w:space="0" w:color="auto"/>
              <w:bottom w:val="single" w:sz="2" w:space="0" w:color="auto"/>
              <w:right w:val="single" w:sz="2" w:space="0" w:color="auto"/>
            </w:tcBorders>
            <w:vAlign w:val="center"/>
          </w:tcPr>
          <w:p w14:paraId="7AD9AAA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20,800,000.00</w:t>
            </w:r>
          </w:p>
        </w:tc>
        <w:tc>
          <w:tcPr>
            <w:tcW w:w="1029" w:type="dxa"/>
            <w:tcBorders>
              <w:top w:val="single" w:sz="2" w:space="0" w:color="auto"/>
              <w:left w:val="single" w:sz="2" w:space="0" w:color="auto"/>
              <w:bottom w:val="single" w:sz="2" w:space="0" w:color="auto"/>
              <w:right w:val="single" w:sz="2" w:space="0" w:color="auto"/>
            </w:tcBorders>
            <w:vAlign w:val="center"/>
          </w:tcPr>
          <w:p w14:paraId="0B74948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62,600,000.00</w:t>
            </w:r>
          </w:p>
        </w:tc>
        <w:tc>
          <w:tcPr>
            <w:tcW w:w="1228" w:type="dxa"/>
            <w:tcBorders>
              <w:top w:val="single" w:sz="2" w:space="0" w:color="auto"/>
              <w:left w:val="single" w:sz="2" w:space="0" w:color="auto"/>
              <w:bottom w:val="single" w:sz="2" w:space="0" w:color="auto"/>
              <w:right w:val="single" w:sz="2" w:space="0" w:color="auto"/>
            </w:tcBorders>
            <w:vAlign w:val="center"/>
          </w:tcPr>
          <w:p w14:paraId="12719F16" w14:textId="77777777" w:rsidR="006B66B7" w:rsidRPr="008C49B7" w:rsidRDefault="006B66B7" w:rsidP="008C49B7">
            <w:pPr>
              <w:snapToGrid w:val="0"/>
              <w:jc w:val="right"/>
              <w:rPr>
                <w:rFonts w:ascii="Times New Roman" w:eastAsia="宋体" w:hAnsi="Times New Roman" w:cs="Times New Roman"/>
                <w:sz w:val="18"/>
                <w:szCs w:val="18"/>
              </w:rPr>
            </w:pPr>
          </w:p>
        </w:tc>
        <w:tc>
          <w:tcPr>
            <w:tcW w:w="1109" w:type="dxa"/>
            <w:tcBorders>
              <w:top w:val="single" w:sz="2" w:space="0" w:color="auto"/>
              <w:left w:val="single" w:sz="2" w:space="0" w:color="auto"/>
              <w:bottom w:val="single" w:sz="2" w:space="0" w:color="auto"/>
              <w:right w:val="single" w:sz="2" w:space="0" w:color="auto"/>
            </w:tcBorders>
            <w:vAlign w:val="center"/>
          </w:tcPr>
          <w:p w14:paraId="2BF0C56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21,400,000.00</w:t>
            </w:r>
          </w:p>
        </w:tc>
      </w:tr>
      <w:tr w:rsidR="006B66B7" w:rsidRPr="008C49B7" w14:paraId="5C0BCA58" w14:textId="77777777" w:rsidTr="0001208F">
        <w:trPr>
          <w:jc w:val="center"/>
        </w:trPr>
        <w:tc>
          <w:tcPr>
            <w:tcW w:w="1273" w:type="dxa"/>
            <w:tcBorders>
              <w:top w:val="single" w:sz="2" w:space="0" w:color="auto"/>
              <w:left w:val="single" w:sz="2" w:space="0" w:color="auto"/>
              <w:bottom w:val="single" w:sz="2" w:space="0" w:color="auto"/>
              <w:right w:val="single" w:sz="2" w:space="0" w:color="auto"/>
            </w:tcBorders>
            <w:vAlign w:val="center"/>
          </w:tcPr>
          <w:p w14:paraId="51B1F6D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 non-current financial assets</w:t>
            </w:r>
          </w:p>
        </w:tc>
        <w:tc>
          <w:tcPr>
            <w:tcW w:w="810" w:type="dxa"/>
            <w:tcBorders>
              <w:top w:val="single" w:sz="2" w:space="0" w:color="auto"/>
              <w:left w:val="single" w:sz="2" w:space="0" w:color="auto"/>
              <w:bottom w:val="single" w:sz="2" w:space="0" w:color="auto"/>
              <w:right w:val="single" w:sz="2" w:space="0" w:color="auto"/>
            </w:tcBorders>
            <w:vAlign w:val="center"/>
          </w:tcPr>
          <w:p w14:paraId="3356FFD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442,446,494.05</w:t>
            </w:r>
          </w:p>
        </w:tc>
        <w:tc>
          <w:tcPr>
            <w:tcW w:w="1029" w:type="dxa"/>
            <w:tcBorders>
              <w:top w:val="single" w:sz="2" w:space="0" w:color="auto"/>
              <w:left w:val="single" w:sz="2" w:space="0" w:color="auto"/>
              <w:bottom w:val="single" w:sz="2" w:space="0" w:color="auto"/>
              <w:right w:val="single" w:sz="2" w:space="0" w:color="auto"/>
            </w:tcBorders>
            <w:vAlign w:val="center"/>
          </w:tcPr>
          <w:p w14:paraId="2BA22A0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-15,580,233.35</w:t>
            </w:r>
          </w:p>
        </w:tc>
        <w:tc>
          <w:tcPr>
            <w:tcW w:w="1007" w:type="dxa"/>
            <w:tcBorders>
              <w:top w:val="single" w:sz="2" w:space="0" w:color="auto"/>
              <w:left w:val="single" w:sz="2" w:space="0" w:color="auto"/>
              <w:bottom w:val="single" w:sz="2" w:space="0" w:color="auto"/>
              <w:right w:val="single" w:sz="2" w:space="0" w:color="auto"/>
            </w:tcBorders>
            <w:vAlign w:val="center"/>
          </w:tcPr>
          <w:p w14:paraId="07344F74" w14:textId="77777777" w:rsidR="006B66B7" w:rsidRPr="008C49B7" w:rsidRDefault="006B66B7" w:rsidP="008C49B7">
            <w:pPr>
              <w:snapToGrid w:val="0"/>
              <w:jc w:val="right"/>
              <w:rPr>
                <w:rFonts w:ascii="Times New Roman" w:eastAsia="宋体" w:hAnsi="Times New Roman" w:cs="Times New Roman"/>
                <w:sz w:val="18"/>
                <w:szCs w:val="18"/>
              </w:rPr>
            </w:pPr>
          </w:p>
        </w:tc>
        <w:tc>
          <w:tcPr>
            <w:tcW w:w="918" w:type="dxa"/>
            <w:tcBorders>
              <w:top w:val="single" w:sz="2" w:space="0" w:color="auto"/>
              <w:left w:val="single" w:sz="2" w:space="0" w:color="auto"/>
              <w:bottom w:val="single" w:sz="2" w:space="0" w:color="auto"/>
              <w:right w:val="single" w:sz="2" w:space="0" w:color="auto"/>
            </w:tcBorders>
            <w:vAlign w:val="center"/>
          </w:tcPr>
          <w:p w14:paraId="7CD8CBFC" w14:textId="77777777" w:rsidR="006B66B7" w:rsidRPr="008C49B7" w:rsidRDefault="006B66B7" w:rsidP="008C49B7">
            <w:pPr>
              <w:snapToGrid w:val="0"/>
              <w:jc w:val="right"/>
              <w:rPr>
                <w:rFonts w:ascii="Times New Roman" w:eastAsia="宋体" w:hAnsi="Times New Roman" w:cs="Times New Roman"/>
                <w:sz w:val="18"/>
                <w:szCs w:val="18"/>
              </w:rPr>
            </w:pPr>
          </w:p>
        </w:tc>
        <w:tc>
          <w:tcPr>
            <w:tcW w:w="1228" w:type="dxa"/>
            <w:tcBorders>
              <w:top w:val="single" w:sz="2" w:space="0" w:color="auto"/>
              <w:left w:val="single" w:sz="2" w:space="0" w:color="auto"/>
              <w:bottom w:val="single" w:sz="2" w:space="0" w:color="auto"/>
              <w:right w:val="single" w:sz="2" w:space="0" w:color="auto"/>
            </w:tcBorders>
            <w:vAlign w:val="center"/>
          </w:tcPr>
          <w:p w14:paraId="2416814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17,830,331.94</w:t>
            </w:r>
          </w:p>
        </w:tc>
        <w:tc>
          <w:tcPr>
            <w:tcW w:w="1029" w:type="dxa"/>
            <w:tcBorders>
              <w:top w:val="single" w:sz="2" w:space="0" w:color="auto"/>
              <w:left w:val="single" w:sz="2" w:space="0" w:color="auto"/>
              <w:bottom w:val="single" w:sz="2" w:space="0" w:color="auto"/>
              <w:right w:val="single" w:sz="2" w:space="0" w:color="auto"/>
            </w:tcBorders>
            <w:vAlign w:val="center"/>
          </w:tcPr>
          <w:p w14:paraId="0E695416" w14:textId="77777777" w:rsidR="006B66B7" w:rsidRPr="008C49B7" w:rsidRDefault="006B66B7" w:rsidP="008C49B7">
            <w:pPr>
              <w:snapToGrid w:val="0"/>
              <w:jc w:val="right"/>
              <w:rPr>
                <w:rFonts w:ascii="Times New Roman" w:eastAsia="宋体" w:hAnsi="Times New Roman" w:cs="Times New Roman"/>
                <w:sz w:val="18"/>
                <w:szCs w:val="18"/>
              </w:rPr>
            </w:pPr>
          </w:p>
        </w:tc>
        <w:tc>
          <w:tcPr>
            <w:tcW w:w="1228" w:type="dxa"/>
            <w:tcBorders>
              <w:top w:val="single" w:sz="2" w:space="0" w:color="auto"/>
              <w:left w:val="single" w:sz="2" w:space="0" w:color="auto"/>
              <w:bottom w:val="single" w:sz="2" w:space="0" w:color="auto"/>
              <w:right w:val="single" w:sz="2" w:space="0" w:color="auto"/>
            </w:tcBorders>
            <w:vAlign w:val="center"/>
          </w:tcPr>
          <w:p w14:paraId="79CB8FAE" w14:textId="77777777" w:rsidR="006B66B7" w:rsidRPr="008C49B7" w:rsidRDefault="006B66B7" w:rsidP="008C49B7">
            <w:pPr>
              <w:snapToGrid w:val="0"/>
              <w:jc w:val="right"/>
              <w:rPr>
                <w:rFonts w:ascii="Times New Roman" w:eastAsia="宋体" w:hAnsi="Times New Roman" w:cs="Times New Roman"/>
                <w:sz w:val="18"/>
                <w:szCs w:val="18"/>
              </w:rPr>
            </w:pPr>
          </w:p>
        </w:tc>
        <w:tc>
          <w:tcPr>
            <w:tcW w:w="1109" w:type="dxa"/>
            <w:tcBorders>
              <w:top w:val="single" w:sz="2" w:space="0" w:color="auto"/>
              <w:left w:val="single" w:sz="2" w:space="0" w:color="auto"/>
              <w:bottom w:val="single" w:sz="2" w:space="0" w:color="auto"/>
              <w:right w:val="single" w:sz="2" w:space="0" w:color="auto"/>
            </w:tcBorders>
            <w:vAlign w:val="center"/>
          </w:tcPr>
          <w:p w14:paraId="1153EF3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444,696,592.64</w:t>
            </w:r>
          </w:p>
        </w:tc>
      </w:tr>
      <w:tr w:rsidR="006B66B7" w:rsidRPr="008C49B7" w14:paraId="3C7078EE" w14:textId="77777777" w:rsidTr="0001208F">
        <w:trPr>
          <w:jc w:val="center"/>
        </w:trPr>
        <w:tc>
          <w:tcPr>
            <w:tcW w:w="1273" w:type="dxa"/>
            <w:tcBorders>
              <w:top w:val="single" w:sz="2" w:space="0" w:color="auto"/>
              <w:left w:val="single" w:sz="2" w:space="0" w:color="auto"/>
              <w:bottom w:val="single" w:sz="2" w:space="0" w:color="auto"/>
              <w:right w:val="single" w:sz="2" w:space="0" w:color="auto"/>
            </w:tcBorders>
            <w:vAlign w:val="center"/>
          </w:tcPr>
          <w:p w14:paraId="4B5E7DD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Receivables financing</w:t>
            </w:r>
          </w:p>
        </w:tc>
        <w:tc>
          <w:tcPr>
            <w:tcW w:w="810" w:type="dxa"/>
            <w:tcBorders>
              <w:top w:val="single" w:sz="2" w:space="0" w:color="auto"/>
              <w:left w:val="single" w:sz="2" w:space="0" w:color="auto"/>
              <w:bottom w:val="single" w:sz="2" w:space="0" w:color="auto"/>
              <w:right w:val="single" w:sz="2" w:space="0" w:color="auto"/>
            </w:tcBorders>
            <w:vAlign w:val="center"/>
          </w:tcPr>
          <w:p w14:paraId="030F76B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231,592,339.12</w:t>
            </w:r>
          </w:p>
        </w:tc>
        <w:tc>
          <w:tcPr>
            <w:tcW w:w="1029" w:type="dxa"/>
            <w:tcBorders>
              <w:top w:val="single" w:sz="2" w:space="0" w:color="auto"/>
              <w:left w:val="single" w:sz="2" w:space="0" w:color="auto"/>
              <w:bottom w:val="single" w:sz="2" w:space="0" w:color="auto"/>
              <w:right w:val="single" w:sz="2" w:space="0" w:color="auto"/>
            </w:tcBorders>
            <w:vAlign w:val="center"/>
          </w:tcPr>
          <w:p w14:paraId="0349B50E" w14:textId="77777777" w:rsidR="006B66B7" w:rsidRPr="008C49B7" w:rsidRDefault="006B66B7" w:rsidP="008C49B7">
            <w:pPr>
              <w:snapToGrid w:val="0"/>
              <w:jc w:val="right"/>
              <w:rPr>
                <w:rFonts w:ascii="Times New Roman" w:eastAsia="宋体" w:hAnsi="Times New Roman" w:cs="Times New Roman"/>
                <w:sz w:val="18"/>
                <w:szCs w:val="18"/>
              </w:rPr>
            </w:pPr>
          </w:p>
        </w:tc>
        <w:tc>
          <w:tcPr>
            <w:tcW w:w="1007" w:type="dxa"/>
            <w:tcBorders>
              <w:top w:val="single" w:sz="2" w:space="0" w:color="auto"/>
              <w:left w:val="single" w:sz="2" w:space="0" w:color="auto"/>
              <w:bottom w:val="single" w:sz="2" w:space="0" w:color="auto"/>
              <w:right w:val="single" w:sz="2" w:space="0" w:color="auto"/>
            </w:tcBorders>
            <w:vAlign w:val="center"/>
          </w:tcPr>
          <w:p w14:paraId="3DB38F83" w14:textId="77777777" w:rsidR="006B66B7" w:rsidRPr="008C49B7" w:rsidRDefault="006B66B7" w:rsidP="008C49B7">
            <w:pPr>
              <w:snapToGrid w:val="0"/>
              <w:jc w:val="right"/>
              <w:rPr>
                <w:rFonts w:ascii="Times New Roman" w:eastAsia="宋体" w:hAnsi="Times New Roman" w:cs="Times New Roman"/>
                <w:sz w:val="18"/>
                <w:szCs w:val="18"/>
              </w:rPr>
            </w:pPr>
          </w:p>
        </w:tc>
        <w:tc>
          <w:tcPr>
            <w:tcW w:w="918" w:type="dxa"/>
            <w:tcBorders>
              <w:top w:val="single" w:sz="2" w:space="0" w:color="auto"/>
              <w:left w:val="single" w:sz="2" w:space="0" w:color="auto"/>
              <w:bottom w:val="single" w:sz="2" w:space="0" w:color="auto"/>
              <w:right w:val="single" w:sz="2" w:space="0" w:color="auto"/>
            </w:tcBorders>
            <w:vAlign w:val="center"/>
          </w:tcPr>
          <w:p w14:paraId="2C95729F" w14:textId="77777777" w:rsidR="006B66B7" w:rsidRPr="008C49B7" w:rsidRDefault="006B66B7" w:rsidP="008C49B7">
            <w:pPr>
              <w:snapToGrid w:val="0"/>
              <w:jc w:val="right"/>
              <w:rPr>
                <w:rFonts w:ascii="Times New Roman" w:eastAsia="宋体" w:hAnsi="Times New Roman" w:cs="Times New Roman"/>
                <w:sz w:val="18"/>
                <w:szCs w:val="18"/>
              </w:rPr>
            </w:pPr>
          </w:p>
        </w:tc>
        <w:tc>
          <w:tcPr>
            <w:tcW w:w="1228" w:type="dxa"/>
            <w:tcBorders>
              <w:top w:val="single" w:sz="2" w:space="0" w:color="auto"/>
              <w:left w:val="single" w:sz="2" w:space="0" w:color="auto"/>
              <w:bottom w:val="single" w:sz="2" w:space="0" w:color="auto"/>
              <w:right w:val="single" w:sz="2" w:space="0" w:color="auto"/>
            </w:tcBorders>
            <w:vAlign w:val="center"/>
          </w:tcPr>
          <w:p w14:paraId="7C5B0E6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1,068,554,807.20</w:t>
            </w:r>
          </w:p>
        </w:tc>
        <w:tc>
          <w:tcPr>
            <w:tcW w:w="1029" w:type="dxa"/>
            <w:tcBorders>
              <w:top w:val="single" w:sz="2" w:space="0" w:color="auto"/>
              <w:left w:val="single" w:sz="2" w:space="0" w:color="auto"/>
              <w:bottom w:val="single" w:sz="2" w:space="0" w:color="auto"/>
              <w:right w:val="single" w:sz="2" w:space="0" w:color="auto"/>
            </w:tcBorders>
            <w:vAlign w:val="center"/>
          </w:tcPr>
          <w:p w14:paraId="4C43B086" w14:textId="77777777" w:rsidR="006B66B7" w:rsidRPr="008C49B7" w:rsidRDefault="006B66B7" w:rsidP="008C49B7">
            <w:pPr>
              <w:snapToGrid w:val="0"/>
              <w:jc w:val="right"/>
              <w:rPr>
                <w:rFonts w:ascii="Times New Roman" w:eastAsia="宋体" w:hAnsi="Times New Roman" w:cs="Times New Roman"/>
                <w:sz w:val="18"/>
                <w:szCs w:val="18"/>
              </w:rPr>
            </w:pPr>
          </w:p>
        </w:tc>
        <w:tc>
          <w:tcPr>
            <w:tcW w:w="1228" w:type="dxa"/>
            <w:tcBorders>
              <w:top w:val="single" w:sz="2" w:space="0" w:color="auto"/>
              <w:left w:val="single" w:sz="2" w:space="0" w:color="auto"/>
              <w:bottom w:val="single" w:sz="2" w:space="0" w:color="auto"/>
              <w:right w:val="single" w:sz="2" w:space="0" w:color="auto"/>
            </w:tcBorders>
            <w:vAlign w:val="center"/>
          </w:tcPr>
          <w:p w14:paraId="5BD7E64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-1,105,039,559.29</w:t>
            </w:r>
          </w:p>
        </w:tc>
        <w:tc>
          <w:tcPr>
            <w:tcW w:w="1109" w:type="dxa"/>
            <w:tcBorders>
              <w:top w:val="single" w:sz="2" w:space="0" w:color="auto"/>
              <w:left w:val="single" w:sz="2" w:space="0" w:color="auto"/>
              <w:bottom w:val="single" w:sz="2" w:space="0" w:color="auto"/>
              <w:right w:val="single" w:sz="2" w:space="0" w:color="auto"/>
            </w:tcBorders>
            <w:vAlign w:val="center"/>
          </w:tcPr>
          <w:p w14:paraId="04AB588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195,107,587.03</w:t>
            </w:r>
          </w:p>
        </w:tc>
      </w:tr>
      <w:tr w:rsidR="006B66B7" w:rsidRPr="008C49B7" w14:paraId="063E7464" w14:textId="77777777" w:rsidTr="0001208F">
        <w:trPr>
          <w:jc w:val="center"/>
        </w:trPr>
        <w:tc>
          <w:tcPr>
            <w:tcW w:w="1273" w:type="dxa"/>
            <w:tcBorders>
              <w:top w:val="single" w:sz="2" w:space="0" w:color="auto"/>
              <w:left w:val="single" w:sz="2" w:space="0" w:color="auto"/>
              <w:bottom w:val="single" w:sz="2" w:space="0" w:color="auto"/>
              <w:right w:val="single" w:sz="2" w:space="0" w:color="auto"/>
            </w:tcBorders>
            <w:shd w:val="clear" w:color="auto" w:fill="D3D3D3"/>
            <w:vAlign w:val="center"/>
          </w:tcPr>
          <w:p w14:paraId="41DC1149"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 of the above items</w:t>
            </w:r>
          </w:p>
        </w:tc>
        <w:tc>
          <w:tcPr>
            <w:tcW w:w="810" w:type="dxa"/>
            <w:tcBorders>
              <w:top w:val="single" w:sz="2" w:space="0" w:color="auto"/>
              <w:left w:val="single" w:sz="2" w:space="0" w:color="auto"/>
              <w:bottom w:val="single" w:sz="2" w:space="0" w:color="auto"/>
              <w:right w:val="single" w:sz="2" w:space="0" w:color="auto"/>
            </w:tcBorders>
            <w:vAlign w:val="center"/>
          </w:tcPr>
          <w:p w14:paraId="328FFAA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737,238,833.17</w:t>
            </w:r>
          </w:p>
        </w:tc>
        <w:tc>
          <w:tcPr>
            <w:tcW w:w="1029" w:type="dxa"/>
            <w:tcBorders>
              <w:top w:val="single" w:sz="2" w:space="0" w:color="auto"/>
              <w:left w:val="single" w:sz="2" w:space="0" w:color="auto"/>
              <w:bottom w:val="single" w:sz="2" w:space="0" w:color="auto"/>
              <w:right w:val="single" w:sz="2" w:space="0" w:color="auto"/>
            </w:tcBorders>
            <w:vAlign w:val="center"/>
          </w:tcPr>
          <w:p w14:paraId="588FD06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-15,580,233.35</w:t>
            </w:r>
          </w:p>
        </w:tc>
        <w:tc>
          <w:tcPr>
            <w:tcW w:w="1007" w:type="dxa"/>
            <w:tcBorders>
              <w:top w:val="single" w:sz="2" w:space="0" w:color="auto"/>
              <w:left w:val="single" w:sz="2" w:space="0" w:color="auto"/>
              <w:bottom w:val="single" w:sz="2" w:space="0" w:color="auto"/>
              <w:right w:val="single" w:sz="2" w:space="0" w:color="auto"/>
            </w:tcBorders>
            <w:vAlign w:val="center"/>
          </w:tcPr>
          <w:p w14:paraId="203AE34D" w14:textId="77777777" w:rsidR="006B66B7" w:rsidRPr="008C49B7" w:rsidRDefault="006B66B7" w:rsidP="008C49B7">
            <w:pPr>
              <w:snapToGrid w:val="0"/>
              <w:jc w:val="right"/>
              <w:rPr>
                <w:rFonts w:ascii="Times New Roman" w:eastAsia="宋体" w:hAnsi="Times New Roman" w:cs="Times New Roman"/>
                <w:sz w:val="18"/>
                <w:szCs w:val="18"/>
              </w:rPr>
            </w:pPr>
          </w:p>
        </w:tc>
        <w:tc>
          <w:tcPr>
            <w:tcW w:w="918" w:type="dxa"/>
            <w:tcBorders>
              <w:top w:val="single" w:sz="2" w:space="0" w:color="auto"/>
              <w:left w:val="single" w:sz="2" w:space="0" w:color="auto"/>
              <w:bottom w:val="single" w:sz="2" w:space="0" w:color="auto"/>
              <w:right w:val="single" w:sz="2" w:space="0" w:color="auto"/>
            </w:tcBorders>
            <w:vAlign w:val="center"/>
          </w:tcPr>
          <w:p w14:paraId="0E2EB952" w14:textId="77777777" w:rsidR="006B66B7" w:rsidRPr="008C49B7" w:rsidRDefault="006B66B7" w:rsidP="008C49B7">
            <w:pPr>
              <w:snapToGrid w:val="0"/>
              <w:jc w:val="right"/>
              <w:rPr>
                <w:rFonts w:ascii="Times New Roman" w:eastAsia="宋体" w:hAnsi="Times New Roman" w:cs="Times New Roman"/>
                <w:sz w:val="18"/>
                <w:szCs w:val="18"/>
              </w:rPr>
            </w:pPr>
          </w:p>
        </w:tc>
        <w:tc>
          <w:tcPr>
            <w:tcW w:w="1228" w:type="dxa"/>
            <w:tcBorders>
              <w:top w:val="single" w:sz="2" w:space="0" w:color="auto"/>
              <w:left w:val="single" w:sz="2" w:space="0" w:color="auto"/>
              <w:bottom w:val="single" w:sz="2" w:space="0" w:color="auto"/>
              <w:right w:val="single" w:sz="2" w:space="0" w:color="auto"/>
            </w:tcBorders>
            <w:vAlign w:val="center"/>
          </w:tcPr>
          <w:p w14:paraId="3188490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1,107,185,139.14</w:t>
            </w:r>
          </w:p>
        </w:tc>
        <w:tc>
          <w:tcPr>
            <w:tcW w:w="1029" w:type="dxa"/>
            <w:tcBorders>
              <w:top w:val="single" w:sz="2" w:space="0" w:color="auto"/>
              <w:left w:val="single" w:sz="2" w:space="0" w:color="auto"/>
              <w:bottom w:val="single" w:sz="2" w:space="0" w:color="auto"/>
              <w:right w:val="single" w:sz="2" w:space="0" w:color="auto"/>
            </w:tcBorders>
            <w:vAlign w:val="center"/>
          </w:tcPr>
          <w:p w14:paraId="5467050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62,600,000.00</w:t>
            </w:r>
          </w:p>
        </w:tc>
        <w:tc>
          <w:tcPr>
            <w:tcW w:w="1228" w:type="dxa"/>
            <w:tcBorders>
              <w:top w:val="single" w:sz="2" w:space="0" w:color="auto"/>
              <w:left w:val="single" w:sz="2" w:space="0" w:color="auto"/>
              <w:bottom w:val="single" w:sz="2" w:space="0" w:color="auto"/>
              <w:right w:val="single" w:sz="2" w:space="0" w:color="auto"/>
            </w:tcBorders>
            <w:vAlign w:val="center"/>
          </w:tcPr>
          <w:p w14:paraId="0F39F70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-1,105,039,559.29</w:t>
            </w:r>
          </w:p>
        </w:tc>
        <w:tc>
          <w:tcPr>
            <w:tcW w:w="1109" w:type="dxa"/>
            <w:tcBorders>
              <w:top w:val="single" w:sz="2" w:space="0" w:color="auto"/>
              <w:left w:val="single" w:sz="2" w:space="0" w:color="auto"/>
              <w:bottom w:val="single" w:sz="2" w:space="0" w:color="auto"/>
              <w:right w:val="single" w:sz="2" w:space="0" w:color="auto"/>
            </w:tcBorders>
            <w:vAlign w:val="center"/>
          </w:tcPr>
          <w:p w14:paraId="3DC6949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661,204,179.67</w:t>
            </w:r>
          </w:p>
        </w:tc>
      </w:tr>
      <w:tr w:rsidR="006B66B7" w:rsidRPr="008C49B7" w14:paraId="7B383B42" w14:textId="77777777" w:rsidTr="0001208F">
        <w:trPr>
          <w:jc w:val="center"/>
        </w:trPr>
        <w:tc>
          <w:tcPr>
            <w:tcW w:w="1273" w:type="dxa"/>
            <w:tcBorders>
              <w:top w:val="single" w:sz="2" w:space="0" w:color="auto"/>
              <w:left w:val="single" w:sz="2" w:space="0" w:color="auto"/>
              <w:bottom w:val="single" w:sz="2" w:space="0" w:color="auto"/>
              <w:right w:val="single" w:sz="2" w:space="0" w:color="auto"/>
            </w:tcBorders>
            <w:shd w:val="clear" w:color="auto" w:fill="D3D3D3"/>
            <w:vAlign w:val="center"/>
          </w:tcPr>
          <w:p w14:paraId="2503E18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Financial liabilities</w:t>
            </w:r>
          </w:p>
        </w:tc>
        <w:tc>
          <w:tcPr>
            <w:tcW w:w="810" w:type="dxa"/>
            <w:tcBorders>
              <w:top w:val="single" w:sz="2" w:space="0" w:color="auto"/>
              <w:left w:val="single" w:sz="2" w:space="0" w:color="auto"/>
              <w:bottom w:val="single" w:sz="2" w:space="0" w:color="auto"/>
              <w:right w:val="single" w:sz="2" w:space="0" w:color="auto"/>
            </w:tcBorders>
            <w:vAlign w:val="center"/>
          </w:tcPr>
          <w:p w14:paraId="20EF5FD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1029" w:type="dxa"/>
            <w:tcBorders>
              <w:top w:val="single" w:sz="2" w:space="0" w:color="auto"/>
              <w:left w:val="single" w:sz="2" w:space="0" w:color="auto"/>
              <w:bottom w:val="single" w:sz="2" w:space="0" w:color="auto"/>
              <w:right w:val="single" w:sz="2" w:space="0" w:color="auto"/>
            </w:tcBorders>
            <w:vAlign w:val="center"/>
          </w:tcPr>
          <w:p w14:paraId="1A3CA19C" w14:textId="77777777" w:rsidR="006B66B7" w:rsidRPr="008C49B7" w:rsidRDefault="006B66B7" w:rsidP="008C49B7">
            <w:pPr>
              <w:snapToGrid w:val="0"/>
              <w:jc w:val="right"/>
              <w:rPr>
                <w:rFonts w:ascii="Times New Roman" w:eastAsia="宋体" w:hAnsi="Times New Roman" w:cs="Times New Roman"/>
                <w:sz w:val="18"/>
                <w:szCs w:val="18"/>
              </w:rPr>
            </w:pPr>
          </w:p>
        </w:tc>
        <w:tc>
          <w:tcPr>
            <w:tcW w:w="1007" w:type="dxa"/>
            <w:tcBorders>
              <w:top w:val="single" w:sz="2" w:space="0" w:color="auto"/>
              <w:left w:val="single" w:sz="2" w:space="0" w:color="auto"/>
              <w:bottom w:val="single" w:sz="2" w:space="0" w:color="auto"/>
              <w:right w:val="single" w:sz="2" w:space="0" w:color="auto"/>
            </w:tcBorders>
            <w:vAlign w:val="center"/>
          </w:tcPr>
          <w:p w14:paraId="2310A3BB" w14:textId="77777777" w:rsidR="006B66B7" w:rsidRPr="008C49B7" w:rsidRDefault="006B66B7" w:rsidP="008C49B7">
            <w:pPr>
              <w:snapToGrid w:val="0"/>
              <w:jc w:val="right"/>
              <w:rPr>
                <w:rFonts w:ascii="Times New Roman" w:eastAsia="宋体" w:hAnsi="Times New Roman" w:cs="Times New Roman"/>
                <w:sz w:val="18"/>
                <w:szCs w:val="18"/>
              </w:rPr>
            </w:pPr>
          </w:p>
        </w:tc>
        <w:tc>
          <w:tcPr>
            <w:tcW w:w="918" w:type="dxa"/>
            <w:tcBorders>
              <w:top w:val="single" w:sz="2" w:space="0" w:color="auto"/>
              <w:left w:val="single" w:sz="2" w:space="0" w:color="auto"/>
              <w:bottom w:val="single" w:sz="2" w:space="0" w:color="auto"/>
              <w:right w:val="single" w:sz="2" w:space="0" w:color="auto"/>
            </w:tcBorders>
            <w:vAlign w:val="center"/>
          </w:tcPr>
          <w:p w14:paraId="50661067" w14:textId="77777777" w:rsidR="006B66B7" w:rsidRPr="008C49B7" w:rsidRDefault="006B66B7" w:rsidP="008C49B7">
            <w:pPr>
              <w:snapToGrid w:val="0"/>
              <w:jc w:val="right"/>
              <w:rPr>
                <w:rFonts w:ascii="Times New Roman" w:eastAsia="宋体" w:hAnsi="Times New Roman" w:cs="Times New Roman"/>
                <w:sz w:val="18"/>
                <w:szCs w:val="18"/>
              </w:rPr>
            </w:pPr>
          </w:p>
        </w:tc>
        <w:tc>
          <w:tcPr>
            <w:tcW w:w="1228" w:type="dxa"/>
            <w:tcBorders>
              <w:top w:val="single" w:sz="2" w:space="0" w:color="auto"/>
              <w:left w:val="single" w:sz="2" w:space="0" w:color="auto"/>
              <w:bottom w:val="single" w:sz="2" w:space="0" w:color="auto"/>
              <w:right w:val="single" w:sz="2" w:space="0" w:color="auto"/>
            </w:tcBorders>
            <w:vAlign w:val="center"/>
          </w:tcPr>
          <w:p w14:paraId="76902697" w14:textId="77777777" w:rsidR="006B66B7" w:rsidRPr="008C49B7" w:rsidRDefault="006B66B7" w:rsidP="008C49B7">
            <w:pPr>
              <w:snapToGrid w:val="0"/>
              <w:jc w:val="right"/>
              <w:rPr>
                <w:rFonts w:ascii="Times New Roman" w:eastAsia="宋体" w:hAnsi="Times New Roman" w:cs="Times New Roman"/>
                <w:sz w:val="18"/>
                <w:szCs w:val="18"/>
              </w:rPr>
            </w:pPr>
          </w:p>
        </w:tc>
        <w:tc>
          <w:tcPr>
            <w:tcW w:w="1029" w:type="dxa"/>
            <w:tcBorders>
              <w:top w:val="single" w:sz="2" w:space="0" w:color="auto"/>
              <w:left w:val="single" w:sz="2" w:space="0" w:color="auto"/>
              <w:bottom w:val="single" w:sz="2" w:space="0" w:color="auto"/>
              <w:right w:val="single" w:sz="2" w:space="0" w:color="auto"/>
            </w:tcBorders>
            <w:vAlign w:val="center"/>
          </w:tcPr>
          <w:p w14:paraId="132573A2" w14:textId="77777777" w:rsidR="006B66B7" w:rsidRPr="008C49B7" w:rsidRDefault="006B66B7" w:rsidP="008C49B7">
            <w:pPr>
              <w:snapToGrid w:val="0"/>
              <w:jc w:val="right"/>
              <w:rPr>
                <w:rFonts w:ascii="Times New Roman" w:eastAsia="宋体" w:hAnsi="Times New Roman" w:cs="Times New Roman"/>
                <w:sz w:val="18"/>
                <w:szCs w:val="18"/>
              </w:rPr>
            </w:pPr>
          </w:p>
        </w:tc>
        <w:tc>
          <w:tcPr>
            <w:tcW w:w="1228" w:type="dxa"/>
            <w:tcBorders>
              <w:top w:val="single" w:sz="2" w:space="0" w:color="auto"/>
              <w:left w:val="single" w:sz="2" w:space="0" w:color="auto"/>
              <w:bottom w:val="single" w:sz="2" w:space="0" w:color="auto"/>
              <w:right w:val="single" w:sz="2" w:space="0" w:color="auto"/>
            </w:tcBorders>
            <w:vAlign w:val="center"/>
          </w:tcPr>
          <w:p w14:paraId="1ED1BC3C" w14:textId="77777777" w:rsidR="006B66B7" w:rsidRPr="008C49B7" w:rsidRDefault="006B66B7" w:rsidP="008C49B7">
            <w:pPr>
              <w:snapToGrid w:val="0"/>
              <w:jc w:val="right"/>
              <w:rPr>
                <w:rFonts w:ascii="Times New Roman" w:eastAsia="宋体" w:hAnsi="Times New Roman" w:cs="Times New Roman"/>
                <w:sz w:val="18"/>
                <w:szCs w:val="18"/>
              </w:rPr>
            </w:pPr>
          </w:p>
        </w:tc>
        <w:tc>
          <w:tcPr>
            <w:tcW w:w="1109" w:type="dxa"/>
            <w:tcBorders>
              <w:top w:val="single" w:sz="2" w:space="0" w:color="auto"/>
              <w:left w:val="single" w:sz="2" w:space="0" w:color="auto"/>
              <w:bottom w:val="single" w:sz="2" w:space="0" w:color="auto"/>
              <w:right w:val="single" w:sz="2" w:space="0" w:color="auto"/>
            </w:tcBorders>
            <w:vAlign w:val="center"/>
          </w:tcPr>
          <w:p w14:paraId="6F2F0DF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bl>
    <w:p w14:paraId="37465487"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changes</w:t>
      </w:r>
    </w:p>
    <w:p w14:paraId="20259B22" w14:textId="77777777" w:rsidR="00273CFE" w:rsidRPr="00F73301" w:rsidRDefault="002349C6" w:rsidP="00A9288A">
      <w:pPr>
        <w:pStyle w:val="a3"/>
        <w:snapToGrid w:val="0"/>
        <w:spacing w:beforeLines="50" w:before="156" w:beforeAutospacing="0" w:afterLines="50" w:after="156" w:afterAutospacing="0"/>
        <w:jc w:val="both"/>
        <w:divId w:val="1559704676"/>
        <w:rPr>
          <w:rFonts w:ascii="Times New Roman" w:hAnsi="Times New Roman" w:cs="Times New Roman"/>
        </w:rPr>
      </w:pPr>
      <w:r w:rsidRPr="00F73301">
        <w:rPr>
          <w:rFonts w:ascii="Times New Roman" w:hAnsi="Times New Roman" w:cs="Times New Roman"/>
        </w:rPr>
        <w:t>None</w:t>
      </w:r>
    </w:p>
    <w:p w14:paraId="5DBD23E4"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Did the measurement attributes of the Company's principal assets undergo material changes in the Reporting Period?</w:t>
      </w:r>
    </w:p>
    <w:p w14:paraId="3C16D90A" w14:textId="3562065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□Yes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w:t>
      </w:r>
    </w:p>
    <w:p w14:paraId="53912E19" w14:textId="77777777" w:rsidR="006B66B7" w:rsidRPr="00F73301" w:rsidRDefault="002349C6" w:rsidP="008C49B7">
      <w:pPr>
        <w:pStyle w:val="3"/>
      </w:pPr>
      <w:bookmarkStart w:id="23" w:name="_Toc988911"/>
      <w:r w:rsidRPr="00F73301">
        <w:lastRenderedPageBreak/>
        <w:t>4. Restricted asset rights as at the end of the Reporting Period</w:t>
      </w:r>
      <w:bookmarkEnd w:id="23"/>
    </w:p>
    <w:tbl>
      <w:tblPr>
        <w:tblW w:w="5000" w:type="pct"/>
        <w:jc w:val="center"/>
        <w:tblCellMar>
          <w:left w:w="57" w:type="dxa"/>
          <w:right w:w="57" w:type="dxa"/>
        </w:tblCellMar>
        <w:tblLook w:val="04A0" w:firstRow="1" w:lastRow="0" w:firstColumn="1" w:lastColumn="0" w:noHBand="0" w:noVBand="1"/>
      </w:tblPr>
      <w:tblGrid>
        <w:gridCol w:w="3207"/>
        <w:gridCol w:w="3206"/>
        <w:gridCol w:w="3204"/>
      </w:tblGrid>
      <w:tr w:rsidR="00273CFE" w:rsidRPr="008C49B7" w14:paraId="0609B9A4" w14:textId="77777777" w:rsidTr="0001208F">
        <w:trPr>
          <w:divId w:val="1062827584"/>
          <w:jc w:val="center"/>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24A48" w14:textId="77777777" w:rsidR="00273CFE" w:rsidRPr="008C49B7" w:rsidRDefault="002349C6" w:rsidP="008C49B7">
            <w:pPr>
              <w:pStyle w:val="a3"/>
              <w:snapToGrid w:val="0"/>
              <w:spacing w:before="0" w:beforeAutospacing="0" w:after="0" w:afterAutospacing="0"/>
              <w:jc w:val="center"/>
              <w:rPr>
                <w:rFonts w:ascii="Times New Roman" w:eastAsia="等线" w:hAnsi="Times New Roman" w:cs="Times New Roman"/>
                <w:sz w:val="18"/>
                <w:szCs w:val="18"/>
              </w:rPr>
            </w:pPr>
            <w:r w:rsidRPr="008C49B7">
              <w:rPr>
                <w:rFonts w:ascii="Times New Roman" w:hAnsi="Times New Roman" w:cs="Times New Roman"/>
                <w:color w:val="000000"/>
                <w:sz w:val="18"/>
                <w:szCs w:val="18"/>
              </w:rPr>
              <w:t>Item</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084D6E" w14:textId="77777777" w:rsidR="00273CFE" w:rsidRPr="008C49B7" w:rsidRDefault="002349C6" w:rsidP="008C49B7">
            <w:pPr>
              <w:pStyle w:val="a3"/>
              <w:snapToGrid w:val="0"/>
              <w:spacing w:before="0" w:beforeAutospacing="0" w:after="0" w:afterAutospacing="0"/>
              <w:jc w:val="center"/>
              <w:rPr>
                <w:rFonts w:ascii="Times New Roman" w:eastAsia="等线" w:hAnsi="Times New Roman" w:cs="Times New Roman"/>
                <w:sz w:val="18"/>
                <w:szCs w:val="18"/>
              </w:rPr>
            </w:pPr>
            <w:r w:rsidRPr="008C49B7">
              <w:rPr>
                <w:rFonts w:ascii="Times New Roman" w:hAnsi="Times New Roman" w:cs="Times New Roman"/>
                <w:color w:val="000000"/>
                <w:sz w:val="18"/>
                <w:szCs w:val="18"/>
              </w:rPr>
              <w:t>The carrying amount at the end of the Reporting Period (RMB)</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8F1AF3" w14:textId="77777777" w:rsidR="00273CFE" w:rsidRPr="008C49B7" w:rsidRDefault="002349C6" w:rsidP="008C49B7">
            <w:pPr>
              <w:pStyle w:val="a3"/>
              <w:snapToGrid w:val="0"/>
              <w:spacing w:before="0" w:beforeAutospacing="0" w:after="0" w:afterAutospacing="0"/>
              <w:jc w:val="center"/>
              <w:rPr>
                <w:rFonts w:ascii="Times New Roman" w:eastAsia="等线" w:hAnsi="Times New Roman" w:cs="Times New Roman"/>
                <w:sz w:val="18"/>
                <w:szCs w:val="18"/>
              </w:rPr>
            </w:pPr>
            <w:r w:rsidRPr="008C49B7">
              <w:rPr>
                <w:rFonts w:ascii="Times New Roman" w:hAnsi="Times New Roman" w:cs="Times New Roman"/>
                <w:color w:val="000000"/>
                <w:sz w:val="18"/>
                <w:szCs w:val="18"/>
              </w:rPr>
              <w:t>Reason for restriction</w:t>
            </w:r>
          </w:p>
        </w:tc>
      </w:tr>
      <w:tr w:rsidR="00273CFE" w:rsidRPr="008C49B7" w14:paraId="50CF999B" w14:textId="77777777" w:rsidTr="0001208F">
        <w:trPr>
          <w:divId w:val="1062827584"/>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23887E" w14:textId="77777777" w:rsidR="00273CFE" w:rsidRPr="008C49B7" w:rsidRDefault="002349C6" w:rsidP="008C49B7">
            <w:pPr>
              <w:pStyle w:val="a3"/>
              <w:snapToGrid w:val="0"/>
              <w:spacing w:before="0" w:beforeAutospacing="0" w:after="0" w:afterAutospacing="0"/>
              <w:jc w:val="both"/>
              <w:rPr>
                <w:rFonts w:ascii="Times New Roman" w:eastAsia="等线" w:hAnsi="Times New Roman" w:cs="Times New Roman"/>
                <w:sz w:val="18"/>
                <w:szCs w:val="18"/>
              </w:rPr>
            </w:pPr>
            <w:r w:rsidRPr="008C49B7">
              <w:rPr>
                <w:rFonts w:ascii="Times New Roman" w:hAnsi="Times New Roman" w:cs="Times New Roman"/>
                <w:color w:val="000000"/>
                <w:sz w:val="18"/>
                <w:szCs w:val="18"/>
              </w:rPr>
              <w:t>Monetary assets</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82149" w14:textId="77777777" w:rsidR="00273CFE" w:rsidRPr="008C49B7" w:rsidRDefault="002349C6" w:rsidP="008C49B7">
            <w:pPr>
              <w:pStyle w:val="a3"/>
              <w:snapToGrid w:val="0"/>
              <w:spacing w:before="0" w:beforeAutospacing="0" w:after="0" w:afterAutospacing="0"/>
              <w:jc w:val="right"/>
              <w:rPr>
                <w:rFonts w:ascii="Times New Roman" w:eastAsia="等线" w:hAnsi="Times New Roman" w:cs="Times New Roman"/>
                <w:sz w:val="18"/>
                <w:szCs w:val="18"/>
              </w:rPr>
            </w:pPr>
            <w:r w:rsidRPr="008C49B7">
              <w:rPr>
                <w:rFonts w:ascii="Times New Roman" w:hAnsi="Times New Roman" w:cs="Times New Roman"/>
                <w:color w:val="000000"/>
                <w:sz w:val="18"/>
                <w:szCs w:val="18"/>
              </w:rPr>
              <w:t xml:space="preserve">          13,939,412.10 </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1F3B8" w14:textId="77777777" w:rsidR="00273CFE" w:rsidRPr="008C49B7" w:rsidRDefault="002349C6" w:rsidP="008C49B7">
            <w:pPr>
              <w:pStyle w:val="a3"/>
              <w:snapToGrid w:val="0"/>
              <w:spacing w:before="0" w:beforeAutospacing="0" w:after="0" w:afterAutospacing="0"/>
              <w:jc w:val="both"/>
              <w:rPr>
                <w:rFonts w:ascii="Times New Roman" w:eastAsia="等线" w:hAnsi="Times New Roman" w:cs="Times New Roman"/>
                <w:sz w:val="18"/>
                <w:szCs w:val="18"/>
              </w:rPr>
            </w:pPr>
            <w:r w:rsidRPr="008C49B7">
              <w:rPr>
                <w:rFonts w:ascii="Times New Roman" w:hAnsi="Times New Roman" w:cs="Times New Roman"/>
                <w:color w:val="000000"/>
                <w:sz w:val="18"/>
                <w:szCs w:val="18"/>
              </w:rPr>
              <w:t>Deposits for bills and letters of credit</w:t>
            </w:r>
          </w:p>
        </w:tc>
      </w:tr>
      <w:tr w:rsidR="00273CFE" w:rsidRPr="008C49B7" w14:paraId="5DECA528" w14:textId="77777777" w:rsidTr="0001208F">
        <w:trPr>
          <w:divId w:val="1062827584"/>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4BF40" w14:textId="77777777" w:rsidR="00273CFE" w:rsidRPr="008C49B7" w:rsidRDefault="002349C6" w:rsidP="008C49B7">
            <w:pPr>
              <w:pStyle w:val="a3"/>
              <w:snapToGrid w:val="0"/>
              <w:spacing w:before="0" w:beforeAutospacing="0" w:after="0" w:afterAutospacing="0"/>
              <w:jc w:val="both"/>
              <w:rPr>
                <w:rFonts w:ascii="Times New Roman" w:eastAsia="等线" w:hAnsi="Times New Roman" w:cs="Times New Roman"/>
                <w:sz w:val="18"/>
                <w:szCs w:val="18"/>
              </w:rPr>
            </w:pPr>
            <w:r w:rsidRPr="008C49B7">
              <w:rPr>
                <w:rFonts w:ascii="Times New Roman" w:hAnsi="Times New Roman" w:cs="Times New Roman"/>
                <w:color w:val="000000"/>
                <w:sz w:val="18"/>
                <w:szCs w:val="18"/>
              </w:rPr>
              <w:t>Fixed assets</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9E254" w14:textId="77777777" w:rsidR="00273CFE" w:rsidRPr="008C49B7" w:rsidRDefault="002349C6" w:rsidP="008C49B7">
            <w:pPr>
              <w:pStyle w:val="a3"/>
              <w:snapToGrid w:val="0"/>
              <w:spacing w:before="0" w:beforeAutospacing="0" w:after="0" w:afterAutospacing="0"/>
              <w:jc w:val="right"/>
              <w:rPr>
                <w:rFonts w:ascii="Times New Roman" w:eastAsia="等线" w:hAnsi="Times New Roman" w:cs="Times New Roman"/>
                <w:sz w:val="18"/>
                <w:szCs w:val="18"/>
              </w:rPr>
            </w:pPr>
            <w:r w:rsidRPr="008C49B7">
              <w:rPr>
                <w:rFonts w:ascii="Times New Roman" w:hAnsi="Times New Roman" w:cs="Times New Roman"/>
                <w:color w:val="000000"/>
                <w:sz w:val="18"/>
                <w:szCs w:val="18"/>
              </w:rPr>
              <w:t xml:space="preserve">         247,651,217.68 </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C6F76" w14:textId="77777777" w:rsidR="00273CFE" w:rsidRPr="008C49B7" w:rsidRDefault="002349C6" w:rsidP="008C49B7">
            <w:pPr>
              <w:pStyle w:val="a3"/>
              <w:snapToGrid w:val="0"/>
              <w:spacing w:before="0" w:beforeAutospacing="0" w:after="0" w:afterAutospacing="0"/>
              <w:jc w:val="both"/>
              <w:rPr>
                <w:rFonts w:ascii="Times New Roman" w:eastAsia="等线" w:hAnsi="Times New Roman" w:cs="Times New Roman"/>
                <w:sz w:val="18"/>
                <w:szCs w:val="18"/>
              </w:rPr>
            </w:pPr>
            <w:r w:rsidRPr="008C49B7">
              <w:rPr>
                <w:rFonts w:ascii="Times New Roman" w:hAnsi="Times New Roman" w:cs="Times New Roman"/>
                <w:color w:val="000000"/>
                <w:sz w:val="18"/>
                <w:szCs w:val="18"/>
              </w:rPr>
              <w:t>Pledge for borrowings</w:t>
            </w:r>
          </w:p>
        </w:tc>
      </w:tr>
      <w:tr w:rsidR="00273CFE" w:rsidRPr="008C49B7" w14:paraId="3FA476D9" w14:textId="77777777" w:rsidTr="0001208F">
        <w:trPr>
          <w:divId w:val="1062827584"/>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8DE93" w14:textId="77777777" w:rsidR="00273CFE" w:rsidRPr="008C49B7" w:rsidRDefault="002349C6" w:rsidP="008C49B7">
            <w:pPr>
              <w:pStyle w:val="a3"/>
              <w:snapToGrid w:val="0"/>
              <w:spacing w:before="0" w:beforeAutospacing="0" w:after="0" w:afterAutospacing="0"/>
              <w:jc w:val="both"/>
              <w:rPr>
                <w:rFonts w:ascii="Times New Roman" w:eastAsia="等线" w:hAnsi="Times New Roman" w:cs="Times New Roman"/>
                <w:sz w:val="18"/>
                <w:szCs w:val="18"/>
              </w:rPr>
            </w:pPr>
            <w:r w:rsidRPr="008C49B7">
              <w:rPr>
                <w:rFonts w:ascii="Times New Roman" w:hAnsi="Times New Roman" w:cs="Times New Roman"/>
                <w:color w:val="000000"/>
                <w:sz w:val="18"/>
                <w:szCs w:val="18"/>
              </w:rPr>
              <w:t>Intangible assets</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F9CF8" w14:textId="77777777" w:rsidR="00273CFE" w:rsidRPr="008C49B7" w:rsidRDefault="002349C6" w:rsidP="008C49B7">
            <w:pPr>
              <w:pStyle w:val="a3"/>
              <w:snapToGrid w:val="0"/>
              <w:spacing w:before="0" w:beforeAutospacing="0" w:after="0" w:afterAutospacing="0"/>
              <w:jc w:val="right"/>
              <w:rPr>
                <w:rFonts w:ascii="Times New Roman" w:eastAsia="等线" w:hAnsi="Times New Roman" w:cs="Times New Roman"/>
                <w:sz w:val="18"/>
                <w:szCs w:val="18"/>
              </w:rPr>
            </w:pPr>
            <w:r w:rsidRPr="008C49B7">
              <w:rPr>
                <w:rFonts w:ascii="Times New Roman" w:hAnsi="Times New Roman" w:cs="Times New Roman"/>
                <w:color w:val="000000"/>
                <w:sz w:val="18"/>
                <w:szCs w:val="18"/>
              </w:rPr>
              <w:t xml:space="preserve">          31,587,009.87 </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5C1B0" w14:textId="77777777" w:rsidR="00273CFE" w:rsidRPr="008C49B7" w:rsidRDefault="002349C6" w:rsidP="008C49B7">
            <w:pPr>
              <w:pStyle w:val="a3"/>
              <w:snapToGrid w:val="0"/>
              <w:spacing w:before="0" w:beforeAutospacing="0" w:after="0" w:afterAutospacing="0"/>
              <w:jc w:val="both"/>
              <w:rPr>
                <w:rFonts w:ascii="Times New Roman" w:eastAsia="等线" w:hAnsi="Times New Roman" w:cs="Times New Roman"/>
                <w:sz w:val="18"/>
                <w:szCs w:val="18"/>
              </w:rPr>
            </w:pPr>
            <w:r w:rsidRPr="008C49B7">
              <w:rPr>
                <w:rFonts w:ascii="Times New Roman" w:hAnsi="Times New Roman" w:cs="Times New Roman"/>
                <w:color w:val="000000"/>
                <w:sz w:val="18"/>
                <w:szCs w:val="18"/>
              </w:rPr>
              <w:t>Pledge for borrowings</w:t>
            </w:r>
          </w:p>
        </w:tc>
      </w:tr>
      <w:tr w:rsidR="00273CFE" w:rsidRPr="008C49B7" w14:paraId="30FD9A4C" w14:textId="77777777" w:rsidTr="0001208F">
        <w:trPr>
          <w:divId w:val="1062827584"/>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02AB1" w14:textId="77777777" w:rsidR="00273CFE" w:rsidRPr="008C49B7" w:rsidRDefault="002349C6" w:rsidP="008C49B7">
            <w:pPr>
              <w:pStyle w:val="a3"/>
              <w:snapToGrid w:val="0"/>
              <w:spacing w:before="0" w:beforeAutospacing="0" w:after="0" w:afterAutospacing="0"/>
              <w:jc w:val="both"/>
              <w:rPr>
                <w:rFonts w:ascii="Times New Roman" w:eastAsia="等线" w:hAnsi="Times New Roman" w:cs="Times New Roman"/>
                <w:sz w:val="18"/>
                <w:szCs w:val="18"/>
              </w:rPr>
            </w:pPr>
            <w:r w:rsidRPr="008C49B7">
              <w:rPr>
                <w:rFonts w:ascii="Times New Roman" w:hAnsi="Times New Roman" w:cs="Times New Roman"/>
                <w:color w:val="000000"/>
                <w:sz w:val="18"/>
                <w:szCs w:val="18"/>
              </w:rPr>
              <w:t>Total</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28332" w14:textId="77777777" w:rsidR="00273CFE" w:rsidRPr="008C49B7" w:rsidRDefault="002349C6" w:rsidP="008C49B7">
            <w:pPr>
              <w:pStyle w:val="a3"/>
              <w:snapToGrid w:val="0"/>
              <w:spacing w:before="0" w:beforeAutospacing="0" w:after="0" w:afterAutospacing="0"/>
              <w:jc w:val="right"/>
              <w:rPr>
                <w:rFonts w:ascii="Times New Roman" w:eastAsia="等线" w:hAnsi="Times New Roman" w:cs="Times New Roman"/>
                <w:sz w:val="18"/>
                <w:szCs w:val="18"/>
              </w:rPr>
            </w:pPr>
            <w:r w:rsidRPr="008C49B7">
              <w:rPr>
                <w:rFonts w:ascii="Times New Roman" w:hAnsi="Times New Roman" w:cs="Times New Roman"/>
                <w:color w:val="000000"/>
                <w:sz w:val="18"/>
                <w:szCs w:val="18"/>
              </w:rPr>
              <w:t xml:space="preserve">         293,177,639.65 </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FE629" w14:textId="77777777" w:rsidR="00273CFE" w:rsidRPr="008C49B7" w:rsidRDefault="002349C6" w:rsidP="008C49B7">
            <w:pPr>
              <w:pStyle w:val="a3"/>
              <w:snapToGrid w:val="0"/>
              <w:spacing w:before="0" w:beforeAutospacing="0" w:after="0" w:afterAutospacing="0"/>
              <w:rPr>
                <w:rFonts w:ascii="Times New Roman" w:eastAsia="等线" w:hAnsi="Times New Roman" w:cs="Times New Roman"/>
                <w:sz w:val="18"/>
                <w:szCs w:val="18"/>
              </w:rPr>
            </w:pPr>
            <w:r w:rsidRPr="008C49B7">
              <w:rPr>
                <w:rFonts w:ascii="Times New Roman" w:eastAsia="等线" w:hAnsi="Times New Roman" w:cs="Times New Roman"/>
                <w:color w:val="000000"/>
                <w:sz w:val="18"/>
                <w:szCs w:val="18"/>
              </w:rPr>
              <w:t xml:space="preserve">　</w:t>
            </w:r>
          </w:p>
        </w:tc>
      </w:tr>
    </w:tbl>
    <w:p w14:paraId="0C152290" w14:textId="77777777" w:rsidR="00273CFE" w:rsidRPr="00F73301" w:rsidRDefault="00273CFE" w:rsidP="00A9288A">
      <w:pPr>
        <w:snapToGrid w:val="0"/>
        <w:spacing w:beforeLines="50" w:before="156" w:afterLines="50" w:after="156"/>
        <w:jc w:val="both"/>
        <w:divId w:val="1062827584"/>
        <w:rPr>
          <w:rFonts w:ascii="Times New Roman" w:hAnsi="Times New Roman" w:cs="Times New Roman"/>
          <w:sz w:val="24"/>
          <w:szCs w:val="24"/>
        </w:rPr>
      </w:pPr>
    </w:p>
    <w:p w14:paraId="21DBB6B2" w14:textId="77777777" w:rsidR="006B66B7" w:rsidRPr="00F73301" w:rsidRDefault="002349C6" w:rsidP="00A9288A">
      <w:pPr>
        <w:pStyle w:val="2"/>
      </w:pPr>
      <w:bookmarkStart w:id="24" w:name="_Toc988912"/>
      <w:r w:rsidRPr="00F73301">
        <w:t>VI. Analysis of Investment</w:t>
      </w:r>
      <w:bookmarkEnd w:id="24"/>
    </w:p>
    <w:p w14:paraId="04FC8FFA" w14:textId="77777777" w:rsidR="006B66B7" w:rsidRPr="00F73301" w:rsidRDefault="002349C6" w:rsidP="00A9288A">
      <w:pPr>
        <w:pStyle w:val="3"/>
      </w:pPr>
      <w:bookmarkStart w:id="25" w:name="_Toc988913"/>
      <w:r w:rsidRPr="00F73301">
        <w:t>1. Overall status</w:t>
      </w:r>
      <w:bookmarkEnd w:id="25"/>
    </w:p>
    <w:p w14:paraId="682C1DF8"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6B66B7" w:rsidRPr="008C49B7" w14:paraId="174F1FC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869D1D"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Investment amount in the Reporting Period (RMB)</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46628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Investment amount in the same period of the Previous Year (RMB)</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40001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Change</w:t>
            </w:r>
          </w:p>
        </w:tc>
      </w:tr>
      <w:tr w:rsidR="006B66B7" w:rsidRPr="008C49B7" w14:paraId="79FDEB3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184124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332,390,331.94</w:t>
            </w:r>
          </w:p>
        </w:tc>
        <w:tc>
          <w:tcPr>
            <w:tcW w:w="3213" w:type="dxa"/>
            <w:tcBorders>
              <w:top w:val="single" w:sz="2" w:space="0" w:color="auto"/>
              <w:left w:val="single" w:sz="2" w:space="0" w:color="auto"/>
              <w:bottom w:val="single" w:sz="2" w:space="0" w:color="auto"/>
              <w:right w:val="single" w:sz="2" w:space="0" w:color="auto"/>
            </w:tcBorders>
            <w:vAlign w:val="center"/>
          </w:tcPr>
          <w:p w14:paraId="52BF067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1,298,728,138.00</w:t>
            </w:r>
          </w:p>
        </w:tc>
        <w:tc>
          <w:tcPr>
            <w:tcW w:w="3213" w:type="dxa"/>
            <w:tcBorders>
              <w:top w:val="single" w:sz="2" w:space="0" w:color="auto"/>
              <w:left w:val="single" w:sz="2" w:space="0" w:color="auto"/>
              <w:bottom w:val="single" w:sz="2" w:space="0" w:color="auto"/>
              <w:right w:val="single" w:sz="2" w:space="0" w:color="auto"/>
            </w:tcBorders>
            <w:vAlign w:val="center"/>
          </w:tcPr>
          <w:p w14:paraId="0567CBB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-74.41%</w:t>
            </w:r>
          </w:p>
        </w:tc>
      </w:tr>
    </w:tbl>
    <w:p w14:paraId="1D357360" w14:textId="77777777" w:rsidR="006B66B7" w:rsidRPr="00F73301" w:rsidRDefault="002349C6" w:rsidP="00A9288A">
      <w:pPr>
        <w:pStyle w:val="3"/>
      </w:pPr>
      <w:bookmarkStart w:id="26" w:name="_Toc988914"/>
      <w:r w:rsidRPr="00F73301">
        <w:t>2. Material equity investments acquired during the Reporting Period</w:t>
      </w:r>
      <w:bookmarkEnd w:id="26"/>
    </w:p>
    <w:p w14:paraId="2697EDFD"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2D91BAA9"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1152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000" w:firstRow="0" w:lastRow="0" w:firstColumn="0" w:lastColumn="0" w:noHBand="0" w:noVBand="0"/>
      </w:tblPr>
      <w:tblGrid>
        <w:gridCol w:w="935"/>
        <w:gridCol w:w="934"/>
        <w:gridCol w:w="751"/>
        <w:gridCol w:w="705"/>
        <w:gridCol w:w="705"/>
        <w:gridCol w:w="705"/>
        <w:gridCol w:w="706"/>
        <w:gridCol w:w="706"/>
        <w:gridCol w:w="706"/>
        <w:gridCol w:w="706"/>
        <w:gridCol w:w="706"/>
        <w:gridCol w:w="706"/>
        <w:gridCol w:w="706"/>
        <w:gridCol w:w="706"/>
        <w:gridCol w:w="1137"/>
      </w:tblGrid>
      <w:tr w:rsidR="00A9288A" w:rsidRPr="00A9288A" w14:paraId="6751DCE9" w14:textId="77777777" w:rsidTr="00A9288A">
        <w:trPr>
          <w:jc w:val="center"/>
        </w:trPr>
        <w:tc>
          <w:tcPr>
            <w:tcW w:w="935" w:type="dxa"/>
            <w:tcBorders>
              <w:top w:val="single" w:sz="2" w:space="0" w:color="auto"/>
              <w:left w:val="single" w:sz="2" w:space="0" w:color="auto"/>
              <w:bottom w:val="single" w:sz="2" w:space="0" w:color="auto"/>
              <w:right w:val="single" w:sz="2" w:space="0" w:color="auto"/>
            </w:tcBorders>
            <w:shd w:val="clear" w:color="auto" w:fill="D3D3D3"/>
            <w:vAlign w:val="center"/>
          </w:tcPr>
          <w:p w14:paraId="4AB29E44"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Name of investee corporation</w:t>
            </w:r>
          </w:p>
        </w:tc>
        <w:tc>
          <w:tcPr>
            <w:tcW w:w="934" w:type="dxa"/>
            <w:tcBorders>
              <w:top w:val="single" w:sz="2" w:space="0" w:color="auto"/>
              <w:left w:val="single" w:sz="2" w:space="0" w:color="auto"/>
              <w:bottom w:val="single" w:sz="2" w:space="0" w:color="auto"/>
              <w:right w:val="single" w:sz="2" w:space="0" w:color="auto"/>
            </w:tcBorders>
            <w:shd w:val="clear" w:color="auto" w:fill="D3D3D3"/>
            <w:vAlign w:val="center"/>
          </w:tcPr>
          <w:p w14:paraId="416E6B5F"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Principal business</w:t>
            </w:r>
          </w:p>
        </w:tc>
        <w:tc>
          <w:tcPr>
            <w:tcW w:w="751" w:type="dxa"/>
            <w:tcBorders>
              <w:top w:val="single" w:sz="2" w:space="0" w:color="auto"/>
              <w:left w:val="single" w:sz="2" w:space="0" w:color="auto"/>
              <w:bottom w:val="single" w:sz="2" w:space="0" w:color="auto"/>
              <w:right w:val="single" w:sz="2" w:space="0" w:color="auto"/>
            </w:tcBorders>
            <w:shd w:val="clear" w:color="auto" w:fill="D3D3D3"/>
            <w:vAlign w:val="center"/>
          </w:tcPr>
          <w:p w14:paraId="4419FF17"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Investment method</w:t>
            </w:r>
          </w:p>
        </w:tc>
        <w:tc>
          <w:tcPr>
            <w:tcW w:w="705" w:type="dxa"/>
            <w:tcBorders>
              <w:top w:val="single" w:sz="2" w:space="0" w:color="auto"/>
              <w:left w:val="single" w:sz="2" w:space="0" w:color="auto"/>
              <w:bottom w:val="single" w:sz="2" w:space="0" w:color="auto"/>
              <w:right w:val="single" w:sz="2" w:space="0" w:color="auto"/>
            </w:tcBorders>
            <w:shd w:val="clear" w:color="auto" w:fill="D3D3D3"/>
            <w:vAlign w:val="center"/>
          </w:tcPr>
          <w:p w14:paraId="345BFE8E"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Investment amount</w:t>
            </w:r>
          </w:p>
        </w:tc>
        <w:tc>
          <w:tcPr>
            <w:tcW w:w="705" w:type="dxa"/>
            <w:tcBorders>
              <w:top w:val="single" w:sz="2" w:space="0" w:color="auto"/>
              <w:left w:val="single" w:sz="2" w:space="0" w:color="auto"/>
              <w:bottom w:val="single" w:sz="2" w:space="0" w:color="auto"/>
              <w:right w:val="single" w:sz="2" w:space="0" w:color="auto"/>
            </w:tcBorders>
            <w:shd w:val="clear" w:color="auto" w:fill="D3D3D3"/>
            <w:vAlign w:val="center"/>
          </w:tcPr>
          <w:p w14:paraId="48416853"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Shareholding ratio (%)</w:t>
            </w:r>
          </w:p>
        </w:tc>
        <w:tc>
          <w:tcPr>
            <w:tcW w:w="705" w:type="dxa"/>
            <w:tcBorders>
              <w:top w:val="single" w:sz="2" w:space="0" w:color="auto"/>
              <w:left w:val="single" w:sz="2" w:space="0" w:color="auto"/>
              <w:bottom w:val="single" w:sz="2" w:space="0" w:color="auto"/>
              <w:right w:val="single" w:sz="2" w:space="0" w:color="auto"/>
            </w:tcBorders>
            <w:shd w:val="clear" w:color="auto" w:fill="D3D3D3"/>
            <w:vAlign w:val="center"/>
          </w:tcPr>
          <w:p w14:paraId="104C10B9"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Source of fund</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512A3125"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Partners</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5AAC2B29"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Investment period</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1A00B21E"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Product type</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27BDE3CB"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Progress as at the balance sheet date</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3AD8B3BF"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Expected gains</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2674676D"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Gains and losses on investments for the Reporting Period</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5AB08D8C"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Whether involved in any legal actions</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4233229B"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Date of disclosure (if any)</w:t>
            </w:r>
          </w:p>
        </w:tc>
        <w:tc>
          <w:tcPr>
            <w:tcW w:w="1137" w:type="dxa"/>
            <w:tcBorders>
              <w:top w:val="single" w:sz="2" w:space="0" w:color="auto"/>
              <w:left w:val="single" w:sz="2" w:space="0" w:color="auto"/>
              <w:bottom w:val="single" w:sz="2" w:space="0" w:color="auto"/>
              <w:right w:val="single" w:sz="2" w:space="0" w:color="auto"/>
            </w:tcBorders>
            <w:shd w:val="clear" w:color="auto" w:fill="D3D3D3"/>
            <w:vAlign w:val="center"/>
          </w:tcPr>
          <w:p w14:paraId="3EC3599E"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Disclosure index (if any)</w:t>
            </w:r>
          </w:p>
        </w:tc>
      </w:tr>
      <w:tr w:rsidR="00A9288A" w:rsidRPr="00A9288A" w14:paraId="29FE936C" w14:textId="77777777" w:rsidTr="00A9288A">
        <w:trPr>
          <w:jc w:val="center"/>
        </w:trPr>
        <w:tc>
          <w:tcPr>
            <w:tcW w:w="935" w:type="dxa"/>
            <w:tcBorders>
              <w:top w:val="single" w:sz="2" w:space="0" w:color="auto"/>
              <w:left w:val="single" w:sz="2" w:space="0" w:color="auto"/>
              <w:bottom w:val="single" w:sz="2" w:space="0" w:color="auto"/>
              <w:right w:val="single" w:sz="2" w:space="0" w:color="auto"/>
            </w:tcBorders>
            <w:vAlign w:val="center"/>
          </w:tcPr>
          <w:p w14:paraId="4A94C0AB" w14:textId="2DE22ACA" w:rsidR="006B66B7" w:rsidRPr="00A9288A" w:rsidRDefault="002349C6" w:rsidP="00C73F50">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 xml:space="preserve">Hunan </w:t>
            </w:r>
            <w:proofErr w:type="spellStart"/>
            <w:r w:rsidR="00C73F50">
              <w:rPr>
                <w:rFonts w:ascii="Times New Roman" w:eastAsia="宋体" w:hAnsi="Times New Roman" w:cs="Times New Roman"/>
                <w:sz w:val="13"/>
                <w:szCs w:val="13"/>
              </w:rPr>
              <w:t>Jiec</w:t>
            </w:r>
            <w:r w:rsidRPr="00A9288A">
              <w:rPr>
                <w:rFonts w:ascii="Times New Roman" w:eastAsia="宋体" w:hAnsi="Times New Roman" w:cs="Times New Roman"/>
                <w:sz w:val="13"/>
                <w:szCs w:val="13"/>
              </w:rPr>
              <w:t>huwei</w:t>
            </w:r>
            <w:proofErr w:type="spellEnd"/>
            <w:r w:rsidRPr="00A9288A">
              <w:rPr>
                <w:rFonts w:ascii="Times New Roman" w:eastAsia="宋体" w:hAnsi="Times New Roman" w:cs="Times New Roman"/>
                <w:sz w:val="13"/>
                <w:szCs w:val="13"/>
              </w:rPr>
              <w:t xml:space="preserve"> Semiconductor Technology Co., Ltd.</w:t>
            </w:r>
          </w:p>
        </w:tc>
        <w:tc>
          <w:tcPr>
            <w:tcW w:w="934" w:type="dxa"/>
            <w:tcBorders>
              <w:top w:val="single" w:sz="2" w:space="0" w:color="auto"/>
              <w:left w:val="single" w:sz="2" w:space="0" w:color="auto"/>
              <w:bottom w:val="single" w:sz="2" w:space="0" w:color="auto"/>
              <w:right w:val="single" w:sz="2" w:space="0" w:color="auto"/>
            </w:tcBorders>
            <w:vAlign w:val="center"/>
          </w:tcPr>
          <w:p w14:paraId="47B03AC9" w14:textId="77777777" w:rsidR="006B66B7" w:rsidRPr="00A9288A" w:rsidRDefault="002349C6" w:rsidP="008C49B7">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Research on semiconductor process equipment and promotion of the development of electronics technology; research and development of semiconductor microfabrication equipment; research and development of semiconductor thermal equipment; research and development of semiconductor component equipment; research and development of semiconductor furnaces and sensors</w:t>
            </w:r>
          </w:p>
        </w:tc>
        <w:tc>
          <w:tcPr>
            <w:tcW w:w="751" w:type="dxa"/>
            <w:tcBorders>
              <w:top w:val="single" w:sz="2" w:space="0" w:color="auto"/>
              <w:left w:val="single" w:sz="2" w:space="0" w:color="auto"/>
              <w:bottom w:val="single" w:sz="2" w:space="0" w:color="auto"/>
              <w:right w:val="single" w:sz="2" w:space="0" w:color="auto"/>
            </w:tcBorders>
            <w:vAlign w:val="center"/>
          </w:tcPr>
          <w:p w14:paraId="4ECC029E" w14:textId="77777777" w:rsidR="006B66B7" w:rsidRPr="00A9288A" w:rsidRDefault="002349C6" w:rsidP="008C49B7">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Acquisition</w:t>
            </w:r>
          </w:p>
        </w:tc>
        <w:tc>
          <w:tcPr>
            <w:tcW w:w="705" w:type="dxa"/>
            <w:tcBorders>
              <w:top w:val="single" w:sz="2" w:space="0" w:color="auto"/>
              <w:left w:val="single" w:sz="2" w:space="0" w:color="auto"/>
              <w:bottom w:val="single" w:sz="2" w:space="0" w:color="auto"/>
              <w:right w:val="single" w:sz="2" w:space="0" w:color="auto"/>
            </w:tcBorders>
            <w:vAlign w:val="center"/>
          </w:tcPr>
          <w:p w14:paraId="038D39D3" w14:textId="77777777" w:rsidR="006B66B7" w:rsidRPr="00A9288A" w:rsidRDefault="002349C6" w:rsidP="008C49B7">
            <w:pPr>
              <w:snapToGrid w:val="0"/>
              <w:jc w:val="right"/>
              <w:rPr>
                <w:rFonts w:ascii="Times New Roman" w:eastAsia="宋体" w:hAnsi="Times New Roman" w:cs="Times New Roman"/>
                <w:sz w:val="13"/>
                <w:szCs w:val="13"/>
              </w:rPr>
            </w:pPr>
            <w:r w:rsidRPr="00A9288A">
              <w:rPr>
                <w:rFonts w:ascii="Times New Roman" w:eastAsia="宋体" w:hAnsi="Times New Roman" w:cs="Times New Roman"/>
                <w:sz w:val="13"/>
                <w:szCs w:val="13"/>
              </w:rPr>
              <w:t>668,760,000.00</w:t>
            </w:r>
          </w:p>
        </w:tc>
        <w:tc>
          <w:tcPr>
            <w:tcW w:w="705" w:type="dxa"/>
            <w:tcBorders>
              <w:top w:val="single" w:sz="2" w:space="0" w:color="auto"/>
              <w:left w:val="single" w:sz="2" w:space="0" w:color="auto"/>
              <w:bottom w:val="single" w:sz="2" w:space="0" w:color="auto"/>
              <w:right w:val="single" w:sz="2" w:space="0" w:color="auto"/>
            </w:tcBorders>
            <w:vAlign w:val="center"/>
          </w:tcPr>
          <w:p w14:paraId="5BEFFFA2" w14:textId="77777777" w:rsidR="006B66B7" w:rsidRPr="00A9288A" w:rsidRDefault="002349C6" w:rsidP="008C49B7">
            <w:pPr>
              <w:snapToGrid w:val="0"/>
              <w:jc w:val="right"/>
              <w:rPr>
                <w:rFonts w:ascii="Times New Roman" w:eastAsia="宋体" w:hAnsi="Times New Roman" w:cs="Times New Roman"/>
                <w:sz w:val="13"/>
                <w:szCs w:val="13"/>
              </w:rPr>
            </w:pPr>
            <w:r w:rsidRPr="00A9288A">
              <w:rPr>
                <w:rFonts w:ascii="Times New Roman" w:eastAsia="宋体" w:hAnsi="Times New Roman" w:cs="Times New Roman"/>
                <w:sz w:val="13"/>
                <w:szCs w:val="13"/>
              </w:rPr>
              <w:t>70.00%</w:t>
            </w:r>
          </w:p>
        </w:tc>
        <w:tc>
          <w:tcPr>
            <w:tcW w:w="705" w:type="dxa"/>
            <w:tcBorders>
              <w:top w:val="single" w:sz="2" w:space="0" w:color="auto"/>
              <w:left w:val="single" w:sz="2" w:space="0" w:color="auto"/>
              <w:bottom w:val="single" w:sz="2" w:space="0" w:color="auto"/>
              <w:right w:val="single" w:sz="2" w:space="0" w:color="auto"/>
            </w:tcBorders>
            <w:vAlign w:val="center"/>
          </w:tcPr>
          <w:p w14:paraId="212EDB98" w14:textId="77777777" w:rsidR="006B66B7" w:rsidRPr="00A9288A" w:rsidRDefault="002349C6" w:rsidP="008C49B7">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Equity fund</w:t>
            </w:r>
          </w:p>
        </w:tc>
        <w:tc>
          <w:tcPr>
            <w:tcW w:w="706" w:type="dxa"/>
            <w:tcBorders>
              <w:top w:val="single" w:sz="2" w:space="0" w:color="auto"/>
              <w:left w:val="single" w:sz="2" w:space="0" w:color="auto"/>
              <w:bottom w:val="single" w:sz="2" w:space="0" w:color="auto"/>
              <w:right w:val="single" w:sz="2" w:space="0" w:color="auto"/>
            </w:tcBorders>
            <w:vAlign w:val="center"/>
          </w:tcPr>
          <w:p w14:paraId="1DAB25B8" w14:textId="77777777" w:rsidR="006B66B7" w:rsidRPr="00A9288A" w:rsidRDefault="002349C6" w:rsidP="008C49B7">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The 48th Research Institute of China Electronics Technology Group Corporation and Hunan Hi-tech Investment Group</w:t>
            </w:r>
          </w:p>
        </w:tc>
        <w:tc>
          <w:tcPr>
            <w:tcW w:w="706" w:type="dxa"/>
            <w:tcBorders>
              <w:top w:val="single" w:sz="2" w:space="0" w:color="auto"/>
              <w:left w:val="single" w:sz="2" w:space="0" w:color="auto"/>
              <w:bottom w:val="single" w:sz="2" w:space="0" w:color="auto"/>
              <w:right w:val="single" w:sz="2" w:space="0" w:color="auto"/>
            </w:tcBorders>
            <w:vAlign w:val="center"/>
          </w:tcPr>
          <w:p w14:paraId="49D2D2F8" w14:textId="77777777" w:rsidR="006B66B7" w:rsidRPr="00A9288A" w:rsidRDefault="002349C6" w:rsidP="008C49B7">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Long-term</w:t>
            </w:r>
          </w:p>
        </w:tc>
        <w:tc>
          <w:tcPr>
            <w:tcW w:w="706" w:type="dxa"/>
            <w:tcBorders>
              <w:top w:val="single" w:sz="2" w:space="0" w:color="auto"/>
              <w:left w:val="single" w:sz="2" w:space="0" w:color="auto"/>
              <w:bottom w:val="single" w:sz="2" w:space="0" w:color="auto"/>
              <w:right w:val="single" w:sz="2" w:space="0" w:color="auto"/>
            </w:tcBorders>
            <w:vAlign w:val="center"/>
          </w:tcPr>
          <w:p w14:paraId="37F446BE" w14:textId="77777777" w:rsidR="006B66B7" w:rsidRPr="00A9288A" w:rsidRDefault="002349C6" w:rsidP="008C49B7">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Semiconductor wafer manufacturing and services</w:t>
            </w:r>
          </w:p>
        </w:tc>
        <w:tc>
          <w:tcPr>
            <w:tcW w:w="706" w:type="dxa"/>
            <w:tcBorders>
              <w:top w:val="single" w:sz="2" w:space="0" w:color="auto"/>
              <w:left w:val="single" w:sz="2" w:space="0" w:color="auto"/>
              <w:bottom w:val="single" w:sz="2" w:space="0" w:color="auto"/>
              <w:right w:val="single" w:sz="2" w:space="0" w:color="auto"/>
            </w:tcBorders>
            <w:vAlign w:val="center"/>
          </w:tcPr>
          <w:p w14:paraId="314AA7EA" w14:textId="1DD4C3EE" w:rsidR="006B66B7" w:rsidRPr="00A9288A" w:rsidRDefault="002349C6" w:rsidP="00750EEC">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 xml:space="preserve">The Company acquired 30% equity interest in Hunan </w:t>
            </w:r>
            <w:proofErr w:type="spellStart"/>
            <w:r w:rsidRPr="00A9288A">
              <w:rPr>
                <w:rFonts w:ascii="Times New Roman" w:eastAsia="宋体" w:hAnsi="Times New Roman" w:cs="Times New Roman"/>
                <w:sz w:val="13"/>
                <w:szCs w:val="13"/>
              </w:rPr>
              <w:t>Chuwei</w:t>
            </w:r>
            <w:proofErr w:type="spellEnd"/>
            <w:r w:rsidRPr="00A9288A">
              <w:rPr>
                <w:rFonts w:ascii="Times New Roman" w:eastAsia="宋体" w:hAnsi="Times New Roman" w:cs="Times New Roman"/>
                <w:sz w:val="13"/>
                <w:szCs w:val="13"/>
              </w:rPr>
              <w:t xml:space="preserve"> by public delisting, to increase the cumulative equity interest to 70%.</w:t>
            </w:r>
          </w:p>
        </w:tc>
        <w:tc>
          <w:tcPr>
            <w:tcW w:w="706" w:type="dxa"/>
            <w:tcBorders>
              <w:top w:val="single" w:sz="2" w:space="0" w:color="auto"/>
              <w:left w:val="single" w:sz="2" w:space="0" w:color="auto"/>
              <w:bottom w:val="single" w:sz="2" w:space="0" w:color="auto"/>
              <w:right w:val="single" w:sz="2" w:space="0" w:color="auto"/>
            </w:tcBorders>
            <w:vAlign w:val="center"/>
          </w:tcPr>
          <w:p w14:paraId="18187B06" w14:textId="77777777" w:rsidR="006B66B7" w:rsidRPr="00A9288A" w:rsidRDefault="002349C6" w:rsidP="008C49B7">
            <w:pPr>
              <w:snapToGrid w:val="0"/>
              <w:jc w:val="right"/>
              <w:rPr>
                <w:rFonts w:ascii="Times New Roman" w:eastAsia="宋体" w:hAnsi="Times New Roman" w:cs="Times New Roman"/>
                <w:sz w:val="13"/>
                <w:szCs w:val="13"/>
              </w:rPr>
            </w:pPr>
            <w:r w:rsidRPr="00A9288A">
              <w:rPr>
                <w:rFonts w:ascii="Times New Roman" w:eastAsia="宋体" w:hAnsi="Times New Roman" w:cs="Times New Roman"/>
                <w:sz w:val="13"/>
                <w:szCs w:val="13"/>
              </w:rPr>
              <w:t>0.00</w:t>
            </w:r>
          </w:p>
        </w:tc>
        <w:tc>
          <w:tcPr>
            <w:tcW w:w="706" w:type="dxa"/>
            <w:tcBorders>
              <w:top w:val="single" w:sz="2" w:space="0" w:color="auto"/>
              <w:left w:val="single" w:sz="2" w:space="0" w:color="auto"/>
              <w:bottom w:val="single" w:sz="2" w:space="0" w:color="auto"/>
              <w:right w:val="single" w:sz="2" w:space="0" w:color="auto"/>
            </w:tcBorders>
            <w:vAlign w:val="center"/>
          </w:tcPr>
          <w:p w14:paraId="7E3465CD" w14:textId="77777777" w:rsidR="006B66B7" w:rsidRPr="00A9288A" w:rsidRDefault="002349C6" w:rsidP="008C49B7">
            <w:pPr>
              <w:snapToGrid w:val="0"/>
              <w:jc w:val="right"/>
              <w:rPr>
                <w:rFonts w:ascii="Times New Roman" w:eastAsia="宋体" w:hAnsi="Times New Roman" w:cs="Times New Roman"/>
                <w:sz w:val="13"/>
                <w:szCs w:val="13"/>
              </w:rPr>
            </w:pPr>
            <w:r w:rsidRPr="00A9288A">
              <w:rPr>
                <w:rFonts w:ascii="Times New Roman" w:eastAsia="宋体" w:hAnsi="Times New Roman" w:cs="Times New Roman"/>
                <w:sz w:val="13"/>
                <w:szCs w:val="13"/>
              </w:rPr>
              <w:t>22,103,901.96</w:t>
            </w:r>
          </w:p>
        </w:tc>
        <w:tc>
          <w:tcPr>
            <w:tcW w:w="706" w:type="dxa"/>
            <w:tcBorders>
              <w:top w:val="single" w:sz="2" w:space="0" w:color="auto"/>
              <w:left w:val="single" w:sz="2" w:space="0" w:color="auto"/>
              <w:bottom w:val="single" w:sz="2" w:space="0" w:color="auto"/>
              <w:right w:val="single" w:sz="2" w:space="0" w:color="auto"/>
            </w:tcBorders>
            <w:vAlign w:val="center"/>
          </w:tcPr>
          <w:p w14:paraId="3B325465" w14:textId="77777777" w:rsidR="006B66B7" w:rsidRPr="00A9288A" w:rsidRDefault="002349C6" w:rsidP="008C49B7">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No</w:t>
            </w:r>
          </w:p>
        </w:tc>
        <w:tc>
          <w:tcPr>
            <w:tcW w:w="706" w:type="dxa"/>
            <w:tcBorders>
              <w:top w:val="single" w:sz="2" w:space="0" w:color="auto"/>
              <w:left w:val="single" w:sz="2" w:space="0" w:color="auto"/>
              <w:bottom w:val="single" w:sz="2" w:space="0" w:color="auto"/>
              <w:right w:val="single" w:sz="2" w:space="0" w:color="auto"/>
            </w:tcBorders>
            <w:vAlign w:val="center"/>
          </w:tcPr>
          <w:p w14:paraId="14DC8853" w14:textId="6B33C8F3" w:rsidR="006B66B7" w:rsidRPr="00A9288A" w:rsidRDefault="005158F1" w:rsidP="008C49B7">
            <w:pPr>
              <w:snapToGrid w:val="0"/>
              <w:rPr>
                <w:rFonts w:ascii="Times New Roman" w:eastAsia="宋体" w:hAnsi="Times New Roman" w:cs="Times New Roman"/>
                <w:sz w:val="13"/>
                <w:szCs w:val="13"/>
              </w:rPr>
            </w:pPr>
            <w:r>
              <w:rPr>
                <w:rFonts w:ascii="Times New Roman" w:eastAsia="宋体" w:hAnsi="Times New Roman" w:cs="Times New Roman" w:hint="eastAsia"/>
                <w:sz w:val="13"/>
                <w:szCs w:val="13"/>
              </w:rPr>
              <w:t>February</w:t>
            </w:r>
            <w:r>
              <w:rPr>
                <w:rFonts w:ascii="Times New Roman" w:eastAsia="宋体" w:hAnsi="Times New Roman" w:cs="Times New Roman"/>
                <w:sz w:val="13"/>
                <w:szCs w:val="13"/>
              </w:rPr>
              <w:t xml:space="preserve"> 18, 2023</w:t>
            </w:r>
          </w:p>
        </w:tc>
        <w:tc>
          <w:tcPr>
            <w:tcW w:w="1137" w:type="dxa"/>
            <w:tcBorders>
              <w:top w:val="single" w:sz="2" w:space="0" w:color="auto"/>
              <w:left w:val="single" w:sz="2" w:space="0" w:color="auto"/>
              <w:bottom w:val="single" w:sz="2" w:space="0" w:color="auto"/>
              <w:right w:val="single" w:sz="2" w:space="0" w:color="auto"/>
            </w:tcBorders>
            <w:vAlign w:val="center"/>
          </w:tcPr>
          <w:p w14:paraId="6B66A5A0" w14:textId="76A1A258" w:rsidR="006B66B7" w:rsidRPr="00A9288A" w:rsidRDefault="002349C6" w:rsidP="008C49B7">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 xml:space="preserve">For details, see the Announcement </w:t>
            </w:r>
            <w:r w:rsidR="002071BC" w:rsidRPr="002071BC">
              <w:rPr>
                <w:rFonts w:ascii="Times New Roman" w:eastAsia="宋体" w:hAnsi="Times New Roman" w:cs="Times New Roman"/>
                <w:sz w:val="13"/>
                <w:szCs w:val="13"/>
              </w:rPr>
              <w:t xml:space="preserve">on Acquiring 30% Equity Interest in Hunan </w:t>
            </w:r>
            <w:proofErr w:type="spellStart"/>
            <w:r w:rsidR="002071BC" w:rsidRPr="002071BC">
              <w:rPr>
                <w:rFonts w:ascii="Times New Roman" w:eastAsia="宋体" w:hAnsi="Times New Roman" w:cs="Times New Roman"/>
                <w:sz w:val="13"/>
                <w:szCs w:val="13"/>
              </w:rPr>
              <w:t>Chuwei</w:t>
            </w:r>
            <w:proofErr w:type="spellEnd"/>
            <w:r w:rsidR="002071BC" w:rsidRPr="002071BC">
              <w:rPr>
                <w:rFonts w:ascii="Times New Roman" w:eastAsia="宋体" w:hAnsi="Times New Roman" w:cs="Times New Roman"/>
                <w:sz w:val="13"/>
                <w:szCs w:val="13"/>
              </w:rPr>
              <w:t xml:space="preserve"> Semiconductor Technology Co., Ltd. through Public Delisting</w:t>
            </w:r>
            <w:r w:rsidRPr="00A9288A">
              <w:rPr>
                <w:rFonts w:ascii="Times New Roman" w:eastAsia="宋体" w:hAnsi="Times New Roman" w:cs="Times New Roman"/>
                <w:sz w:val="13"/>
                <w:szCs w:val="13"/>
              </w:rPr>
              <w:t xml:space="preserve"> (Announcement No.: 2023-</w:t>
            </w:r>
            <w:r w:rsidR="002071BC">
              <w:rPr>
                <w:rFonts w:ascii="Times New Roman" w:eastAsia="宋体" w:hAnsi="Times New Roman" w:cs="Times New Roman"/>
                <w:sz w:val="13"/>
                <w:szCs w:val="13"/>
              </w:rPr>
              <w:t>004</w:t>
            </w:r>
            <w:r w:rsidRPr="00A9288A">
              <w:rPr>
                <w:rFonts w:ascii="Times New Roman" w:eastAsia="宋体" w:hAnsi="Times New Roman" w:cs="Times New Roman"/>
                <w:sz w:val="13"/>
                <w:szCs w:val="13"/>
              </w:rPr>
              <w:t xml:space="preserve">) released by the Company on </w:t>
            </w:r>
            <w:r w:rsidR="002071BC">
              <w:rPr>
                <w:rFonts w:ascii="Times New Roman" w:eastAsia="宋体" w:hAnsi="Times New Roman" w:cs="Times New Roman" w:hint="eastAsia"/>
                <w:sz w:val="13"/>
                <w:szCs w:val="13"/>
              </w:rPr>
              <w:t>February</w:t>
            </w:r>
            <w:r w:rsidR="002071BC">
              <w:rPr>
                <w:rFonts w:ascii="Times New Roman" w:eastAsia="宋体" w:hAnsi="Times New Roman" w:cs="Times New Roman"/>
                <w:sz w:val="13"/>
                <w:szCs w:val="13"/>
              </w:rPr>
              <w:t xml:space="preserve"> 18, 2023</w:t>
            </w:r>
            <w:r w:rsidRPr="00A9288A">
              <w:rPr>
                <w:rFonts w:ascii="Times New Roman" w:eastAsia="宋体" w:hAnsi="Times New Roman" w:cs="Times New Roman"/>
                <w:sz w:val="13"/>
                <w:szCs w:val="13"/>
              </w:rPr>
              <w:t>, on www.cninfo.com.cn.</w:t>
            </w:r>
          </w:p>
          <w:p w14:paraId="5BECE448" w14:textId="77777777" w:rsidR="006B66B7" w:rsidRPr="00A9288A" w:rsidRDefault="006B66B7" w:rsidP="008C49B7">
            <w:pPr>
              <w:snapToGrid w:val="0"/>
              <w:rPr>
                <w:rFonts w:ascii="Times New Roman" w:eastAsia="宋体" w:hAnsi="Times New Roman" w:cs="Times New Roman"/>
                <w:sz w:val="13"/>
                <w:szCs w:val="13"/>
              </w:rPr>
            </w:pPr>
          </w:p>
        </w:tc>
      </w:tr>
      <w:tr w:rsidR="00A9288A" w:rsidRPr="00A9288A" w14:paraId="0570D810" w14:textId="77777777" w:rsidTr="00A9288A">
        <w:trPr>
          <w:jc w:val="center"/>
        </w:trPr>
        <w:tc>
          <w:tcPr>
            <w:tcW w:w="935" w:type="dxa"/>
            <w:tcBorders>
              <w:top w:val="single" w:sz="2" w:space="0" w:color="auto"/>
              <w:left w:val="single" w:sz="2" w:space="0" w:color="auto"/>
              <w:bottom w:val="single" w:sz="2" w:space="0" w:color="auto"/>
              <w:right w:val="single" w:sz="2" w:space="0" w:color="auto"/>
            </w:tcBorders>
            <w:shd w:val="clear" w:color="auto" w:fill="D3D3D3"/>
            <w:vAlign w:val="center"/>
          </w:tcPr>
          <w:p w14:paraId="266A53FA" w14:textId="77777777" w:rsidR="006B66B7" w:rsidRPr="00A9288A" w:rsidRDefault="002349C6" w:rsidP="008C49B7">
            <w:pPr>
              <w:snapToGrid w:val="0"/>
              <w:rPr>
                <w:rFonts w:ascii="Times New Roman" w:eastAsia="宋体" w:hAnsi="Times New Roman" w:cs="Times New Roman"/>
                <w:sz w:val="13"/>
                <w:szCs w:val="13"/>
              </w:rPr>
            </w:pPr>
            <w:r w:rsidRPr="00A9288A">
              <w:rPr>
                <w:rFonts w:ascii="Times New Roman" w:eastAsia="宋体" w:hAnsi="Times New Roman" w:cs="Times New Roman"/>
                <w:sz w:val="13"/>
                <w:szCs w:val="13"/>
              </w:rPr>
              <w:t>Total</w:t>
            </w:r>
          </w:p>
        </w:tc>
        <w:tc>
          <w:tcPr>
            <w:tcW w:w="934" w:type="dxa"/>
            <w:tcBorders>
              <w:top w:val="single" w:sz="2" w:space="0" w:color="auto"/>
              <w:left w:val="single" w:sz="2" w:space="0" w:color="auto"/>
              <w:bottom w:val="single" w:sz="2" w:space="0" w:color="auto"/>
              <w:right w:val="single" w:sz="2" w:space="0" w:color="auto"/>
            </w:tcBorders>
            <w:shd w:val="clear" w:color="auto" w:fill="D3D3D3"/>
            <w:vAlign w:val="center"/>
          </w:tcPr>
          <w:p w14:paraId="58246B12"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751" w:type="dxa"/>
            <w:tcBorders>
              <w:top w:val="single" w:sz="2" w:space="0" w:color="auto"/>
              <w:left w:val="single" w:sz="2" w:space="0" w:color="auto"/>
              <w:bottom w:val="single" w:sz="2" w:space="0" w:color="auto"/>
              <w:right w:val="single" w:sz="2" w:space="0" w:color="auto"/>
            </w:tcBorders>
            <w:shd w:val="clear" w:color="auto" w:fill="D3D3D3"/>
            <w:vAlign w:val="center"/>
          </w:tcPr>
          <w:p w14:paraId="082C75CC"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705" w:type="dxa"/>
            <w:tcBorders>
              <w:top w:val="single" w:sz="2" w:space="0" w:color="auto"/>
              <w:left w:val="single" w:sz="2" w:space="0" w:color="auto"/>
              <w:bottom w:val="single" w:sz="2" w:space="0" w:color="auto"/>
              <w:right w:val="single" w:sz="2" w:space="0" w:color="auto"/>
            </w:tcBorders>
            <w:vAlign w:val="center"/>
          </w:tcPr>
          <w:p w14:paraId="2CAFC7EF" w14:textId="77777777" w:rsidR="006B66B7" w:rsidRPr="00A9288A" w:rsidRDefault="002349C6" w:rsidP="008C49B7">
            <w:pPr>
              <w:snapToGrid w:val="0"/>
              <w:jc w:val="right"/>
              <w:rPr>
                <w:rFonts w:ascii="Times New Roman" w:eastAsia="宋体" w:hAnsi="Times New Roman" w:cs="Times New Roman"/>
                <w:sz w:val="13"/>
                <w:szCs w:val="13"/>
              </w:rPr>
            </w:pPr>
            <w:r w:rsidRPr="00A9288A">
              <w:rPr>
                <w:rFonts w:ascii="Times New Roman" w:eastAsia="宋体" w:hAnsi="Times New Roman" w:cs="Times New Roman"/>
                <w:sz w:val="13"/>
                <w:szCs w:val="13"/>
              </w:rPr>
              <w:t>668,760,000.00</w:t>
            </w:r>
          </w:p>
        </w:tc>
        <w:tc>
          <w:tcPr>
            <w:tcW w:w="705" w:type="dxa"/>
            <w:tcBorders>
              <w:top w:val="single" w:sz="2" w:space="0" w:color="auto"/>
              <w:left w:val="single" w:sz="2" w:space="0" w:color="auto"/>
              <w:bottom w:val="single" w:sz="2" w:space="0" w:color="auto"/>
              <w:right w:val="single" w:sz="2" w:space="0" w:color="auto"/>
            </w:tcBorders>
            <w:shd w:val="clear" w:color="auto" w:fill="D3D3D3"/>
            <w:vAlign w:val="center"/>
          </w:tcPr>
          <w:p w14:paraId="6E95F7D5"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705" w:type="dxa"/>
            <w:tcBorders>
              <w:top w:val="single" w:sz="2" w:space="0" w:color="auto"/>
              <w:left w:val="single" w:sz="2" w:space="0" w:color="auto"/>
              <w:bottom w:val="single" w:sz="2" w:space="0" w:color="auto"/>
              <w:right w:val="single" w:sz="2" w:space="0" w:color="auto"/>
            </w:tcBorders>
            <w:shd w:val="clear" w:color="auto" w:fill="D3D3D3"/>
            <w:vAlign w:val="center"/>
          </w:tcPr>
          <w:p w14:paraId="0A51A8AF"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79C0F040"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79CDCDAB"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6758143A"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390CDFB2"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706" w:type="dxa"/>
            <w:tcBorders>
              <w:top w:val="single" w:sz="2" w:space="0" w:color="auto"/>
              <w:left w:val="single" w:sz="2" w:space="0" w:color="auto"/>
              <w:bottom w:val="single" w:sz="2" w:space="0" w:color="auto"/>
              <w:right w:val="single" w:sz="2" w:space="0" w:color="auto"/>
            </w:tcBorders>
            <w:vAlign w:val="center"/>
          </w:tcPr>
          <w:p w14:paraId="3DEE7559" w14:textId="77777777" w:rsidR="006B66B7" w:rsidRPr="00A9288A" w:rsidRDefault="002349C6" w:rsidP="008C49B7">
            <w:pPr>
              <w:snapToGrid w:val="0"/>
              <w:jc w:val="right"/>
              <w:rPr>
                <w:rFonts w:ascii="Times New Roman" w:eastAsia="宋体" w:hAnsi="Times New Roman" w:cs="Times New Roman"/>
                <w:sz w:val="13"/>
                <w:szCs w:val="13"/>
              </w:rPr>
            </w:pPr>
            <w:r w:rsidRPr="00A9288A">
              <w:rPr>
                <w:rFonts w:ascii="Times New Roman" w:eastAsia="宋体" w:hAnsi="Times New Roman" w:cs="Times New Roman"/>
                <w:sz w:val="13"/>
                <w:szCs w:val="13"/>
              </w:rPr>
              <w:t>0.00</w:t>
            </w:r>
          </w:p>
        </w:tc>
        <w:tc>
          <w:tcPr>
            <w:tcW w:w="706" w:type="dxa"/>
            <w:tcBorders>
              <w:top w:val="single" w:sz="2" w:space="0" w:color="auto"/>
              <w:left w:val="single" w:sz="2" w:space="0" w:color="auto"/>
              <w:bottom w:val="single" w:sz="2" w:space="0" w:color="auto"/>
              <w:right w:val="single" w:sz="2" w:space="0" w:color="auto"/>
            </w:tcBorders>
            <w:vAlign w:val="center"/>
          </w:tcPr>
          <w:p w14:paraId="0018AE54" w14:textId="77777777" w:rsidR="006B66B7" w:rsidRPr="00A9288A" w:rsidRDefault="002349C6" w:rsidP="008C49B7">
            <w:pPr>
              <w:snapToGrid w:val="0"/>
              <w:jc w:val="right"/>
              <w:rPr>
                <w:rFonts w:ascii="Times New Roman" w:eastAsia="宋体" w:hAnsi="Times New Roman" w:cs="Times New Roman"/>
                <w:sz w:val="13"/>
                <w:szCs w:val="13"/>
              </w:rPr>
            </w:pPr>
            <w:r w:rsidRPr="00A9288A">
              <w:rPr>
                <w:rFonts w:ascii="Times New Roman" w:eastAsia="宋体" w:hAnsi="Times New Roman" w:cs="Times New Roman"/>
                <w:sz w:val="13"/>
                <w:szCs w:val="13"/>
              </w:rPr>
              <w:t>22,103,901.96</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4DE47B92"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706" w:type="dxa"/>
            <w:tcBorders>
              <w:top w:val="single" w:sz="2" w:space="0" w:color="auto"/>
              <w:left w:val="single" w:sz="2" w:space="0" w:color="auto"/>
              <w:bottom w:val="single" w:sz="2" w:space="0" w:color="auto"/>
              <w:right w:val="single" w:sz="2" w:space="0" w:color="auto"/>
            </w:tcBorders>
            <w:shd w:val="clear" w:color="auto" w:fill="D3D3D3"/>
            <w:vAlign w:val="center"/>
          </w:tcPr>
          <w:p w14:paraId="51656C93"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c>
          <w:tcPr>
            <w:tcW w:w="1137" w:type="dxa"/>
            <w:tcBorders>
              <w:top w:val="single" w:sz="2" w:space="0" w:color="auto"/>
              <w:left w:val="single" w:sz="2" w:space="0" w:color="auto"/>
              <w:bottom w:val="single" w:sz="2" w:space="0" w:color="auto"/>
              <w:right w:val="single" w:sz="2" w:space="0" w:color="auto"/>
            </w:tcBorders>
            <w:shd w:val="clear" w:color="auto" w:fill="D3D3D3"/>
            <w:vAlign w:val="center"/>
          </w:tcPr>
          <w:p w14:paraId="3B033764" w14:textId="77777777" w:rsidR="006B66B7" w:rsidRPr="00A9288A" w:rsidRDefault="002349C6" w:rsidP="008C49B7">
            <w:pPr>
              <w:snapToGrid w:val="0"/>
              <w:jc w:val="center"/>
              <w:rPr>
                <w:rFonts w:ascii="Times New Roman" w:eastAsia="宋体" w:hAnsi="Times New Roman" w:cs="Times New Roman"/>
                <w:sz w:val="13"/>
                <w:szCs w:val="13"/>
              </w:rPr>
            </w:pPr>
            <w:r w:rsidRPr="00A9288A">
              <w:rPr>
                <w:rFonts w:ascii="Times New Roman" w:eastAsia="宋体" w:hAnsi="Times New Roman" w:cs="Times New Roman"/>
                <w:sz w:val="13"/>
                <w:szCs w:val="13"/>
              </w:rPr>
              <w:t>--</w:t>
            </w:r>
          </w:p>
        </w:tc>
      </w:tr>
    </w:tbl>
    <w:p w14:paraId="551DA465" w14:textId="77777777" w:rsidR="006B66B7" w:rsidRPr="00F73301" w:rsidRDefault="002349C6" w:rsidP="00A9288A">
      <w:pPr>
        <w:pStyle w:val="3"/>
      </w:pPr>
      <w:bookmarkStart w:id="27" w:name="_Toc988915"/>
      <w:r w:rsidRPr="00F73301">
        <w:t>3. Material non-equity investments in process during the Reporting Period</w:t>
      </w:r>
      <w:bookmarkEnd w:id="27"/>
    </w:p>
    <w:p w14:paraId="6D389493" w14:textId="7A6AA3C2"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EA8BC19" w14:textId="77777777" w:rsidR="006B66B7" w:rsidRPr="00F73301" w:rsidRDefault="002349C6" w:rsidP="00A9288A">
      <w:pPr>
        <w:pStyle w:val="3"/>
      </w:pPr>
      <w:bookmarkStart w:id="28" w:name="_Toc988916"/>
      <w:r w:rsidRPr="00F73301">
        <w:t>4. Financial assets measured at fair value</w:t>
      </w:r>
      <w:bookmarkEnd w:id="28"/>
    </w:p>
    <w:p w14:paraId="1A44C5C1"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5B633934"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5223"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57" w:type="dxa"/>
          <w:right w:w="57" w:type="dxa"/>
        </w:tblCellMar>
        <w:tblLook w:val="0000" w:firstRow="0" w:lastRow="0" w:firstColumn="0" w:lastColumn="0" w:noHBand="0" w:noVBand="0"/>
      </w:tblPr>
      <w:tblGrid>
        <w:gridCol w:w="734"/>
        <w:gridCol w:w="1239"/>
        <w:gridCol w:w="1149"/>
        <w:gridCol w:w="1124"/>
        <w:gridCol w:w="1149"/>
        <w:gridCol w:w="1149"/>
        <w:gridCol w:w="1149"/>
        <w:gridCol w:w="694"/>
        <w:gridCol w:w="1239"/>
        <w:gridCol w:w="614"/>
      </w:tblGrid>
      <w:tr w:rsidR="006B66B7" w:rsidRPr="008C49B7" w14:paraId="08E8E5AA" w14:textId="77777777" w:rsidTr="00A9288A">
        <w:trPr>
          <w:jc w:val="center"/>
        </w:trPr>
        <w:tc>
          <w:tcPr>
            <w:tcW w:w="557" w:type="pct"/>
            <w:tcBorders>
              <w:top w:val="single" w:sz="2" w:space="0" w:color="auto"/>
              <w:left w:val="single" w:sz="2" w:space="0" w:color="auto"/>
              <w:bottom w:val="single" w:sz="2" w:space="0" w:color="auto"/>
              <w:right w:val="single" w:sz="2" w:space="0" w:color="auto"/>
            </w:tcBorders>
            <w:shd w:val="clear" w:color="auto" w:fill="D3D3D3"/>
            <w:vAlign w:val="center"/>
          </w:tcPr>
          <w:p w14:paraId="089673A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Asset category</w:t>
            </w:r>
          </w:p>
        </w:tc>
        <w:tc>
          <w:tcPr>
            <w:tcW w:w="578" w:type="pct"/>
            <w:tcBorders>
              <w:top w:val="single" w:sz="2" w:space="0" w:color="auto"/>
              <w:left w:val="single" w:sz="2" w:space="0" w:color="auto"/>
              <w:bottom w:val="single" w:sz="2" w:space="0" w:color="auto"/>
              <w:right w:val="single" w:sz="2" w:space="0" w:color="auto"/>
            </w:tcBorders>
            <w:shd w:val="clear" w:color="auto" w:fill="D3D3D3"/>
            <w:vAlign w:val="center"/>
          </w:tcPr>
          <w:p w14:paraId="0EDFBFDD"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Initial investment cost</w:t>
            </w:r>
          </w:p>
        </w:tc>
        <w:tc>
          <w:tcPr>
            <w:tcW w:w="537" w:type="pct"/>
            <w:tcBorders>
              <w:top w:val="single" w:sz="2" w:space="0" w:color="auto"/>
              <w:left w:val="single" w:sz="2" w:space="0" w:color="auto"/>
              <w:bottom w:val="single" w:sz="2" w:space="0" w:color="auto"/>
              <w:right w:val="single" w:sz="2" w:space="0" w:color="auto"/>
            </w:tcBorders>
            <w:shd w:val="clear" w:color="auto" w:fill="D3D3D3"/>
            <w:vAlign w:val="center"/>
          </w:tcPr>
          <w:p w14:paraId="38D02DDE"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Gains and losses from </w:t>
            </w:r>
            <w:r w:rsidRPr="008C49B7">
              <w:rPr>
                <w:rFonts w:ascii="Times New Roman" w:eastAsia="宋体" w:hAnsi="Times New Roman" w:cs="Times New Roman"/>
                <w:sz w:val="18"/>
                <w:szCs w:val="18"/>
              </w:rPr>
              <w:lastRenderedPageBreak/>
              <w:t>changes in fair value in the Reporting Period</w:t>
            </w:r>
          </w:p>
        </w:tc>
        <w:tc>
          <w:tcPr>
            <w:tcW w:w="525" w:type="pct"/>
            <w:tcBorders>
              <w:top w:val="single" w:sz="2" w:space="0" w:color="auto"/>
              <w:left w:val="single" w:sz="2" w:space="0" w:color="auto"/>
              <w:bottom w:val="single" w:sz="2" w:space="0" w:color="auto"/>
              <w:right w:val="single" w:sz="2" w:space="0" w:color="auto"/>
            </w:tcBorders>
            <w:shd w:val="clear" w:color="auto" w:fill="D3D3D3"/>
            <w:vAlign w:val="center"/>
          </w:tcPr>
          <w:p w14:paraId="257C7A6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 xml:space="preserve">Accumulative fair value </w:t>
            </w:r>
            <w:r w:rsidRPr="008C49B7">
              <w:rPr>
                <w:rFonts w:ascii="Times New Roman" w:eastAsia="宋体" w:hAnsi="Times New Roman" w:cs="Times New Roman"/>
                <w:sz w:val="18"/>
                <w:szCs w:val="18"/>
              </w:rPr>
              <w:lastRenderedPageBreak/>
              <w:t>changes included in equity</w:t>
            </w:r>
          </w:p>
        </w:tc>
        <w:tc>
          <w:tcPr>
            <w:tcW w:w="537" w:type="pct"/>
            <w:tcBorders>
              <w:top w:val="single" w:sz="2" w:space="0" w:color="auto"/>
              <w:left w:val="single" w:sz="2" w:space="0" w:color="auto"/>
              <w:bottom w:val="single" w:sz="2" w:space="0" w:color="auto"/>
              <w:right w:val="single" w:sz="2" w:space="0" w:color="auto"/>
            </w:tcBorders>
            <w:shd w:val="clear" w:color="auto" w:fill="D3D3D3"/>
            <w:vAlign w:val="center"/>
          </w:tcPr>
          <w:p w14:paraId="3370E30A"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 xml:space="preserve">Purchase amount </w:t>
            </w:r>
            <w:r w:rsidRPr="008C49B7">
              <w:rPr>
                <w:rFonts w:ascii="Times New Roman" w:eastAsia="宋体" w:hAnsi="Times New Roman" w:cs="Times New Roman"/>
                <w:sz w:val="18"/>
                <w:szCs w:val="18"/>
              </w:rPr>
              <w:lastRenderedPageBreak/>
              <w:t>during the Reporting Period</w:t>
            </w:r>
          </w:p>
        </w:tc>
        <w:tc>
          <w:tcPr>
            <w:tcW w:w="537" w:type="pct"/>
            <w:tcBorders>
              <w:top w:val="single" w:sz="2" w:space="0" w:color="auto"/>
              <w:left w:val="single" w:sz="2" w:space="0" w:color="auto"/>
              <w:bottom w:val="single" w:sz="2" w:space="0" w:color="auto"/>
              <w:right w:val="single" w:sz="2" w:space="0" w:color="auto"/>
            </w:tcBorders>
            <w:shd w:val="clear" w:color="auto" w:fill="D3D3D3"/>
            <w:vAlign w:val="center"/>
          </w:tcPr>
          <w:p w14:paraId="0CC2C8C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 xml:space="preserve">Selling amount </w:t>
            </w:r>
            <w:r w:rsidRPr="008C49B7">
              <w:rPr>
                <w:rFonts w:ascii="Times New Roman" w:eastAsia="宋体" w:hAnsi="Times New Roman" w:cs="Times New Roman"/>
                <w:sz w:val="18"/>
                <w:szCs w:val="18"/>
              </w:rPr>
              <w:lastRenderedPageBreak/>
              <w:t>during the Reporting Period</w:t>
            </w:r>
          </w:p>
        </w:tc>
        <w:tc>
          <w:tcPr>
            <w:tcW w:w="537" w:type="pct"/>
            <w:tcBorders>
              <w:top w:val="single" w:sz="2" w:space="0" w:color="auto"/>
              <w:left w:val="single" w:sz="2" w:space="0" w:color="auto"/>
              <w:bottom w:val="single" w:sz="2" w:space="0" w:color="auto"/>
              <w:right w:val="single" w:sz="2" w:space="0" w:color="auto"/>
            </w:tcBorders>
            <w:shd w:val="clear" w:color="auto" w:fill="D3D3D3"/>
            <w:vAlign w:val="center"/>
          </w:tcPr>
          <w:p w14:paraId="279C70F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 xml:space="preserve">Accumulated income on </w:t>
            </w:r>
            <w:r w:rsidRPr="008C49B7">
              <w:rPr>
                <w:rFonts w:ascii="Times New Roman" w:eastAsia="宋体" w:hAnsi="Times New Roman" w:cs="Times New Roman"/>
                <w:sz w:val="18"/>
                <w:szCs w:val="18"/>
              </w:rPr>
              <w:lastRenderedPageBreak/>
              <w:t>investment</w:t>
            </w:r>
          </w:p>
        </w:tc>
        <w:tc>
          <w:tcPr>
            <w:tcW w:w="326" w:type="pct"/>
            <w:tcBorders>
              <w:top w:val="single" w:sz="2" w:space="0" w:color="auto"/>
              <w:left w:val="single" w:sz="2" w:space="0" w:color="auto"/>
              <w:bottom w:val="single" w:sz="2" w:space="0" w:color="auto"/>
              <w:right w:val="single" w:sz="2" w:space="0" w:color="auto"/>
            </w:tcBorders>
            <w:shd w:val="clear" w:color="auto" w:fill="D3D3D3"/>
            <w:vAlign w:val="center"/>
          </w:tcPr>
          <w:p w14:paraId="37A5F62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Other changes</w:t>
            </w:r>
          </w:p>
        </w:tc>
        <w:tc>
          <w:tcPr>
            <w:tcW w:w="579" w:type="pct"/>
            <w:tcBorders>
              <w:top w:val="single" w:sz="2" w:space="0" w:color="auto"/>
              <w:left w:val="single" w:sz="2" w:space="0" w:color="auto"/>
              <w:bottom w:val="single" w:sz="2" w:space="0" w:color="auto"/>
              <w:right w:val="single" w:sz="2" w:space="0" w:color="auto"/>
            </w:tcBorders>
            <w:shd w:val="clear" w:color="auto" w:fill="D3D3D3"/>
            <w:vAlign w:val="center"/>
          </w:tcPr>
          <w:p w14:paraId="74E0911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Closing balance</w:t>
            </w:r>
          </w:p>
        </w:tc>
        <w:tc>
          <w:tcPr>
            <w:tcW w:w="289" w:type="pct"/>
            <w:tcBorders>
              <w:top w:val="single" w:sz="2" w:space="0" w:color="auto"/>
              <w:left w:val="single" w:sz="2" w:space="0" w:color="auto"/>
              <w:bottom w:val="single" w:sz="2" w:space="0" w:color="auto"/>
              <w:right w:val="single" w:sz="2" w:space="0" w:color="auto"/>
            </w:tcBorders>
            <w:shd w:val="clear" w:color="auto" w:fill="D3D3D3"/>
            <w:vAlign w:val="center"/>
          </w:tcPr>
          <w:p w14:paraId="662A897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Source of </w:t>
            </w:r>
            <w:r w:rsidRPr="008C49B7">
              <w:rPr>
                <w:rFonts w:ascii="Times New Roman" w:eastAsia="宋体" w:hAnsi="Times New Roman" w:cs="Times New Roman"/>
                <w:sz w:val="18"/>
                <w:szCs w:val="18"/>
              </w:rPr>
              <w:lastRenderedPageBreak/>
              <w:t>fund</w:t>
            </w:r>
          </w:p>
        </w:tc>
      </w:tr>
      <w:tr w:rsidR="006B66B7" w:rsidRPr="008C49B7" w14:paraId="53121CBF" w14:textId="77777777" w:rsidTr="00A9288A">
        <w:trPr>
          <w:jc w:val="center"/>
        </w:trPr>
        <w:tc>
          <w:tcPr>
            <w:tcW w:w="557" w:type="pct"/>
            <w:tcBorders>
              <w:top w:val="single" w:sz="2" w:space="0" w:color="auto"/>
              <w:left w:val="single" w:sz="2" w:space="0" w:color="auto"/>
              <w:bottom w:val="single" w:sz="2" w:space="0" w:color="auto"/>
              <w:right w:val="single" w:sz="2" w:space="0" w:color="auto"/>
            </w:tcBorders>
            <w:vAlign w:val="center"/>
          </w:tcPr>
          <w:p w14:paraId="69BF642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Others</w:t>
            </w:r>
          </w:p>
        </w:tc>
        <w:tc>
          <w:tcPr>
            <w:tcW w:w="578" w:type="pct"/>
            <w:tcBorders>
              <w:top w:val="single" w:sz="2" w:space="0" w:color="auto"/>
              <w:left w:val="single" w:sz="2" w:space="0" w:color="auto"/>
              <w:bottom w:val="single" w:sz="2" w:space="0" w:color="auto"/>
              <w:right w:val="single" w:sz="2" w:space="0" w:color="auto"/>
            </w:tcBorders>
            <w:vAlign w:val="center"/>
          </w:tcPr>
          <w:p w14:paraId="6E720B4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505,646,494.05</w:t>
            </w:r>
          </w:p>
        </w:tc>
        <w:tc>
          <w:tcPr>
            <w:tcW w:w="537" w:type="pct"/>
            <w:tcBorders>
              <w:top w:val="single" w:sz="2" w:space="0" w:color="auto"/>
              <w:left w:val="single" w:sz="2" w:space="0" w:color="auto"/>
              <w:bottom w:val="single" w:sz="2" w:space="0" w:color="auto"/>
              <w:right w:val="single" w:sz="2" w:space="0" w:color="auto"/>
            </w:tcBorders>
            <w:vAlign w:val="center"/>
          </w:tcPr>
          <w:p w14:paraId="2826835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-15,580,233.35</w:t>
            </w:r>
          </w:p>
        </w:tc>
        <w:tc>
          <w:tcPr>
            <w:tcW w:w="525" w:type="pct"/>
            <w:tcBorders>
              <w:top w:val="single" w:sz="2" w:space="0" w:color="auto"/>
              <w:left w:val="single" w:sz="2" w:space="0" w:color="auto"/>
              <w:bottom w:val="single" w:sz="2" w:space="0" w:color="auto"/>
              <w:right w:val="single" w:sz="2" w:space="0" w:color="auto"/>
            </w:tcBorders>
            <w:vAlign w:val="center"/>
          </w:tcPr>
          <w:p w14:paraId="6889B2C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537" w:type="pct"/>
            <w:tcBorders>
              <w:top w:val="single" w:sz="2" w:space="0" w:color="auto"/>
              <w:left w:val="single" w:sz="2" w:space="0" w:color="auto"/>
              <w:bottom w:val="single" w:sz="2" w:space="0" w:color="auto"/>
              <w:right w:val="single" w:sz="2" w:space="0" w:color="auto"/>
            </w:tcBorders>
            <w:vAlign w:val="center"/>
          </w:tcPr>
          <w:p w14:paraId="059CD7D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38,630,331.94</w:t>
            </w:r>
          </w:p>
        </w:tc>
        <w:tc>
          <w:tcPr>
            <w:tcW w:w="537" w:type="pct"/>
            <w:tcBorders>
              <w:top w:val="single" w:sz="2" w:space="0" w:color="auto"/>
              <w:left w:val="single" w:sz="2" w:space="0" w:color="auto"/>
              <w:bottom w:val="single" w:sz="2" w:space="0" w:color="auto"/>
              <w:right w:val="single" w:sz="2" w:space="0" w:color="auto"/>
            </w:tcBorders>
            <w:vAlign w:val="center"/>
          </w:tcPr>
          <w:p w14:paraId="6D10E82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62,600,000.00</w:t>
            </w:r>
          </w:p>
        </w:tc>
        <w:tc>
          <w:tcPr>
            <w:tcW w:w="537" w:type="pct"/>
            <w:tcBorders>
              <w:top w:val="single" w:sz="2" w:space="0" w:color="auto"/>
              <w:left w:val="single" w:sz="2" w:space="0" w:color="auto"/>
              <w:bottom w:val="single" w:sz="2" w:space="0" w:color="auto"/>
              <w:right w:val="single" w:sz="2" w:space="0" w:color="auto"/>
            </w:tcBorders>
            <w:vAlign w:val="center"/>
          </w:tcPr>
          <w:p w14:paraId="3CA7484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61,190,205.55</w:t>
            </w:r>
          </w:p>
        </w:tc>
        <w:tc>
          <w:tcPr>
            <w:tcW w:w="326" w:type="pct"/>
            <w:tcBorders>
              <w:top w:val="single" w:sz="2" w:space="0" w:color="auto"/>
              <w:left w:val="single" w:sz="2" w:space="0" w:color="auto"/>
              <w:bottom w:val="single" w:sz="2" w:space="0" w:color="auto"/>
              <w:right w:val="single" w:sz="2" w:space="0" w:color="auto"/>
            </w:tcBorders>
            <w:vAlign w:val="center"/>
          </w:tcPr>
          <w:p w14:paraId="788DC94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579" w:type="pct"/>
            <w:tcBorders>
              <w:top w:val="single" w:sz="2" w:space="0" w:color="auto"/>
              <w:left w:val="single" w:sz="2" w:space="0" w:color="auto"/>
              <w:bottom w:val="single" w:sz="2" w:space="0" w:color="auto"/>
              <w:right w:val="single" w:sz="2" w:space="0" w:color="auto"/>
            </w:tcBorders>
            <w:vAlign w:val="center"/>
          </w:tcPr>
          <w:p w14:paraId="726E922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466,096,592.64</w:t>
            </w:r>
          </w:p>
        </w:tc>
        <w:tc>
          <w:tcPr>
            <w:tcW w:w="289" w:type="pct"/>
            <w:tcBorders>
              <w:top w:val="single" w:sz="2" w:space="0" w:color="auto"/>
              <w:left w:val="single" w:sz="2" w:space="0" w:color="auto"/>
              <w:bottom w:val="single" w:sz="2" w:space="0" w:color="auto"/>
              <w:right w:val="single" w:sz="2" w:space="0" w:color="auto"/>
            </w:tcBorders>
            <w:vAlign w:val="center"/>
          </w:tcPr>
          <w:p w14:paraId="16EB11AF"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Self-owned</w:t>
            </w:r>
          </w:p>
        </w:tc>
      </w:tr>
      <w:tr w:rsidR="006B66B7" w:rsidRPr="008C49B7" w14:paraId="29F61373" w14:textId="77777777" w:rsidTr="00A9288A">
        <w:trPr>
          <w:jc w:val="center"/>
        </w:trPr>
        <w:tc>
          <w:tcPr>
            <w:tcW w:w="557" w:type="pct"/>
            <w:tcBorders>
              <w:top w:val="single" w:sz="2" w:space="0" w:color="auto"/>
              <w:left w:val="single" w:sz="2" w:space="0" w:color="auto"/>
              <w:bottom w:val="single" w:sz="2" w:space="0" w:color="auto"/>
              <w:right w:val="single" w:sz="2" w:space="0" w:color="auto"/>
            </w:tcBorders>
            <w:shd w:val="clear" w:color="auto" w:fill="D3D3D3"/>
            <w:vAlign w:val="center"/>
          </w:tcPr>
          <w:p w14:paraId="78E5B1B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w:t>
            </w:r>
          </w:p>
        </w:tc>
        <w:tc>
          <w:tcPr>
            <w:tcW w:w="578" w:type="pct"/>
            <w:tcBorders>
              <w:top w:val="single" w:sz="2" w:space="0" w:color="auto"/>
              <w:left w:val="single" w:sz="2" w:space="0" w:color="auto"/>
              <w:bottom w:val="single" w:sz="2" w:space="0" w:color="auto"/>
              <w:right w:val="single" w:sz="2" w:space="0" w:color="auto"/>
            </w:tcBorders>
            <w:vAlign w:val="center"/>
          </w:tcPr>
          <w:p w14:paraId="1EE07E2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505,646,494.05</w:t>
            </w:r>
          </w:p>
        </w:tc>
        <w:tc>
          <w:tcPr>
            <w:tcW w:w="537" w:type="pct"/>
            <w:tcBorders>
              <w:top w:val="single" w:sz="2" w:space="0" w:color="auto"/>
              <w:left w:val="single" w:sz="2" w:space="0" w:color="auto"/>
              <w:bottom w:val="single" w:sz="2" w:space="0" w:color="auto"/>
              <w:right w:val="single" w:sz="2" w:space="0" w:color="auto"/>
            </w:tcBorders>
            <w:vAlign w:val="center"/>
          </w:tcPr>
          <w:p w14:paraId="25542D3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-15,580,233.35</w:t>
            </w:r>
          </w:p>
        </w:tc>
        <w:tc>
          <w:tcPr>
            <w:tcW w:w="525" w:type="pct"/>
            <w:tcBorders>
              <w:top w:val="single" w:sz="2" w:space="0" w:color="auto"/>
              <w:left w:val="single" w:sz="2" w:space="0" w:color="auto"/>
              <w:bottom w:val="single" w:sz="2" w:space="0" w:color="auto"/>
              <w:right w:val="single" w:sz="2" w:space="0" w:color="auto"/>
            </w:tcBorders>
            <w:vAlign w:val="center"/>
          </w:tcPr>
          <w:p w14:paraId="2957F77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537" w:type="pct"/>
            <w:tcBorders>
              <w:top w:val="single" w:sz="2" w:space="0" w:color="auto"/>
              <w:left w:val="single" w:sz="2" w:space="0" w:color="auto"/>
              <w:bottom w:val="single" w:sz="2" w:space="0" w:color="auto"/>
              <w:right w:val="single" w:sz="2" w:space="0" w:color="auto"/>
            </w:tcBorders>
            <w:vAlign w:val="center"/>
          </w:tcPr>
          <w:p w14:paraId="2EBD719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38,630,331.94</w:t>
            </w:r>
          </w:p>
        </w:tc>
        <w:tc>
          <w:tcPr>
            <w:tcW w:w="537" w:type="pct"/>
            <w:tcBorders>
              <w:top w:val="single" w:sz="2" w:space="0" w:color="auto"/>
              <w:left w:val="single" w:sz="2" w:space="0" w:color="auto"/>
              <w:bottom w:val="single" w:sz="2" w:space="0" w:color="auto"/>
              <w:right w:val="single" w:sz="2" w:space="0" w:color="auto"/>
            </w:tcBorders>
            <w:vAlign w:val="center"/>
          </w:tcPr>
          <w:p w14:paraId="34BA794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62,600,000.00</w:t>
            </w:r>
          </w:p>
        </w:tc>
        <w:tc>
          <w:tcPr>
            <w:tcW w:w="537" w:type="pct"/>
            <w:tcBorders>
              <w:top w:val="single" w:sz="2" w:space="0" w:color="auto"/>
              <w:left w:val="single" w:sz="2" w:space="0" w:color="auto"/>
              <w:bottom w:val="single" w:sz="2" w:space="0" w:color="auto"/>
              <w:right w:val="single" w:sz="2" w:space="0" w:color="auto"/>
            </w:tcBorders>
            <w:vAlign w:val="center"/>
          </w:tcPr>
          <w:p w14:paraId="70CB7C1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61,190,205.55</w:t>
            </w:r>
          </w:p>
        </w:tc>
        <w:tc>
          <w:tcPr>
            <w:tcW w:w="326" w:type="pct"/>
            <w:tcBorders>
              <w:top w:val="single" w:sz="2" w:space="0" w:color="auto"/>
              <w:left w:val="single" w:sz="2" w:space="0" w:color="auto"/>
              <w:bottom w:val="single" w:sz="2" w:space="0" w:color="auto"/>
              <w:right w:val="single" w:sz="2" w:space="0" w:color="auto"/>
            </w:tcBorders>
            <w:vAlign w:val="center"/>
          </w:tcPr>
          <w:p w14:paraId="4963B23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579" w:type="pct"/>
            <w:tcBorders>
              <w:top w:val="single" w:sz="2" w:space="0" w:color="auto"/>
              <w:left w:val="single" w:sz="2" w:space="0" w:color="auto"/>
              <w:bottom w:val="single" w:sz="2" w:space="0" w:color="auto"/>
              <w:right w:val="single" w:sz="2" w:space="0" w:color="auto"/>
            </w:tcBorders>
            <w:vAlign w:val="center"/>
          </w:tcPr>
          <w:p w14:paraId="10B9464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466,096,592.64</w:t>
            </w:r>
          </w:p>
        </w:tc>
        <w:tc>
          <w:tcPr>
            <w:tcW w:w="289" w:type="pct"/>
            <w:tcBorders>
              <w:top w:val="single" w:sz="2" w:space="0" w:color="auto"/>
              <w:left w:val="single" w:sz="2" w:space="0" w:color="auto"/>
              <w:bottom w:val="single" w:sz="2" w:space="0" w:color="auto"/>
              <w:right w:val="single" w:sz="2" w:space="0" w:color="auto"/>
            </w:tcBorders>
            <w:shd w:val="clear" w:color="auto" w:fill="D3D3D3"/>
            <w:vAlign w:val="center"/>
          </w:tcPr>
          <w:p w14:paraId="2ECA825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w:t>
            </w:r>
          </w:p>
        </w:tc>
      </w:tr>
    </w:tbl>
    <w:p w14:paraId="6054FB31" w14:textId="77777777" w:rsidR="006B66B7" w:rsidRPr="00F73301" w:rsidRDefault="002349C6" w:rsidP="00A9288A">
      <w:pPr>
        <w:pStyle w:val="3"/>
      </w:pPr>
      <w:bookmarkStart w:id="29" w:name="_Toc988917"/>
      <w:r w:rsidRPr="00F73301">
        <w:t>5. Use of raised funds</w:t>
      </w:r>
      <w:bookmarkEnd w:id="29"/>
    </w:p>
    <w:p w14:paraId="37356D87"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17B7AF02" w14:textId="77777777" w:rsidR="006B66B7" w:rsidRPr="00F73301" w:rsidRDefault="002349C6" w:rsidP="00A9288A">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0" w:name="_Toc988918"/>
      <w:r w:rsidRPr="00F73301">
        <w:rPr>
          <w:rFonts w:ascii="Times New Roman" w:eastAsia="宋体" w:hAnsi="Times New Roman" w:cs="Times New Roman"/>
          <w:b/>
          <w:bCs/>
          <w:sz w:val="24"/>
          <w:szCs w:val="24"/>
        </w:rPr>
        <w:t>(1) Overall use of raised funds</w:t>
      </w:r>
      <w:bookmarkEnd w:id="30"/>
    </w:p>
    <w:p w14:paraId="7CC1A6D5"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2C2A21AE"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RMB10,000</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6B66B7" w:rsidRPr="008C49B7" w14:paraId="05B3D2D5"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75AE40E"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 raised funds</w:t>
            </w:r>
          </w:p>
        </w:tc>
        <w:tc>
          <w:tcPr>
            <w:tcW w:w="4820" w:type="dxa"/>
            <w:tcBorders>
              <w:top w:val="single" w:sz="2" w:space="0" w:color="auto"/>
              <w:left w:val="single" w:sz="2" w:space="0" w:color="auto"/>
              <w:bottom w:val="single" w:sz="2" w:space="0" w:color="auto"/>
              <w:right w:val="single" w:sz="2" w:space="0" w:color="auto"/>
            </w:tcBorders>
            <w:vAlign w:val="center"/>
          </w:tcPr>
          <w:p w14:paraId="24EBD0B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145,716.5</w:t>
            </w:r>
          </w:p>
        </w:tc>
      </w:tr>
      <w:tr w:rsidR="006B66B7" w:rsidRPr="008C49B7" w14:paraId="1249468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EABE5A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 raised funds invested during the Reporting Period</w:t>
            </w:r>
          </w:p>
        </w:tc>
        <w:tc>
          <w:tcPr>
            <w:tcW w:w="4820" w:type="dxa"/>
            <w:tcBorders>
              <w:top w:val="single" w:sz="2" w:space="0" w:color="auto"/>
              <w:left w:val="single" w:sz="2" w:space="0" w:color="auto"/>
              <w:bottom w:val="single" w:sz="2" w:space="0" w:color="auto"/>
              <w:right w:val="single" w:sz="2" w:space="0" w:color="auto"/>
            </w:tcBorders>
            <w:vAlign w:val="center"/>
          </w:tcPr>
          <w:p w14:paraId="039550C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r>
      <w:tr w:rsidR="006B66B7" w:rsidRPr="008C49B7" w14:paraId="78301EC5"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0236729"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 raised funds invested accumulatively</w:t>
            </w:r>
          </w:p>
        </w:tc>
        <w:tc>
          <w:tcPr>
            <w:tcW w:w="4820" w:type="dxa"/>
            <w:tcBorders>
              <w:top w:val="single" w:sz="2" w:space="0" w:color="auto"/>
              <w:left w:val="single" w:sz="2" w:space="0" w:color="auto"/>
              <w:bottom w:val="single" w:sz="2" w:space="0" w:color="auto"/>
              <w:right w:val="single" w:sz="2" w:space="0" w:color="auto"/>
            </w:tcBorders>
            <w:vAlign w:val="center"/>
          </w:tcPr>
          <w:p w14:paraId="093959A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r>
      <w:tr w:rsidR="006B66B7" w:rsidRPr="008C49B7" w14:paraId="662F2496"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9196EF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 Raised Funds with Altered Purposes during the Reporting Period</w:t>
            </w:r>
          </w:p>
        </w:tc>
        <w:tc>
          <w:tcPr>
            <w:tcW w:w="4820" w:type="dxa"/>
            <w:tcBorders>
              <w:top w:val="single" w:sz="2" w:space="0" w:color="auto"/>
              <w:left w:val="single" w:sz="2" w:space="0" w:color="auto"/>
              <w:bottom w:val="single" w:sz="2" w:space="0" w:color="auto"/>
              <w:right w:val="single" w:sz="2" w:space="0" w:color="auto"/>
            </w:tcBorders>
            <w:vAlign w:val="center"/>
          </w:tcPr>
          <w:p w14:paraId="0FC3D0D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r>
      <w:tr w:rsidR="006B66B7" w:rsidRPr="008C49B7" w14:paraId="505E5219"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99B8AF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 Accumulative Raised Funds with Altered Purposes</w:t>
            </w:r>
          </w:p>
        </w:tc>
        <w:tc>
          <w:tcPr>
            <w:tcW w:w="4820" w:type="dxa"/>
            <w:tcBorders>
              <w:top w:val="single" w:sz="2" w:space="0" w:color="auto"/>
              <w:left w:val="single" w:sz="2" w:space="0" w:color="auto"/>
              <w:bottom w:val="single" w:sz="2" w:space="0" w:color="auto"/>
              <w:right w:val="single" w:sz="2" w:space="0" w:color="auto"/>
            </w:tcBorders>
            <w:vAlign w:val="center"/>
          </w:tcPr>
          <w:p w14:paraId="1F2E5AC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r>
      <w:tr w:rsidR="006B66B7" w:rsidRPr="008C49B7" w14:paraId="7A2CB678"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D806AF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Proportion of Total Accumulative Raised Funds with Altered Purposes</w:t>
            </w:r>
          </w:p>
        </w:tc>
        <w:tc>
          <w:tcPr>
            <w:tcW w:w="4820" w:type="dxa"/>
            <w:tcBorders>
              <w:top w:val="single" w:sz="2" w:space="0" w:color="auto"/>
              <w:left w:val="single" w:sz="2" w:space="0" w:color="auto"/>
              <w:bottom w:val="single" w:sz="2" w:space="0" w:color="auto"/>
              <w:right w:val="single" w:sz="2" w:space="0" w:color="auto"/>
            </w:tcBorders>
            <w:vAlign w:val="center"/>
          </w:tcPr>
          <w:p w14:paraId="52935B9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46AC09ED" w14:textId="77777777" w:rsidTr="0001208F">
        <w:trPr>
          <w:jc w:val="center"/>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0610FE8"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Explanation of the overall use of the raised funds</w:t>
            </w:r>
          </w:p>
        </w:tc>
      </w:tr>
      <w:tr w:rsidR="006B66B7" w:rsidRPr="008C49B7" w14:paraId="02F37BC4" w14:textId="77777777" w:rsidTr="0001208F">
        <w:trPr>
          <w:jc w:val="center"/>
        </w:trPr>
        <w:tc>
          <w:tcPr>
            <w:tcW w:w="9639" w:type="dxa"/>
            <w:gridSpan w:val="2"/>
            <w:tcBorders>
              <w:top w:val="single" w:sz="2" w:space="0" w:color="auto"/>
              <w:left w:val="single" w:sz="2" w:space="0" w:color="auto"/>
              <w:bottom w:val="single" w:sz="2" w:space="0" w:color="auto"/>
              <w:right w:val="single" w:sz="2" w:space="0" w:color="auto"/>
            </w:tcBorders>
            <w:vAlign w:val="center"/>
          </w:tcPr>
          <w:p w14:paraId="2CC0FE96" w14:textId="3890D129" w:rsidR="006B66B7" w:rsidRPr="008C49B7" w:rsidRDefault="002071BC" w:rsidP="008C49B7">
            <w:pPr>
              <w:snapToGrid w:val="0"/>
              <w:rPr>
                <w:rFonts w:ascii="Times New Roman" w:eastAsia="宋体" w:hAnsi="Times New Roman" w:cs="Times New Roman"/>
                <w:sz w:val="18"/>
                <w:szCs w:val="18"/>
              </w:rPr>
            </w:pPr>
            <w:r w:rsidRPr="002071BC">
              <w:rPr>
                <w:rFonts w:ascii="Times New Roman" w:eastAsia="宋体" w:hAnsi="Times New Roman" w:cs="Times New Roman"/>
                <w:sz w:val="18"/>
                <w:szCs w:val="18"/>
              </w:rPr>
              <w:t xml:space="preserve">In the first half of 2023, the </w:t>
            </w:r>
            <w:r>
              <w:rPr>
                <w:rFonts w:ascii="Times New Roman" w:eastAsia="宋体" w:hAnsi="Times New Roman" w:cs="Times New Roman"/>
                <w:sz w:val="18"/>
                <w:szCs w:val="18"/>
              </w:rPr>
              <w:t>C</w:t>
            </w:r>
            <w:r w:rsidRPr="002071BC">
              <w:rPr>
                <w:rFonts w:ascii="Times New Roman" w:eastAsia="宋体" w:hAnsi="Times New Roman" w:cs="Times New Roman"/>
                <w:sz w:val="18"/>
                <w:szCs w:val="18"/>
              </w:rPr>
              <w:t xml:space="preserve">ompany actually used </w:t>
            </w:r>
            <w:r>
              <w:rPr>
                <w:rFonts w:ascii="Times New Roman" w:eastAsia="宋体" w:hAnsi="Times New Roman" w:cs="Times New Roman"/>
                <w:sz w:val="18"/>
                <w:szCs w:val="18"/>
              </w:rPr>
              <w:t>USD</w:t>
            </w:r>
            <w:r w:rsidRPr="002071BC">
              <w:rPr>
                <w:rFonts w:ascii="Times New Roman" w:eastAsia="宋体" w:hAnsi="Times New Roman" w:cs="Times New Roman"/>
                <w:sz w:val="18"/>
                <w:szCs w:val="18"/>
              </w:rPr>
              <w:t xml:space="preserve">0 of the raised funds, and the net amount of the bank deposit interest received after deducting bank handling fees was </w:t>
            </w:r>
            <w:r>
              <w:rPr>
                <w:rFonts w:ascii="Times New Roman" w:eastAsia="宋体" w:hAnsi="Times New Roman" w:cs="Times New Roman"/>
                <w:sz w:val="18"/>
                <w:szCs w:val="18"/>
              </w:rPr>
              <w:t>USD</w:t>
            </w:r>
            <w:r w:rsidRPr="002071BC">
              <w:rPr>
                <w:rFonts w:ascii="Times New Roman" w:eastAsia="宋体" w:hAnsi="Times New Roman" w:cs="Times New Roman"/>
                <w:sz w:val="18"/>
                <w:szCs w:val="18"/>
              </w:rPr>
              <w:t xml:space="preserve">1,801,547.75. As of June 30, 2023, the balance of raised funds is </w:t>
            </w:r>
            <w:r>
              <w:rPr>
                <w:rFonts w:ascii="Times New Roman" w:eastAsia="宋体" w:hAnsi="Times New Roman" w:cs="Times New Roman"/>
                <w:sz w:val="18"/>
                <w:szCs w:val="18"/>
              </w:rPr>
              <w:t>USD</w:t>
            </w:r>
            <w:r w:rsidRPr="002071BC">
              <w:rPr>
                <w:rFonts w:ascii="Times New Roman" w:eastAsia="宋体" w:hAnsi="Times New Roman" w:cs="Times New Roman"/>
                <w:sz w:val="18"/>
                <w:szCs w:val="18"/>
              </w:rPr>
              <w:t>213,811,409.57.</w:t>
            </w:r>
          </w:p>
        </w:tc>
      </w:tr>
    </w:tbl>
    <w:p w14:paraId="51DFB551" w14:textId="77777777" w:rsidR="006B66B7" w:rsidRPr="00F73301" w:rsidRDefault="002349C6" w:rsidP="00F73301">
      <w:pPr>
        <w:keepNext/>
        <w:keepLines/>
        <w:snapToGrid w:val="0"/>
        <w:spacing w:beforeLines="50" w:before="156" w:afterLines="50" w:after="156"/>
        <w:outlineLvl w:val="3"/>
        <w:rPr>
          <w:rFonts w:ascii="Times New Roman" w:eastAsia="宋体" w:hAnsi="Times New Roman" w:cs="Times New Roman"/>
          <w:b/>
          <w:bCs/>
          <w:sz w:val="24"/>
          <w:szCs w:val="24"/>
        </w:rPr>
      </w:pPr>
      <w:bookmarkStart w:id="31" w:name="_Toc988919"/>
      <w:r w:rsidRPr="00F73301">
        <w:rPr>
          <w:rFonts w:ascii="Times New Roman" w:eastAsia="宋体" w:hAnsi="Times New Roman" w:cs="Times New Roman"/>
          <w:b/>
          <w:bCs/>
          <w:sz w:val="24"/>
          <w:szCs w:val="24"/>
        </w:rPr>
        <w:t>(2) Committed projects with raised funds</w:t>
      </w:r>
      <w:bookmarkEnd w:id="31"/>
    </w:p>
    <w:p w14:paraId="0E3BB73A"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23F0EB89"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RMB10,000</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000" w:firstRow="0" w:lastRow="0" w:firstColumn="0" w:lastColumn="0" w:noHBand="0" w:noVBand="0"/>
      </w:tblPr>
      <w:tblGrid>
        <w:gridCol w:w="803"/>
        <w:gridCol w:w="803"/>
        <w:gridCol w:w="803"/>
        <w:gridCol w:w="803"/>
        <w:gridCol w:w="803"/>
        <w:gridCol w:w="803"/>
        <w:gridCol w:w="803"/>
        <w:gridCol w:w="803"/>
        <w:gridCol w:w="803"/>
        <w:gridCol w:w="803"/>
        <w:gridCol w:w="803"/>
        <w:gridCol w:w="806"/>
      </w:tblGrid>
      <w:tr w:rsidR="006B66B7" w:rsidRPr="00A9288A" w14:paraId="26BE1E2D"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C88BAD6"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Committed investment projects and investment of excessive raised funds</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4749C4D"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Whether projects have been altered (including partial alternation)</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89D19DB"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Total committed investment with raised funds</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DF59EE7"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Adjusted total investment amount (1)</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2DDF489"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Investment amount during the Reporting Period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7FB05D6"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Accumulative investment amount by the end of the Reporting Period (2)</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41BA2F5"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Investment progress as at the end of the Reporting Period (3) = (2)/(1)</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3475E07"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Date when the projects are ready for intended use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3EF2842"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Benefits recorded during the Reporting Period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8E82D3D"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Accumulative benefits recorded as at the end of Reporting Period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E1C5F04"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Whether the estimated benefits are reached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175FED7"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Whether there are material changes in project feasibility</w:t>
            </w:r>
          </w:p>
        </w:tc>
      </w:tr>
      <w:tr w:rsidR="006B66B7" w:rsidRPr="00A9288A" w14:paraId="01B265B0" w14:textId="77777777" w:rsidTr="0001208F">
        <w:trPr>
          <w:jc w:val="center"/>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6698744C"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Committed investment projects</w:t>
            </w:r>
          </w:p>
        </w:tc>
      </w:tr>
      <w:tr w:rsidR="006B66B7" w:rsidRPr="00A9288A" w14:paraId="6F4AC24E"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vAlign w:val="center"/>
          </w:tcPr>
          <w:p w14:paraId="33F3B31B"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Southeast Asian countries built package testing production lines</w:t>
            </w:r>
          </w:p>
        </w:tc>
        <w:tc>
          <w:tcPr>
            <w:tcW w:w="803" w:type="dxa"/>
            <w:tcBorders>
              <w:top w:val="single" w:sz="2" w:space="0" w:color="auto"/>
              <w:left w:val="single" w:sz="2" w:space="0" w:color="auto"/>
              <w:bottom w:val="single" w:sz="2" w:space="0" w:color="auto"/>
              <w:right w:val="single" w:sz="2" w:space="0" w:color="auto"/>
            </w:tcBorders>
            <w:vAlign w:val="center"/>
          </w:tcPr>
          <w:p w14:paraId="272AE60F"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No</w:t>
            </w:r>
          </w:p>
        </w:tc>
        <w:tc>
          <w:tcPr>
            <w:tcW w:w="803" w:type="dxa"/>
            <w:tcBorders>
              <w:top w:val="single" w:sz="2" w:space="0" w:color="auto"/>
              <w:left w:val="single" w:sz="2" w:space="0" w:color="auto"/>
              <w:bottom w:val="single" w:sz="2" w:space="0" w:color="auto"/>
              <w:right w:val="single" w:sz="2" w:space="0" w:color="auto"/>
            </w:tcBorders>
            <w:vAlign w:val="center"/>
          </w:tcPr>
          <w:p w14:paraId="33C8905C"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87,429.9</w:t>
            </w:r>
          </w:p>
        </w:tc>
        <w:tc>
          <w:tcPr>
            <w:tcW w:w="803" w:type="dxa"/>
            <w:tcBorders>
              <w:top w:val="single" w:sz="2" w:space="0" w:color="auto"/>
              <w:left w:val="single" w:sz="2" w:space="0" w:color="auto"/>
              <w:bottom w:val="single" w:sz="2" w:space="0" w:color="auto"/>
              <w:right w:val="single" w:sz="2" w:space="0" w:color="auto"/>
            </w:tcBorders>
            <w:vAlign w:val="center"/>
          </w:tcPr>
          <w:p w14:paraId="3056FB21"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87,429.9</w:t>
            </w:r>
          </w:p>
        </w:tc>
        <w:tc>
          <w:tcPr>
            <w:tcW w:w="803" w:type="dxa"/>
            <w:tcBorders>
              <w:top w:val="single" w:sz="2" w:space="0" w:color="auto"/>
              <w:left w:val="single" w:sz="2" w:space="0" w:color="auto"/>
              <w:bottom w:val="single" w:sz="2" w:space="0" w:color="auto"/>
              <w:right w:val="single" w:sz="2" w:space="0" w:color="auto"/>
            </w:tcBorders>
            <w:vAlign w:val="center"/>
          </w:tcPr>
          <w:p w14:paraId="13ECF56F"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04907201"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34723933"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0.00%</w:t>
            </w:r>
          </w:p>
        </w:tc>
        <w:tc>
          <w:tcPr>
            <w:tcW w:w="803" w:type="dxa"/>
            <w:tcBorders>
              <w:top w:val="single" w:sz="2" w:space="0" w:color="auto"/>
              <w:left w:val="single" w:sz="2" w:space="0" w:color="auto"/>
              <w:bottom w:val="single" w:sz="2" w:space="0" w:color="auto"/>
              <w:right w:val="single" w:sz="2" w:space="0" w:color="auto"/>
            </w:tcBorders>
            <w:vAlign w:val="center"/>
          </w:tcPr>
          <w:p w14:paraId="1D093325"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April 18, 2026</w:t>
            </w:r>
          </w:p>
        </w:tc>
        <w:tc>
          <w:tcPr>
            <w:tcW w:w="803" w:type="dxa"/>
            <w:tcBorders>
              <w:top w:val="single" w:sz="2" w:space="0" w:color="auto"/>
              <w:left w:val="single" w:sz="2" w:space="0" w:color="auto"/>
              <w:bottom w:val="single" w:sz="2" w:space="0" w:color="auto"/>
              <w:right w:val="single" w:sz="2" w:space="0" w:color="auto"/>
            </w:tcBorders>
            <w:vAlign w:val="center"/>
          </w:tcPr>
          <w:p w14:paraId="04FBCF36"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4B490A02"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4C11BBD4"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c>
          <w:tcPr>
            <w:tcW w:w="803" w:type="dxa"/>
            <w:tcBorders>
              <w:top w:val="single" w:sz="2" w:space="0" w:color="auto"/>
              <w:left w:val="single" w:sz="2" w:space="0" w:color="auto"/>
              <w:bottom w:val="single" w:sz="2" w:space="0" w:color="auto"/>
              <w:right w:val="single" w:sz="2" w:space="0" w:color="auto"/>
            </w:tcBorders>
            <w:vAlign w:val="center"/>
          </w:tcPr>
          <w:p w14:paraId="5F5F8A55"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No</w:t>
            </w:r>
          </w:p>
        </w:tc>
      </w:tr>
      <w:tr w:rsidR="006B66B7" w:rsidRPr="00A9288A" w14:paraId="767CF563"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vAlign w:val="center"/>
          </w:tcPr>
          <w:p w14:paraId="220D2BF7"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Establishment of overseas R&amp;D centers and global sales and after-sales service networks.</w:t>
            </w:r>
          </w:p>
        </w:tc>
        <w:tc>
          <w:tcPr>
            <w:tcW w:w="803" w:type="dxa"/>
            <w:tcBorders>
              <w:top w:val="single" w:sz="2" w:space="0" w:color="auto"/>
              <w:left w:val="single" w:sz="2" w:space="0" w:color="auto"/>
              <w:bottom w:val="single" w:sz="2" w:space="0" w:color="auto"/>
              <w:right w:val="single" w:sz="2" w:space="0" w:color="auto"/>
            </w:tcBorders>
            <w:vAlign w:val="center"/>
          </w:tcPr>
          <w:p w14:paraId="6E5C5F7F"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No</w:t>
            </w:r>
          </w:p>
        </w:tc>
        <w:tc>
          <w:tcPr>
            <w:tcW w:w="803" w:type="dxa"/>
            <w:tcBorders>
              <w:top w:val="single" w:sz="2" w:space="0" w:color="auto"/>
              <w:left w:val="single" w:sz="2" w:space="0" w:color="auto"/>
              <w:bottom w:val="single" w:sz="2" w:space="0" w:color="auto"/>
              <w:right w:val="single" w:sz="2" w:space="0" w:color="auto"/>
            </w:tcBorders>
            <w:vAlign w:val="center"/>
          </w:tcPr>
          <w:p w14:paraId="68C870E3"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14,571.65</w:t>
            </w:r>
          </w:p>
        </w:tc>
        <w:tc>
          <w:tcPr>
            <w:tcW w:w="803" w:type="dxa"/>
            <w:tcBorders>
              <w:top w:val="single" w:sz="2" w:space="0" w:color="auto"/>
              <w:left w:val="single" w:sz="2" w:space="0" w:color="auto"/>
              <w:bottom w:val="single" w:sz="2" w:space="0" w:color="auto"/>
              <w:right w:val="single" w:sz="2" w:space="0" w:color="auto"/>
            </w:tcBorders>
            <w:vAlign w:val="center"/>
          </w:tcPr>
          <w:p w14:paraId="6C9FA814"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14,571.65</w:t>
            </w:r>
          </w:p>
        </w:tc>
        <w:tc>
          <w:tcPr>
            <w:tcW w:w="803" w:type="dxa"/>
            <w:tcBorders>
              <w:top w:val="single" w:sz="2" w:space="0" w:color="auto"/>
              <w:left w:val="single" w:sz="2" w:space="0" w:color="auto"/>
              <w:bottom w:val="single" w:sz="2" w:space="0" w:color="auto"/>
              <w:right w:val="single" w:sz="2" w:space="0" w:color="auto"/>
            </w:tcBorders>
            <w:vAlign w:val="center"/>
          </w:tcPr>
          <w:p w14:paraId="43FFEB85"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4BFB28A7"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7D53789D"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0.00%</w:t>
            </w:r>
          </w:p>
        </w:tc>
        <w:tc>
          <w:tcPr>
            <w:tcW w:w="803" w:type="dxa"/>
            <w:tcBorders>
              <w:top w:val="single" w:sz="2" w:space="0" w:color="auto"/>
              <w:left w:val="single" w:sz="2" w:space="0" w:color="auto"/>
              <w:bottom w:val="single" w:sz="2" w:space="0" w:color="auto"/>
              <w:right w:val="single" w:sz="2" w:space="0" w:color="auto"/>
            </w:tcBorders>
            <w:vAlign w:val="center"/>
          </w:tcPr>
          <w:p w14:paraId="06471919"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April 18, 2026</w:t>
            </w:r>
          </w:p>
        </w:tc>
        <w:tc>
          <w:tcPr>
            <w:tcW w:w="803" w:type="dxa"/>
            <w:tcBorders>
              <w:top w:val="single" w:sz="2" w:space="0" w:color="auto"/>
              <w:left w:val="single" w:sz="2" w:space="0" w:color="auto"/>
              <w:bottom w:val="single" w:sz="2" w:space="0" w:color="auto"/>
              <w:right w:val="single" w:sz="2" w:space="0" w:color="auto"/>
            </w:tcBorders>
            <w:vAlign w:val="center"/>
          </w:tcPr>
          <w:p w14:paraId="709A8382"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72B4119A"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0114390F"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c>
          <w:tcPr>
            <w:tcW w:w="803" w:type="dxa"/>
            <w:tcBorders>
              <w:top w:val="single" w:sz="2" w:space="0" w:color="auto"/>
              <w:left w:val="single" w:sz="2" w:space="0" w:color="auto"/>
              <w:bottom w:val="single" w:sz="2" w:space="0" w:color="auto"/>
              <w:right w:val="single" w:sz="2" w:space="0" w:color="auto"/>
            </w:tcBorders>
            <w:vAlign w:val="center"/>
          </w:tcPr>
          <w:p w14:paraId="7FDDAE84"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No</w:t>
            </w:r>
          </w:p>
        </w:tc>
      </w:tr>
      <w:tr w:rsidR="006B66B7" w:rsidRPr="00A9288A" w14:paraId="0B4E70F5"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vAlign w:val="center"/>
          </w:tcPr>
          <w:p w14:paraId="32DED0E0"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Operating funds and other general business purposes</w:t>
            </w:r>
          </w:p>
        </w:tc>
        <w:tc>
          <w:tcPr>
            <w:tcW w:w="803" w:type="dxa"/>
            <w:tcBorders>
              <w:top w:val="single" w:sz="2" w:space="0" w:color="auto"/>
              <w:left w:val="single" w:sz="2" w:space="0" w:color="auto"/>
              <w:bottom w:val="single" w:sz="2" w:space="0" w:color="auto"/>
              <w:right w:val="single" w:sz="2" w:space="0" w:color="auto"/>
            </w:tcBorders>
            <w:vAlign w:val="center"/>
          </w:tcPr>
          <w:p w14:paraId="28FFE93C"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No</w:t>
            </w:r>
          </w:p>
        </w:tc>
        <w:tc>
          <w:tcPr>
            <w:tcW w:w="803" w:type="dxa"/>
            <w:tcBorders>
              <w:top w:val="single" w:sz="2" w:space="0" w:color="auto"/>
              <w:left w:val="single" w:sz="2" w:space="0" w:color="auto"/>
              <w:bottom w:val="single" w:sz="2" w:space="0" w:color="auto"/>
              <w:right w:val="single" w:sz="2" w:space="0" w:color="auto"/>
            </w:tcBorders>
            <w:vAlign w:val="center"/>
          </w:tcPr>
          <w:p w14:paraId="7CA35DB0"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43,714.95</w:t>
            </w:r>
          </w:p>
        </w:tc>
        <w:tc>
          <w:tcPr>
            <w:tcW w:w="803" w:type="dxa"/>
            <w:tcBorders>
              <w:top w:val="single" w:sz="2" w:space="0" w:color="auto"/>
              <w:left w:val="single" w:sz="2" w:space="0" w:color="auto"/>
              <w:bottom w:val="single" w:sz="2" w:space="0" w:color="auto"/>
              <w:right w:val="single" w:sz="2" w:space="0" w:color="auto"/>
            </w:tcBorders>
            <w:vAlign w:val="center"/>
          </w:tcPr>
          <w:p w14:paraId="224E204D"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43,714.95</w:t>
            </w:r>
          </w:p>
        </w:tc>
        <w:tc>
          <w:tcPr>
            <w:tcW w:w="803" w:type="dxa"/>
            <w:tcBorders>
              <w:top w:val="single" w:sz="2" w:space="0" w:color="auto"/>
              <w:left w:val="single" w:sz="2" w:space="0" w:color="auto"/>
              <w:bottom w:val="single" w:sz="2" w:space="0" w:color="auto"/>
              <w:right w:val="single" w:sz="2" w:space="0" w:color="auto"/>
            </w:tcBorders>
            <w:vAlign w:val="center"/>
          </w:tcPr>
          <w:p w14:paraId="2A39EB16"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0AFC7EEA"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139D9B45"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0.00%</w:t>
            </w:r>
          </w:p>
        </w:tc>
        <w:tc>
          <w:tcPr>
            <w:tcW w:w="803" w:type="dxa"/>
            <w:tcBorders>
              <w:top w:val="single" w:sz="2" w:space="0" w:color="auto"/>
              <w:left w:val="single" w:sz="2" w:space="0" w:color="auto"/>
              <w:bottom w:val="single" w:sz="2" w:space="0" w:color="auto"/>
              <w:right w:val="single" w:sz="2" w:space="0" w:color="auto"/>
            </w:tcBorders>
            <w:vAlign w:val="center"/>
          </w:tcPr>
          <w:p w14:paraId="205A6BC1" w14:textId="77777777" w:rsidR="006B66B7" w:rsidRPr="00A9288A" w:rsidRDefault="006B66B7" w:rsidP="008C49B7">
            <w:pPr>
              <w:snapToGrid w:val="0"/>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47E47BBE"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236BFD72"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00E6B497"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c>
          <w:tcPr>
            <w:tcW w:w="803" w:type="dxa"/>
            <w:tcBorders>
              <w:top w:val="single" w:sz="2" w:space="0" w:color="auto"/>
              <w:left w:val="single" w:sz="2" w:space="0" w:color="auto"/>
              <w:bottom w:val="single" w:sz="2" w:space="0" w:color="auto"/>
              <w:right w:val="single" w:sz="2" w:space="0" w:color="auto"/>
            </w:tcBorders>
            <w:vAlign w:val="center"/>
          </w:tcPr>
          <w:p w14:paraId="2DAAC4D8"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No</w:t>
            </w:r>
          </w:p>
        </w:tc>
      </w:tr>
      <w:tr w:rsidR="006B66B7" w:rsidRPr="00A9288A" w14:paraId="7124E2FB"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B5027DA"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 xml:space="preserve">Subtotal of </w:t>
            </w:r>
            <w:r w:rsidRPr="00A9288A">
              <w:rPr>
                <w:rFonts w:ascii="Times New Roman" w:eastAsia="宋体" w:hAnsi="Times New Roman" w:cs="Times New Roman"/>
                <w:sz w:val="15"/>
                <w:szCs w:val="15"/>
              </w:rPr>
              <w:lastRenderedPageBreak/>
              <w:t>committed investment projects</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D15CB46"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lastRenderedPageBreak/>
              <w:t>--</w:t>
            </w:r>
          </w:p>
        </w:tc>
        <w:tc>
          <w:tcPr>
            <w:tcW w:w="803" w:type="dxa"/>
            <w:tcBorders>
              <w:top w:val="single" w:sz="2" w:space="0" w:color="auto"/>
              <w:left w:val="single" w:sz="2" w:space="0" w:color="auto"/>
              <w:bottom w:val="single" w:sz="2" w:space="0" w:color="auto"/>
              <w:right w:val="single" w:sz="2" w:space="0" w:color="auto"/>
            </w:tcBorders>
            <w:vAlign w:val="center"/>
          </w:tcPr>
          <w:p w14:paraId="3823FBF8"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145,716.5</w:t>
            </w:r>
          </w:p>
        </w:tc>
        <w:tc>
          <w:tcPr>
            <w:tcW w:w="803" w:type="dxa"/>
            <w:tcBorders>
              <w:top w:val="single" w:sz="2" w:space="0" w:color="auto"/>
              <w:left w:val="single" w:sz="2" w:space="0" w:color="auto"/>
              <w:bottom w:val="single" w:sz="2" w:space="0" w:color="auto"/>
              <w:right w:val="single" w:sz="2" w:space="0" w:color="auto"/>
            </w:tcBorders>
            <w:vAlign w:val="center"/>
          </w:tcPr>
          <w:p w14:paraId="57863421"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145,716.5</w:t>
            </w:r>
          </w:p>
        </w:tc>
        <w:tc>
          <w:tcPr>
            <w:tcW w:w="803" w:type="dxa"/>
            <w:tcBorders>
              <w:top w:val="single" w:sz="2" w:space="0" w:color="auto"/>
              <w:left w:val="single" w:sz="2" w:space="0" w:color="auto"/>
              <w:bottom w:val="single" w:sz="2" w:space="0" w:color="auto"/>
              <w:right w:val="single" w:sz="2" w:space="0" w:color="auto"/>
            </w:tcBorders>
            <w:vAlign w:val="center"/>
          </w:tcPr>
          <w:p w14:paraId="528ACA6D"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31849BC7"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758F583"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ACF82B9"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vAlign w:val="center"/>
          </w:tcPr>
          <w:p w14:paraId="45D6CEC5"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5CC7340E"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124EAC7"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04FD17F"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r>
      <w:tr w:rsidR="006B66B7" w:rsidRPr="00A9288A" w14:paraId="2A80120C" w14:textId="77777777" w:rsidTr="0001208F">
        <w:trPr>
          <w:jc w:val="center"/>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2F249BF7"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Investment of excessive raised funds</w:t>
            </w:r>
          </w:p>
        </w:tc>
      </w:tr>
      <w:tr w:rsidR="006B66B7" w:rsidRPr="00A9288A" w14:paraId="3087479B"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vAlign w:val="center"/>
          </w:tcPr>
          <w:p w14:paraId="0E411C7F"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c>
          <w:tcPr>
            <w:tcW w:w="803" w:type="dxa"/>
            <w:tcBorders>
              <w:top w:val="single" w:sz="2" w:space="0" w:color="auto"/>
              <w:left w:val="single" w:sz="2" w:space="0" w:color="auto"/>
              <w:bottom w:val="single" w:sz="2" w:space="0" w:color="auto"/>
              <w:right w:val="single" w:sz="2" w:space="0" w:color="auto"/>
            </w:tcBorders>
            <w:vAlign w:val="center"/>
          </w:tcPr>
          <w:p w14:paraId="72EEE836"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No</w:t>
            </w:r>
          </w:p>
        </w:tc>
        <w:tc>
          <w:tcPr>
            <w:tcW w:w="803" w:type="dxa"/>
            <w:tcBorders>
              <w:top w:val="single" w:sz="2" w:space="0" w:color="auto"/>
              <w:left w:val="single" w:sz="2" w:space="0" w:color="auto"/>
              <w:bottom w:val="single" w:sz="2" w:space="0" w:color="auto"/>
              <w:right w:val="single" w:sz="2" w:space="0" w:color="auto"/>
            </w:tcBorders>
            <w:vAlign w:val="center"/>
          </w:tcPr>
          <w:p w14:paraId="524F42AC"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45BD9F6B"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1699AB08"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20431F9C"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4A206502"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0.00%</w:t>
            </w:r>
          </w:p>
        </w:tc>
        <w:tc>
          <w:tcPr>
            <w:tcW w:w="803" w:type="dxa"/>
            <w:tcBorders>
              <w:top w:val="single" w:sz="2" w:space="0" w:color="auto"/>
              <w:left w:val="single" w:sz="2" w:space="0" w:color="auto"/>
              <w:bottom w:val="single" w:sz="2" w:space="0" w:color="auto"/>
              <w:right w:val="single" w:sz="2" w:space="0" w:color="auto"/>
            </w:tcBorders>
            <w:vAlign w:val="center"/>
          </w:tcPr>
          <w:p w14:paraId="57CFE68D" w14:textId="77777777" w:rsidR="006B66B7" w:rsidRPr="00A9288A" w:rsidRDefault="006B66B7" w:rsidP="008C49B7">
            <w:pPr>
              <w:snapToGrid w:val="0"/>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5DCC8D7B"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0B5C94DC"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79C761FB" w14:textId="77777777" w:rsidR="006B66B7" w:rsidRPr="00A9288A" w:rsidRDefault="006B66B7" w:rsidP="008C49B7">
            <w:pPr>
              <w:snapToGrid w:val="0"/>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7106E4E0" w14:textId="77777777" w:rsidR="006B66B7" w:rsidRPr="00A9288A" w:rsidRDefault="006B66B7" w:rsidP="008C49B7">
            <w:pPr>
              <w:snapToGrid w:val="0"/>
              <w:rPr>
                <w:rFonts w:ascii="Times New Roman" w:eastAsia="宋体" w:hAnsi="Times New Roman" w:cs="Times New Roman"/>
                <w:sz w:val="15"/>
                <w:szCs w:val="15"/>
              </w:rPr>
            </w:pPr>
          </w:p>
        </w:tc>
      </w:tr>
      <w:tr w:rsidR="006B66B7" w:rsidRPr="00A9288A" w14:paraId="7958CE8D"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0D2E43E"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Subtotal of investment of excessive raised funds</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58AFDAF"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vAlign w:val="center"/>
          </w:tcPr>
          <w:p w14:paraId="0032F047"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3D389522"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3EBDFBD1"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19724736"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022A4A1"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C128F4D"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vAlign w:val="center"/>
          </w:tcPr>
          <w:p w14:paraId="4F105C81"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41B9B168"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BD7B5E1"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D693D12"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r>
      <w:tr w:rsidR="006B66B7" w:rsidRPr="00A9288A" w14:paraId="703E94B8"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EF8F088"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Total</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F306E3F"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vAlign w:val="center"/>
          </w:tcPr>
          <w:p w14:paraId="50021C63"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145,716.5</w:t>
            </w:r>
          </w:p>
        </w:tc>
        <w:tc>
          <w:tcPr>
            <w:tcW w:w="803" w:type="dxa"/>
            <w:tcBorders>
              <w:top w:val="single" w:sz="2" w:space="0" w:color="auto"/>
              <w:left w:val="single" w:sz="2" w:space="0" w:color="auto"/>
              <w:bottom w:val="single" w:sz="2" w:space="0" w:color="auto"/>
              <w:right w:val="single" w:sz="2" w:space="0" w:color="auto"/>
            </w:tcBorders>
            <w:vAlign w:val="center"/>
          </w:tcPr>
          <w:p w14:paraId="7C07CFF6"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145,716.5</w:t>
            </w:r>
          </w:p>
        </w:tc>
        <w:tc>
          <w:tcPr>
            <w:tcW w:w="803" w:type="dxa"/>
            <w:tcBorders>
              <w:top w:val="single" w:sz="2" w:space="0" w:color="auto"/>
              <w:left w:val="single" w:sz="2" w:space="0" w:color="auto"/>
              <w:bottom w:val="single" w:sz="2" w:space="0" w:color="auto"/>
              <w:right w:val="single" w:sz="2" w:space="0" w:color="auto"/>
            </w:tcBorders>
            <w:vAlign w:val="center"/>
          </w:tcPr>
          <w:p w14:paraId="52C213F1"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7A83DCE3"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FBDF696"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5A9B7BA"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vAlign w:val="center"/>
          </w:tcPr>
          <w:p w14:paraId="7AFA2F3C"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vAlign w:val="center"/>
          </w:tcPr>
          <w:p w14:paraId="6AF31ABD" w14:textId="77777777" w:rsidR="006B66B7" w:rsidRPr="00A9288A" w:rsidRDefault="002349C6" w:rsidP="008C49B7">
            <w:pPr>
              <w:snapToGrid w:val="0"/>
              <w:jc w:val="right"/>
              <w:rPr>
                <w:rFonts w:ascii="Times New Roman" w:eastAsia="宋体" w:hAnsi="Times New Roman" w:cs="Times New Roman"/>
                <w:sz w:val="15"/>
                <w:szCs w:val="15"/>
              </w:rPr>
            </w:pPr>
            <w:r w:rsidRPr="00A9288A">
              <w:rPr>
                <w:rFonts w:ascii="Times New Roman" w:eastAsia="宋体" w:hAnsi="Times New Roman" w:cs="Times New Roman"/>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B55ADF0"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0FE8B9A" w14:textId="77777777" w:rsidR="006B66B7" w:rsidRPr="00A9288A" w:rsidRDefault="002349C6" w:rsidP="008C49B7">
            <w:pPr>
              <w:snapToGrid w:val="0"/>
              <w:jc w:val="center"/>
              <w:rPr>
                <w:rFonts w:ascii="Times New Roman" w:eastAsia="宋体" w:hAnsi="Times New Roman" w:cs="Times New Roman"/>
                <w:sz w:val="15"/>
                <w:szCs w:val="15"/>
              </w:rPr>
            </w:pPr>
            <w:r w:rsidRPr="00A9288A">
              <w:rPr>
                <w:rFonts w:ascii="Times New Roman" w:eastAsia="宋体" w:hAnsi="Times New Roman" w:cs="Times New Roman"/>
                <w:sz w:val="15"/>
                <w:szCs w:val="15"/>
              </w:rPr>
              <w:t>--</w:t>
            </w:r>
          </w:p>
        </w:tc>
      </w:tr>
      <w:tr w:rsidR="006B66B7" w:rsidRPr="00A9288A" w14:paraId="3FF33F79"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BDC47C3"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Cases and reasons for failing to reach the planned progress or predicted return by specific projects (including the reasons for choosing "not applicable" for "whether the predicted return has been achieved")</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3CB9D37D"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r>
      <w:tr w:rsidR="006B66B7" w:rsidRPr="00A9288A" w14:paraId="5390E191"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1D6CF5C"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Explanations of the material changes in the project feasibility</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58DDE46C"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r>
      <w:tr w:rsidR="006B66B7" w:rsidRPr="00A9288A" w14:paraId="05443137"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82A6BD0"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Amount, use, and use progress of excessive raised funds</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0E76F93C"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r>
      <w:tr w:rsidR="006B66B7" w:rsidRPr="00A9288A" w14:paraId="63A06892"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420CA39"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Alteration of sites for the implementation of the raised fund investment projects</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18FAABE0"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r>
      <w:tr w:rsidR="006B66B7" w:rsidRPr="00A9288A" w14:paraId="6AC73BA1"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BD88BB9"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Adjustment to the method for implementing the raised fund investment projects</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5D74F426"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r>
      <w:tr w:rsidR="006B66B7" w:rsidRPr="00A9288A" w14:paraId="1A00F216"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84789EB"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Early investment and replacement of the raised fund investment projects</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6B82F514"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r>
      <w:tr w:rsidR="006B66B7" w:rsidRPr="00A9288A" w14:paraId="188240E8"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153E62C"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Temporary replenishment of liquid capital with the idle raised funds</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7AB1F7F4"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r>
      <w:tr w:rsidR="006B66B7" w:rsidRPr="00A9288A" w14:paraId="4BC2231B"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800C219"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 xml:space="preserve">Amount of the closing balance of the raised funds during the </w:t>
            </w:r>
            <w:r w:rsidRPr="00A9288A">
              <w:rPr>
                <w:rFonts w:ascii="Times New Roman" w:eastAsia="宋体" w:hAnsi="Times New Roman" w:cs="Times New Roman"/>
                <w:sz w:val="15"/>
                <w:szCs w:val="15"/>
              </w:rPr>
              <w:lastRenderedPageBreak/>
              <w:t>project implementation as well as reasons</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30230D4D"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lastRenderedPageBreak/>
              <w:t>N/A</w:t>
            </w:r>
          </w:p>
        </w:tc>
      </w:tr>
      <w:tr w:rsidR="006B66B7" w:rsidRPr="00A9288A" w14:paraId="0BF49CC6"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1C99E5E"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Use and ownership change of unused raised funds</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5ECD7B00"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The account for depositing raised funds.</w:t>
            </w:r>
          </w:p>
        </w:tc>
      </w:tr>
      <w:tr w:rsidR="006B66B7" w:rsidRPr="00A9288A" w14:paraId="675C35BC"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22F0F60"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Problems in the use and disclosure of raised funds, or other cases</w:t>
            </w:r>
          </w:p>
        </w:tc>
        <w:tc>
          <w:tcPr>
            <w:tcW w:w="8836" w:type="dxa"/>
            <w:gridSpan w:val="11"/>
            <w:tcBorders>
              <w:top w:val="single" w:sz="2" w:space="0" w:color="auto"/>
              <w:left w:val="single" w:sz="2" w:space="0" w:color="auto"/>
              <w:bottom w:val="single" w:sz="2" w:space="0" w:color="auto"/>
              <w:right w:val="single" w:sz="2" w:space="0" w:color="auto"/>
            </w:tcBorders>
            <w:vAlign w:val="center"/>
          </w:tcPr>
          <w:p w14:paraId="226DBF9A" w14:textId="77777777" w:rsidR="006B66B7" w:rsidRPr="00A9288A" w:rsidRDefault="002349C6" w:rsidP="008C49B7">
            <w:pPr>
              <w:snapToGrid w:val="0"/>
              <w:rPr>
                <w:rFonts w:ascii="Times New Roman" w:eastAsia="宋体" w:hAnsi="Times New Roman" w:cs="Times New Roman"/>
                <w:sz w:val="15"/>
                <w:szCs w:val="15"/>
              </w:rPr>
            </w:pPr>
            <w:r w:rsidRPr="00A9288A">
              <w:rPr>
                <w:rFonts w:ascii="Times New Roman" w:eastAsia="宋体" w:hAnsi="Times New Roman" w:cs="Times New Roman"/>
                <w:sz w:val="15"/>
                <w:szCs w:val="15"/>
              </w:rPr>
              <w:t>N/A</w:t>
            </w:r>
          </w:p>
        </w:tc>
      </w:tr>
    </w:tbl>
    <w:p w14:paraId="57864F60" w14:textId="77777777" w:rsidR="006B66B7" w:rsidRPr="00F73301" w:rsidRDefault="002349C6" w:rsidP="00A9288A">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2" w:name="_Toc988920"/>
      <w:r w:rsidRPr="00F73301">
        <w:rPr>
          <w:rFonts w:ascii="Times New Roman" w:eastAsia="宋体" w:hAnsi="Times New Roman" w:cs="Times New Roman"/>
          <w:b/>
          <w:bCs/>
          <w:sz w:val="24"/>
          <w:szCs w:val="24"/>
        </w:rPr>
        <w:t>(3) Altered projects where raised funds are invested</w:t>
      </w:r>
      <w:bookmarkEnd w:id="32"/>
    </w:p>
    <w:p w14:paraId="56A00D29" w14:textId="1AC50FA9"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5525BE54"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were no altered projects of raised funds by the Company during the Reporting Period.</w:t>
      </w:r>
    </w:p>
    <w:p w14:paraId="24036D97" w14:textId="77777777" w:rsidR="006B66B7" w:rsidRPr="00F73301" w:rsidRDefault="002349C6" w:rsidP="00A9288A">
      <w:pPr>
        <w:pStyle w:val="3"/>
      </w:pPr>
      <w:bookmarkStart w:id="33" w:name="_Toc988921"/>
      <w:r w:rsidRPr="00F73301">
        <w:t>6. Entrusted wealth management, investment in derivatives, and entrusted loans</w:t>
      </w:r>
      <w:bookmarkEnd w:id="33"/>
    </w:p>
    <w:p w14:paraId="329001DD" w14:textId="77777777" w:rsidR="006B66B7" w:rsidRPr="00F73301" w:rsidRDefault="002349C6" w:rsidP="00A9288A">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4" w:name="_Toc988922"/>
      <w:r w:rsidRPr="00F73301">
        <w:rPr>
          <w:rFonts w:ascii="Times New Roman" w:eastAsia="宋体" w:hAnsi="Times New Roman" w:cs="Times New Roman"/>
          <w:b/>
          <w:bCs/>
          <w:sz w:val="24"/>
          <w:szCs w:val="24"/>
        </w:rPr>
        <w:t>(1) Entrusted financial management</w:t>
      </w:r>
      <w:bookmarkEnd w:id="34"/>
    </w:p>
    <w:p w14:paraId="59A4441D"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0DD5FBA8"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Overview of trust financial management during the Reporting Period</w:t>
      </w:r>
    </w:p>
    <w:p w14:paraId="65241DD1"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RMB10,000</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7"/>
        <w:gridCol w:w="1608"/>
        <w:gridCol w:w="1606"/>
        <w:gridCol w:w="1606"/>
        <w:gridCol w:w="1606"/>
        <w:gridCol w:w="1606"/>
      </w:tblGrid>
      <w:tr w:rsidR="006B66B7" w:rsidRPr="008C49B7" w14:paraId="5A609562"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598C73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Specific type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11EB51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Sources of funds for trust financial management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14EFDE"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Amount of trust financial management incurred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842F55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Unexpired balance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BC9B37D"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Overdue outstanding amount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3F78971"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Impaired amount overdue for collection in financial management</w:t>
            </w:r>
          </w:p>
        </w:tc>
      </w:tr>
      <w:tr w:rsidR="006B66B7" w:rsidRPr="008C49B7" w14:paraId="460B234F"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464FA89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Banking WM product</w:t>
            </w:r>
          </w:p>
        </w:tc>
        <w:tc>
          <w:tcPr>
            <w:tcW w:w="1606" w:type="dxa"/>
            <w:tcBorders>
              <w:top w:val="single" w:sz="2" w:space="0" w:color="auto"/>
              <w:left w:val="single" w:sz="2" w:space="0" w:color="auto"/>
              <w:bottom w:val="single" w:sz="2" w:space="0" w:color="auto"/>
              <w:right w:val="single" w:sz="2" w:space="0" w:color="auto"/>
            </w:tcBorders>
            <w:vAlign w:val="center"/>
          </w:tcPr>
          <w:p w14:paraId="7902A5F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Equity fund</w:t>
            </w:r>
          </w:p>
        </w:tc>
        <w:tc>
          <w:tcPr>
            <w:tcW w:w="1606" w:type="dxa"/>
            <w:tcBorders>
              <w:top w:val="single" w:sz="2" w:space="0" w:color="auto"/>
              <w:left w:val="single" w:sz="2" w:space="0" w:color="auto"/>
              <w:bottom w:val="single" w:sz="2" w:space="0" w:color="auto"/>
              <w:right w:val="single" w:sz="2" w:space="0" w:color="auto"/>
            </w:tcBorders>
            <w:vAlign w:val="center"/>
          </w:tcPr>
          <w:p w14:paraId="75A5755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2,080</w:t>
            </w:r>
          </w:p>
        </w:tc>
        <w:tc>
          <w:tcPr>
            <w:tcW w:w="1606" w:type="dxa"/>
            <w:tcBorders>
              <w:top w:val="single" w:sz="2" w:space="0" w:color="auto"/>
              <w:left w:val="single" w:sz="2" w:space="0" w:color="auto"/>
              <w:bottom w:val="single" w:sz="2" w:space="0" w:color="auto"/>
              <w:right w:val="single" w:sz="2" w:space="0" w:color="auto"/>
            </w:tcBorders>
            <w:vAlign w:val="center"/>
          </w:tcPr>
          <w:p w14:paraId="679302B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2,140</w:t>
            </w:r>
          </w:p>
        </w:tc>
        <w:tc>
          <w:tcPr>
            <w:tcW w:w="1606" w:type="dxa"/>
            <w:tcBorders>
              <w:top w:val="single" w:sz="2" w:space="0" w:color="auto"/>
              <w:left w:val="single" w:sz="2" w:space="0" w:color="auto"/>
              <w:bottom w:val="single" w:sz="2" w:space="0" w:color="auto"/>
              <w:right w:val="single" w:sz="2" w:space="0" w:color="auto"/>
            </w:tcBorders>
            <w:vAlign w:val="center"/>
          </w:tcPr>
          <w:p w14:paraId="0DDCE3C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14:paraId="6E1C12D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r>
      <w:tr w:rsidR="006B66B7" w:rsidRPr="008C49B7" w14:paraId="74901726" w14:textId="77777777" w:rsidTr="0001208F">
        <w:trPr>
          <w:jc w:val="center"/>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45674E0"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Total</w:t>
            </w:r>
          </w:p>
        </w:tc>
        <w:tc>
          <w:tcPr>
            <w:tcW w:w="1606" w:type="dxa"/>
            <w:tcBorders>
              <w:top w:val="single" w:sz="2" w:space="0" w:color="auto"/>
              <w:left w:val="single" w:sz="2" w:space="0" w:color="auto"/>
              <w:bottom w:val="single" w:sz="2" w:space="0" w:color="auto"/>
              <w:right w:val="single" w:sz="2" w:space="0" w:color="auto"/>
            </w:tcBorders>
            <w:vAlign w:val="center"/>
          </w:tcPr>
          <w:p w14:paraId="73CE93C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2,080</w:t>
            </w:r>
          </w:p>
        </w:tc>
        <w:tc>
          <w:tcPr>
            <w:tcW w:w="1606" w:type="dxa"/>
            <w:tcBorders>
              <w:top w:val="single" w:sz="2" w:space="0" w:color="auto"/>
              <w:left w:val="single" w:sz="2" w:space="0" w:color="auto"/>
              <w:bottom w:val="single" w:sz="2" w:space="0" w:color="auto"/>
              <w:right w:val="single" w:sz="2" w:space="0" w:color="auto"/>
            </w:tcBorders>
            <w:vAlign w:val="center"/>
          </w:tcPr>
          <w:p w14:paraId="57085AC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2,140</w:t>
            </w:r>
          </w:p>
        </w:tc>
        <w:tc>
          <w:tcPr>
            <w:tcW w:w="1606" w:type="dxa"/>
            <w:tcBorders>
              <w:top w:val="single" w:sz="2" w:space="0" w:color="auto"/>
              <w:left w:val="single" w:sz="2" w:space="0" w:color="auto"/>
              <w:bottom w:val="single" w:sz="2" w:space="0" w:color="auto"/>
              <w:right w:val="single" w:sz="2" w:space="0" w:color="auto"/>
            </w:tcBorders>
            <w:vAlign w:val="center"/>
          </w:tcPr>
          <w:p w14:paraId="768ED57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14:paraId="609FFBE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r>
    </w:tbl>
    <w:p w14:paraId="56D4F029"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Details of high-risk trust financial management products with significant single amount or low security and low liquidity</w:t>
      </w:r>
    </w:p>
    <w:p w14:paraId="420E2957" w14:textId="0F86162C"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3454BD48"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principal is expected to be unrecoverable or other circumstances that may lead to impairment in trust financial management</w:t>
      </w:r>
    </w:p>
    <w:p w14:paraId="31EE425B" w14:textId="47C50160"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1C7476AD" w14:textId="77777777" w:rsidR="006B66B7" w:rsidRPr="00F73301" w:rsidRDefault="002349C6" w:rsidP="00A9288A">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5" w:name="_Toc988923"/>
      <w:r w:rsidRPr="00F73301">
        <w:rPr>
          <w:rFonts w:ascii="Times New Roman" w:eastAsia="宋体" w:hAnsi="Times New Roman" w:cs="Times New Roman"/>
          <w:b/>
          <w:bCs/>
          <w:sz w:val="24"/>
          <w:szCs w:val="24"/>
        </w:rPr>
        <w:t>(2) Investment in derivatives</w:t>
      </w:r>
      <w:bookmarkEnd w:id="35"/>
    </w:p>
    <w:p w14:paraId="3AF9879D" w14:textId="0F191F83"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11D477CA"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did not invest in derivatives during the Reporting Period.</w:t>
      </w:r>
    </w:p>
    <w:p w14:paraId="1F044D7D" w14:textId="77777777" w:rsidR="006B66B7" w:rsidRPr="00F73301" w:rsidRDefault="002349C6" w:rsidP="00A9288A">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6" w:name="_Toc988924"/>
      <w:r w:rsidRPr="00F73301">
        <w:rPr>
          <w:rFonts w:ascii="Times New Roman" w:eastAsia="宋体" w:hAnsi="Times New Roman" w:cs="Times New Roman"/>
          <w:b/>
          <w:bCs/>
          <w:sz w:val="24"/>
          <w:szCs w:val="24"/>
        </w:rPr>
        <w:t>(3) Entrusted loans</w:t>
      </w:r>
      <w:bookmarkEnd w:id="36"/>
    </w:p>
    <w:p w14:paraId="031D645E" w14:textId="3415E29C"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19A02738"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entrusted loans during the Reporting Period.</w:t>
      </w:r>
    </w:p>
    <w:p w14:paraId="300D443F" w14:textId="77777777" w:rsidR="006B66B7" w:rsidRPr="00F73301" w:rsidRDefault="002349C6" w:rsidP="00A9288A">
      <w:pPr>
        <w:pStyle w:val="2"/>
      </w:pPr>
      <w:bookmarkStart w:id="37" w:name="_Toc988925"/>
      <w:r w:rsidRPr="00F73301">
        <w:lastRenderedPageBreak/>
        <w:t>VII. Sale of Material Assets and Equities</w:t>
      </w:r>
      <w:bookmarkEnd w:id="37"/>
    </w:p>
    <w:p w14:paraId="07FFF883" w14:textId="77777777" w:rsidR="006B66B7" w:rsidRPr="00F73301" w:rsidRDefault="002349C6" w:rsidP="00A9288A">
      <w:pPr>
        <w:pStyle w:val="3"/>
      </w:pPr>
      <w:bookmarkStart w:id="38" w:name="_Toc988926"/>
      <w:r w:rsidRPr="00F73301">
        <w:t>1. Sale of material assets</w:t>
      </w:r>
      <w:bookmarkEnd w:id="38"/>
    </w:p>
    <w:p w14:paraId="01ED61FB" w14:textId="62CE13D0"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AD489FE"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did not sell material assets during the Reporting Period.</w:t>
      </w:r>
    </w:p>
    <w:p w14:paraId="16BE8469" w14:textId="77777777" w:rsidR="006B66B7" w:rsidRPr="00F73301" w:rsidRDefault="002349C6" w:rsidP="00A9288A">
      <w:pPr>
        <w:pStyle w:val="3"/>
      </w:pPr>
      <w:bookmarkStart w:id="39" w:name="_Toc988927"/>
      <w:r w:rsidRPr="00F73301">
        <w:t>2. Sale of material equities</w:t>
      </w:r>
      <w:bookmarkEnd w:id="39"/>
    </w:p>
    <w:p w14:paraId="25EA5DEB" w14:textId="20F1A2B4"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B21CA4A" w14:textId="77777777" w:rsidR="006B66B7" w:rsidRPr="00F73301" w:rsidRDefault="002349C6" w:rsidP="00A9288A">
      <w:pPr>
        <w:pStyle w:val="2"/>
      </w:pPr>
      <w:bookmarkStart w:id="40" w:name="_Toc988928"/>
      <w:r w:rsidRPr="00F73301">
        <w:t>VIII. Analysis of Major Subsidiaries and Investees</w:t>
      </w:r>
      <w:bookmarkEnd w:id="40"/>
    </w:p>
    <w:p w14:paraId="4A5A46C5" w14:textId="109E2E79"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459D983"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important information about the companies controlled or invested in by the Company that should be disclosed during the Reporting Period.</w:t>
      </w:r>
    </w:p>
    <w:p w14:paraId="05FA1B9C" w14:textId="77777777" w:rsidR="006B66B7" w:rsidRPr="00F73301" w:rsidRDefault="002349C6" w:rsidP="00A9288A">
      <w:pPr>
        <w:pStyle w:val="2"/>
      </w:pPr>
      <w:bookmarkStart w:id="41" w:name="_Toc988929"/>
      <w:r w:rsidRPr="00F73301">
        <w:t>IX. Structured Entities Controlled by the Company</w:t>
      </w:r>
      <w:bookmarkEnd w:id="41"/>
    </w:p>
    <w:p w14:paraId="6701D8CE" w14:textId="7A6DC72A"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4CE74C53" w14:textId="77777777" w:rsidR="006B66B7" w:rsidRPr="00F73301" w:rsidRDefault="002349C6" w:rsidP="00A9288A">
      <w:pPr>
        <w:pStyle w:val="2"/>
      </w:pPr>
      <w:bookmarkStart w:id="42" w:name="_Toc988930"/>
      <w:r w:rsidRPr="00F73301">
        <w:t>X. Risks Facing the Company and Countermeasures</w:t>
      </w:r>
      <w:bookmarkEnd w:id="42"/>
    </w:p>
    <w:p w14:paraId="6067DECC" w14:textId="77777777" w:rsidR="00273CFE" w:rsidRPr="00F73301" w:rsidRDefault="002349C6" w:rsidP="00A9288A">
      <w:pPr>
        <w:pStyle w:val="a3"/>
        <w:snapToGrid w:val="0"/>
        <w:spacing w:beforeLines="50" w:before="156" w:beforeAutospacing="0" w:afterLines="50" w:after="156" w:afterAutospacing="0"/>
        <w:jc w:val="both"/>
        <w:divId w:val="258173377"/>
        <w:rPr>
          <w:rFonts w:ascii="Times New Roman" w:hAnsi="Times New Roman" w:cs="Times New Roman"/>
        </w:rPr>
      </w:pPr>
      <w:r w:rsidRPr="00F73301">
        <w:rPr>
          <w:rFonts w:ascii="Times New Roman" w:eastAsia="等线" w:hAnsi="Times New Roman" w:cs="Times New Roman"/>
        </w:rPr>
        <w:t>For details, see Major Risk Alerts in "Section I Important Notice, Table of Contents and Definitions".</w:t>
      </w:r>
    </w:p>
    <w:p w14:paraId="0BDB1F5D" w14:textId="77777777" w:rsidR="006B66B7" w:rsidRPr="00F73301" w:rsidRDefault="002349C6" w:rsidP="00A9288A">
      <w:pPr>
        <w:pStyle w:val="2"/>
      </w:pPr>
      <w:bookmarkStart w:id="43" w:name="_Toc988931"/>
      <w:r w:rsidRPr="00F73301">
        <w:t>XI. Registration Form for Activities during the Reporting Period, including Surveys, Communication, and Interviews</w:t>
      </w:r>
      <w:bookmarkEnd w:id="43"/>
    </w:p>
    <w:p w14:paraId="704EF1CC"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6B66B7" w:rsidRPr="008C49B7" w14:paraId="741F596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F9F161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Reception time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1F81A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Reception place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4BD522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Reception method</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E04CF3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Type of received visitor</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98E949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Received visitors</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DE88C9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Main topics discussed and information provided</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65C40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Index to main inquiry information</w:t>
            </w:r>
          </w:p>
        </w:tc>
      </w:tr>
      <w:tr w:rsidR="006B66B7" w:rsidRPr="008C49B7" w14:paraId="27822483"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71B68CA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May 24, 2023</w:t>
            </w:r>
          </w:p>
        </w:tc>
        <w:tc>
          <w:tcPr>
            <w:tcW w:w="1377" w:type="dxa"/>
            <w:tcBorders>
              <w:top w:val="single" w:sz="2" w:space="0" w:color="auto"/>
              <w:left w:val="single" w:sz="2" w:space="0" w:color="auto"/>
              <w:bottom w:val="single" w:sz="2" w:space="0" w:color="auto"/>
              <w:right w:val="single" w:sz="2" w:space="0" w:color="auto"/>
            </w:tcBorders>
            <w:vAlign w:val="center"/>
          </w:tcPr>
          <w:p w14:paraId="033FC03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The online interaction platform, Value Online (http://www.ir-online.cn/)</w:t>
            </w:r>
          </w:p>
        </w:tc>
        <w:tc>
          <w:tcPr>
            <w:tcW w:w="1377" w:type="dxa"/>
            <w:tcBorders>
              <w:top w:val="single" w:sz="2" w:space="0" w:color="auto"/>
              <w:left w:val="single" w:sz="2" w:space="0" w:color="auto"/>
              <w:bottom w:val="single" w:sz="2" w:space="0" w:color="auto"/>
              <w:right w:val="single" w:sz="2" w:space="0" w:color="auto"/>
            </w:tcBorders>
            <w:vAlign w:val="center"/>
          </w:tcPr>
          <w:p w14:paraId="3FBD98B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Others</w:t>
            </w:r>
          </w:p>
        </w:tc>
        <w:tc>
          <w:tcPr>
            <w:tcW w:w="1377" w:type="dxa"/>
            <w:tcBorders>
              <w:top w:val="single" w:sz="2" w:space="0" w:color="auto"/>
              <w:left w:val="single" w:sz="2" w:space="0" w:color="auto"/>
              <w:bottom w:val="single" w:sz="2" w:space="0" w:color="auto"/>
              <w:right w:val="single" w:sz="2" w:space="0" w:color="auto"/>
            </w:tcBorders>
            <w:vAlign w:val="center"/>
          </w:tcPr>
          <w:p w14:paraId="679911D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Others</w:t>
            </w:r>
          </w:p>
        </w:tc>
        <w:tc>
          <w:tcPr>
            <w:tcW w:w="1377" w:type="dxa"/>
            <w:tcBorders>
              <w:top w:val="single" w:sz="2" w:space="0" w:color="auto"/>
              <w:left w:val="single" w:sz="2" w:space="0" w:color="auto"/>
              <w:bottom w:val="single" w:sz="2" w:space="0" w:color="auto"/>
              <w:right w:val="single" w:sz="2" w:space="0" w:color="auto"/>
            </w:tcBorders>
            <w:vAlign w:val="center"/>
          </w:tcPr>
          <w:p w14:paraId="764ED9D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To the public</w:t>
            </w:r>
          </w:p>
        </w:tc>
        <w:tc>
          <w:tcPr>
            <w:tcW w:w="1377" w:type="dxa"/>
            <w:tcBorders>
              <w:top w:val="single" w:sz="2" w:space="0" w:color="auto"/>
              <w:left w:val="single" w:sz="2" w:space="0" w:color="auto"/>
              <w:bottom w:val="single" w:sz="2" w:space="0" w:color="auto"/>
              <w:right w:val="single" w:sz="2" w:space="0" w:color="auto"/>
            </w:tcBorders>
            <w:vAlign w:val="center"/>
          </w:tcPr>
          <w:p w14:paraId="4A073045"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Exchange of the Company's operating results in 2022 and the first quarter of 2023.</w:t>
            </w:r>
          </w:p>
        </w:tc>
        <w:tc>
          <w:tcPr>
            <w:tcW w:w="1377" w:type="dxa"/>
            <w:tcBorders>
              <w:top w:val="single" w:sz="2" w:space="0" w:color="auto"/>
              <w:left w:val="single" w:sz="2" w:space="0" w:color="auto"/>
              <w:bottom w:val="single" w:sz="2" w:space="0" w:color="auto"/>
              <w:right w:val="single" w:sz="2" w:space="0" w:color="auto"/>
            </w:tcBorders>
            <w:vAlign w:val="center"/>
          </w:tcPr>
          <w:p w14:paraId="10D39EF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For details, see the </w:t>
            </w:r>
            <w:r w:rsidRPr="008C49B7">
              <w:rPr>
                <w:rFonts w:ascii="Times New Roman" w:eastAsia="宋体" w:hAnsi="Times New Roman" w:cs="Times New Roman"/>
                <w:i/>
                <w:iCs/>
                <w:sz w:val="18"/>
                <w:szCs w:val="18"/>
              </w:rPr>
              <w:t xml:space="preserve">Record of </w:t>
            </w:r>
            <w:proofErr w:type="spellStart"/>
            <w:r w:rsidRPr="008C49B7">
              <w:rPr>
                <w:rFonts w:ascii="Times New Roman" w:eastAsia="宋体" w:hAnsi="Times New Roman" w:cs="Times New Roman"/>
                <w:i/>
                <w:iCs/>
                <w:sz w:val="18"/>
                <w:szCs w:val="18"/>
              </w:rPr>
              <w:t>Yangjie</w:t>
            </w:r>
            <w:proofErr w:type="spellEnd"/>
            <w:r w:rsidRPr="008C49B7">
              <w:rPr>
                <w:rFonts w:ascii="Times New Roman" w:eastAsia="宋体" w:hAnsi="Times New Roman" w:cs="Times New Roman"/>
                <w:i/>
                <w:iCs/>
                <w:sz w:val="18"/>
                <w:szCs w:val="18"/>
              </w:rPr>
              <w:t xml:space="preserve"> Technology on Investor Relation Activities on May 24, 2023</w:t>
            </w:r>
            <w:r w:rsidRPr="008C49B7">
              <w:rPr>
                <w:rFonts w:ascii="Times New Roman" w:eastAsia="宋体" w:hAnsi="Times New Roman" w:cs="Times New Roman"/>
                <w:sz w:val="18"/>
                <w:szCs w:val="18"/>
              </w:rPr>
              <w:t xml:space="preserve"> (No.: 2023-001) disclosed by the Company on www.cninfo.com.cn on May 24, 2023.</w:t>
            </w:r>
          </w:p>
          <w:p w14:paraId="2185F951" w14:textId="77777777" w:rsidR="006B66B7" w:rsidRPr="008C49B7" w:rsidRDefault="006B66B7" w:rsidP="008C49B7">
            <w:pPr>
              <w:snapToGrid w:val="0"/>
              <w:rPr>
                <w:rFonts w:ascii="Times New Roman" w:eastAsia="宋体" w:hAnsi="Times New Roman" w:cs="Times New Roman"/>
                <w:sz w:val="18"/>
                <w:szCs w:val="18"/>
              </w:rPr>
            </w:pPr>
          </w:p>
          <w:p w14:paraId="2BBA69E0" w14:textId="77777777" w:rsidR="006B66B7" w:rsidRPr="008C49B7" w:rsidRDefault="006B66B7" w:rsidP="008C49B7">
            <w:pPr>
              <w:snapToGrid w:val="0"/>
              <w:rPr>
                <w:rFonts w:ascii="Times New Roman" w:eastAsia="宋体" w:hAnsi="Times New Roman" w:cs="Times New Roman"/>
                <w:sz w:val="18"/>
                <w:szCs w:val="18"/>
              </w:rPr>
            </w:pPr>
          </w:p>
          <w:p w14:paraId="297C7ADC" w14:textId="77777777" w:rsidR="006B66B7" w:rsidRPr="008C49B7" w:rsidRDefault="006B66B7" w:rsidP="008C49B7">
            <w:pPr>
              <w:snapToGrid w:val="0"/>
              <w:rPr>
                <w:rFonts w:ascii="Times New Roman" w:eastAsia="宋体" w:hAnsi="Times New Roman" w:cs="Times New Roman"/>
                <w:sz w:val="18"/>
                <w:szCs w:val="18"/>
              </w:rPr>
            </w:pPr>
          </w:p>
        </w:tc>
      </w:tr>
    </w:tbl>
    <w:p w14:paraId="46BF8038" w14:textId="77777777" w:rsidR="006B66B7" w:rsidRPr="00F73301" w:rsidRDefault="002349C6" w:rsidP="00F73301">
      <w:pPr>
        <w:snapToGrid w:val="0"/>
        <w:spacing w:beforeLines="50" w:before="156" w:afterLines="50" w:after="156"/>
        <w:rPr>
          <w:rFonts w:ascii="Times New Roman" w:hAnsi="Times New Roman" w:cs="Times New Roman"/>
          <w:sz w:val="24"/>
          <w:szCs w:val="24"/>
        </w:rPr>
      </w:pPr>
      <w:r w:rsidRPr="00F73301">
        <w:rPr>
          <w:rFonts w:ascii="Times New Roman" w:hAnsi="Times New Roman" w:cs="Times New Roman"/>
          <w:sz w:val="24"/>
          <w:szCs w:val="24"/>
        </w:rPr>
        <w:br w:type="page"/>
      </w:r>
    </w:p>
    <w:p w14:paraId="3BA6BAE3" w14:textId="77777777" w:rsidR="006B66B7" w:rsidRPr="00F73301" w:rsidRDefault="002349C6" w:rsidP="008C49B7">
      <w:pPr>
        <w:pStyle w:val="headingh1"/>
      </w:pPr>
      <w:bookmarkStart w:id="44" w:name="_Toc988932"/>
      <w:r w:rsidRPr="00F73301">
        <w:lastRenderedPageBreak/>
        <w:t>Section IV Corporate Governance</w:t>
      </w:r>
      <w:bookmarkEnd w:id="44"/>
    </w:p>
    <w:p w14:paraId="065C6871" w14:textId="77777777" w:rsidR="006B66B7" w:rsidRPr="00F73301" w:rsidRDefault="002349C6" w:rsidP="008C49B7">
      <w:pPr>
        <w:pStyle w:val="2"/>
      </w:pPr>
      <w:bookmarkStart w:id="45" w:name="_Toc988933"/>
      <w:r w:rsidRPr="00F73301">
        <w:t>I. Information on the Annual General Meetings of Shareholders and the Extraordinary General Meetings of Shareholders during the Reporting Period</w:t>
      </w:r>
      <w:bookmarkEnd w:id="45"/>
    </w:p>
    <w:p w14:paraId="221F5F97" w14:textId="77777777" w:rsidR="006B66B7" w:rsidRPr="00F73301" w:rsidRDefault="002349C6" w:rsidP="008C49B7">
      <w:pPr>
        <w:pStyle w:val="3"/>
      </w:pPr>
      <w:bookmarkStart w:id="46" w:name="_Toc988934"/>
      <w:r w:rsidRPr="00F73301">
        <w:t>1. Information on the shareholders' meetings during the Reporting Period</w:t>
      </w:r>
      <w:bookmarkEnd w:id="46"/>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6B66B7" w:rsidRPr="008C49B7" w14:paraId="6BF2F4C8"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8A2E19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Meeting</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BB577D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Type of meeting(s)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BC30AA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Participation ratio of investors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7BC40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Date of holding</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1C8FA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Date of disclosure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1BF88E1"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Resolutions</w:t>
            </w:r>
          </w:p>
        </w:tc>
      </w:tr>
      <w:tr w:rsidR="006B66B7" w:rsidRPr="008C49B7" w14:paraId="393599B7"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62A57CB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2022 Annual General Meeting</w:t>
            </w:r>
          </w:p>
        </w:tc>
        <w:tc>
          <w:tcPr>
            <w:tcW w:w="1606" w:type="dxa"/>
            <w:tcBorders>
              <w:top w:val="single" w:sz="2" w:space="0" w:color="auto"/>
              <w:left w:val="single" w:sz="2" w:space="0" w:color="auto"/>
              <w:bottom w:val="single" w:sz="2" w:space="0" w:color="auto"/>
              <w:right w:val="single" w:sz="2" w:space="0" w:color="auto"/>
            </w:tcBorders>
            <w:vAlign w:val="center"/>
          </w:tcPr>
          <w:p w14:paraId="01AE4D3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Annual Shareholders' Meeting</w:t>
            </w:r>
          </w:p>
        </w:tc>
        <w:tc>
          <w:tcPr>
            <w:tcW w:w="1606" w:type="dxa"/>
            <w:tcBorders>
              <w:top w:val="single" w:sz="2" w:space="0" w:color="auto"/>
              <w:left w:val="single" w:sz="2" w:space="0" w:color="auto"/>
              <w:bottom w:val="single" w:sz="2" w:space="0" w:color="auto"/>
              <w:right w:val="single" w:sz="2" w:space="0" w:color="auto"/>
            </w:tcBorders>
            <w:vAlign w:val="center"/>
          </w:tcPr>
          <w:p w14:paraId="16D56E4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49.69%</w:t>
            </w:r>
          </w:p>
        </w:tc>
        <w:tc>
          <w:tcPr>
            <w:tcW w:w="1606" w:type="dxa"/>
            <w:tcBorders>
              <w:top w:val="single" w:sz="2" w:space="0" w:color="auto"/>
              <w:left w:val="single" w:sz="2" w:space="0" w:color="auto"/>
              <w:bottom w:val="single" w:sz="2" w:space="0" w:color="auto"/>
              <w:right w:val="single" w:sz="2" w:space="0" w:color="auto"/>
            </w:tcBorders>
            <w:vAlign w:val="center"/>
          </w:tcPr>
          <w:p w14:paraId="14F398B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May 23, 2023</w:t>
            </w:r>
          </w:p>
        </w:tc>
        <w:tc>
          <w:tcPr>
            <w:tcW w:w="1606" w:type="dxa"/>
            <w:tcBorders>
              <w:top w:val="single" w:sz="2" w:space="0" w:color="auto"/>
              <w:left w:val="single" w:sz="2" w:space="0" w:color="auto"/>
              <w:bottom w:val="single" w:sz="2" w:space="0" w:color="auto"/>
              <w:right w:val="single" w:sz="2" w:space="0" w:color="auto"/>
            </w:tcBorders>
            <w:vAlign w:val="center"/>
          </w:tcPr>
          <w:p w14:paraId="6035B06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May 23, 2023</w:t>
            </w:r>
          </w:p>
        </w:tc>
        <w:tc>
          <w:tcPr>
            <w:tcW w:w="1606" w:type="dxa"/>
            <w:tcBorders>
              <w:top w:val="single" w:sz="2" w:space="0" w:color="auto"/>
              <w:left w:val="single" w:sz="2" w:space="0" w:color="auto"/>
              <w:bottom w:val="single" w:sz="2" w:space="0" w:color="auto"/>
              <w:right w:val="single" w:sz="2" w:space="0" w:color="auto"/>
            </w:tcBorders>
            <w:vAlign w:val="center"/>
          </w:tcPr>
          <w:p w14:paraId="06BDC4D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Seven proposals were deliberated on and approved, including the </w:t>
            </w:r>
            <w:r w:rsidRPr="00A9288A">
              <w:rPr>
                <w:rFonts w:ascii="Times New Roman" w:eastAsia="宋体" w:hAnsi="Times New Roman" w:cs="Times New Roman"/>
                <w:i/>
                <w:iCs/>
                <w:sz w:val="18"/>
                <w:szCs w:val="18"/>
              </w:rPr>
              <w:t>2022 Work Report of the Board of Directors of the Company</w:t>
            </w:r>
            <w:r w:rsidRPr="008C49B7">
              <w:rPr>
                <w:rFonts w:ascii="Times New Roman" w:eastAsia="宋体" w:hAnsi="Times New Roman" w:cs="Times New Roman"/>
                <w:sz w:val="18"/>
                <w:szCs w:val="18"/>
              </w:rPr>
              <w:t xml:space="preserve">, the </w:t>
            </w:r>
            <w:r w:rsidRPr="00A9288A">
              <w:rPr>
                <w:rFonts w:ascii="Times New Roman" w:eastAsia="宋体" w:hAnsi="Times New Roman" w:cs="Times New Roman"/>
                <w:i/>
                <w:iCs/>
                <w:sz w:val="18"/>
                <w:szCs w:val="18"/>
              </w:rPr>
              <w:t>2022 Work Report of the Supervisory Committee of the Company</w:t>
            </w:r>
            <w:r w:rsidRPr="008C49B7">
              <w:rPr>
                <w:rFonts w:ascii="Times New Roman" w:eastAsia="宋体" w:hAnsi="Times New Roman" w:cs="Times New Roman"/>
                <w:sz w:val="18"/>
                <w:szCs w:val="18"/>
              </w:rPr>
              <w:t xml:space="preserve">, the </w:t>
            </w:r>
            <w:r w:rsidRPr="00A9288A">
              <w:rPr>
                <w:rFonts w:ascii="Times New Roman" w:eastAsia="宋体" w:hAnsi="Times New Roman" w:cs="Times New Roman"/>
                <w:i/>
                <w:iCs/>
                <w:sz w:val="18"/>
                <w:szCs w:val="18"/>
              </w:rPr>
              <w:t>2022 Financial Final Report of the Company</w:t>
            </w:r>
            <w:r w:rsidRPr="008C49B7">
              <w:rPr>
                <w:rFonts w:ascii="Times New Roman" w:eastAsia="宋体" w:hAnsi="Times New Roman" w:cs="Times New Roman"/>
                <w:sz w:val="18"/>
                <w:szCs w:val="18"/>
              </w:rPr>
              <w:t xml:space="preserve">, the </w:t>
            </w:r>
            <w:r w:rsidRPr="00A9288A">
              <w:rPr>
                <w:rFonts w:ascii="Times New Roman" w:eastAsia="宋体" w:hAnsi="Times New Roman" w:cs="Times New Roman"/>
                <w:i/>
                <w:iCs/>
                <w:sz w:val="18"/>
                <w:szCs w:val="18"/>
              </w:rPr>
              <w:t>2022 Profit Distribution Plan of the Company</w:t>
            </w:r>
            <w:r w:rsidRPr="008C49B7">
              <w:rPr>
                <w:rFonts w:ascii="Times New Roman" w:eastAsia="宋体" w:hAnsi="Times New Roman" w:cs="Times New Roman"/>
                <w:sz w:val="18"/>
                <w:szCs w:val="18"/>
              </w:rPr>
              <w:t xml:space="preserve">, the </w:t>
            </w:r>
            <w:r w:rsidRPr="00A9288A">
              <w:rPr>
                <w:rFonts w:ascii="Times New Roman" w:eastAsia="宋体" w:hAnsi="Times New Roman" w:cs="Times New Roman"/>
                <w:i/>
                <w:iCs/>
                <w:sz w:val="18"/>
                <w:szCs w:val="18"/>
              </w:rPr>
              <w:t>Full Text and Summary of the 2022 Annual Report of the Company</w:t>
            </w:r>
            <w:r w:rsidRPr="008C49B7">
              <w:rPr>
                <w:rFonts w:ascii="Times New Roman" w:eastAsia="宋体" w:hAnsi="Times New Roman" w:cs="Times New Roman"/>
                <w:sz w:val="18"/>
                <w:szCs w:val="18"/>
              </w:rPr>
              <w:t xml:space="preserve">, the </w:t>
            </w:r>
            <w:r w:rsidRPr="00A9288A">
              <w:rPr>
                <w:rFonts w:ascii="Times New Roman" w:eastAsia="宋体" w:hAnsi="Times New Roman" w:cs="Times New Roman"/>
                <w:i/>
                <w:iCs/>
                <w:sz w:val="18"/>
                <w:szCs w:val="18"/>
              </w:rPr>
              <w:t>Proposal for the Renewal of the Engagement of the Accounting Firm</w:t>
            </w:r>
            <w:r w:rsidRPr="008C49B7">
              <w:rPr>
                <w:rFonts w:ascii="Times New Roman" w:eastAsia="宋体" w:hAnsi="Times New Roman" w:cs="Times New Roman"/>
                <w:sz w:val="18"/>
                <w:szCs w:val="18"/>
              </w:rPr>
              <w:t xml:space="preserve">, and the </w:t>
            </w:r>
            <w:r w:rsidRPr="00A9288A">
              <w:rPr>
                <w:rFonts w:ascii="Times New Roman" w:eastAsia="宋体" w:hAnsi="Times New Roman" w:cs="Times New Roman"/>
                <w:i/>
                <w:iCs/>
                <w:sz w:val="18"/>
                <w:szCs w:val="18"/>
              </w:rPr>
              <w:t>Proposal for Changing the Registered Capital and Amending the Articles of Association</w:t>
            </w:r>
            <w:r w:rsidRPr="008C49B7">
              <w:rPr>
                <w:rFonts w:ascii="Times New Roman" w:eastAsia="宋体" w:hAnsi="Times New Roman" w:cs="Times New Roman"/>
                <w:sz w:val="18"/>
                <w:szCs w:val="18"/>
              </w:rPr>
              <w:t>.</w:t>
            </w:r>
          </w:p>
        </w:tc>
      </w:tr>
    </w:tbl>
    <w:p w14:paraId="5856D600" w14:textId="77777777" w:rsidR="006B66B7" w:rsidRPr="00F73301" w:rsidRDefault="002349C6" w:rsidP="00A9288A">
      <w:pPr>
        <w:pStyle w:val="3"/>
      </w:pPr>
      <w:bookmarkStart w:id="47" w:name="_Toc988935"/>
      <w:r w:rsidRPr="00F73301">
        <w:t>2. Request of preferred shareholders whose voting rights have been restored to hold an extraordinary shareholders' meeting</w:t>
      </w:r>
      <w:bookmarkEnd w:id="47"/>
    </w:p>
    <w:p w14:paraId="165C93A5" w14:textId="60A74041"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7898EC04" w14:textId="77777777" w:rsidR="006B66B7" w:rsidRPr="00F73301" w:rsidRDefault="002349C6" w:rsidP="00A9288A">
      <w:pPr>
        <w:pStyle w:val="2"/>
      </w:pPr>
      <w:bookmarkStart w:id="48" w:name="_Toc988936"/>
      <w:r w:rsidRPr="00F73301">
        <w:t>II. Changes in the Company's Directors, Supervisors and Senior Management</w:t>
      </w:r>
      <w:bookmarkEnd w:id="48"/>
    </w:p>
    <w:p w14:paraId="1DA355CF" w14:textId="2098D16E"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1E1F9F86"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were no changes in the directors, supervisors, and senior management officers of the Company during the Reporting Period. For details, see the 2022 Annual Report.</w:t>
      </w:r>
    </w:p>
    <w:p w14:paraId="3E37896F" w14:textId="77777777" w:rsidR="006B66B7" w:rsidRPr="00F73301" w:rsidRDefault="002349C6" w:rsidP="00A9288A">
      <w:pPr>
        <w:pStyle w:val="2"/>
      </w:pPr>
      <w:bookmarkStart w:id="49" w:name="_Toc988937"/>
      <w:r w:rsidRPr="00F73301">
        <w:t>III. Profit Distribution and Conversion of Capital Reserve into Share Capital during the Reporting Period</w:t>
      </w:r>
      <w:bookmarkEnd w:id="49"/>
    </w:p>
    <w:p w14:paraId="73A0322D" w14:textId="4153F32F"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63B1D3CB"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planned not to distribute cash dividends, neither give away bonus shares, nor capitalize from public reserve for half a year.</w:t>
      </w:r>
    </w:p>
    <w:p w14:paraId="3816FEDE" w14:textId="77777777" w:rsidR="006B66B7" w:rsidRPr="00F73301" w:rsidRDefault="002349C6" w:rsidP="00A9288A">
      <w:pPr>
        <w:pStyle w:val="2"/>
      </w:pPr>
      <w:bookmarkStart w:id="50" w:name="_Toc988938"/>
      <w:r w:rsidRPr="00F73301">
        <w:lastRenderedPageBreak/>
        <w:t>IV. Implementation of the Company's Share Incentive Plan, Employee Stock Ownership Plan or Other Employee Incentive Measures</w:t>
      </w:r>
      <w:bookmarkEnd w:id="50"/>
    </w:p>
    <w:p w14:paraId="653C689B" w14:textId="67134688"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A9288A"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5985F9F8" w14:textId="77777777" w:rsidR="006B66B7" w:rsidRPr="00F73301" w:rsidRDefault="002349C6" w:rsidP="00A9288A">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did not have or implement share incentive plan, employee stock ownership plan or other employee incentive measures during the Reporting Period.</w:t>
      </w:r>
    </w:p>
    <w:p w14:paraId="03D37C02" w14:textId="77777777" w:rsidR="006B66B7" w:rsidRPr="00F73301" w:rsidRDefault="002349C6" w:rsidP="00F73301">
      <w:pPr>
        <w:snapToGrid w:val="0"/>
        <w:spacing w:beforeLines="50" w:before="156" w:afterLines="50" w:after="156"/>
        <w:rPr>
          <w:rFonts w:ascii="Times New Roman" w:hAnsi="Times New Roman" w:cs="Times New Roman"/>
          <w:sz w:val="24"/>
          <w:szCs w:val="24"/>
        </w:rPr>
      </w:pPr>
      <w:r w:rsidRPr="00F73301">
        <w:rPr>
          <w:rFonts w:ascii="Times New Roman" w:hAnsi="Times New Roman" w:cs="Times New Roman"/>
          <w:sz w:val="24"/>
          <w:szCs w:val="24"/>
        </w:rPr>
        <w:br w:type="page"/>
      </w:r>
    </w:p>
    <w:p w14:paraId="63491531" w14:textId="77777777" w:rsidR="006B66B7" w:rsidRPr="00F73301" w:rsidRDefault="002349C6" w:rsidP="008C49B7">
      <w:pPr>
        <w:pStyle w:val="headingh1"/>
      </w:pPr>
      <w:bookmarkStart w:id="51" w:name="_Toc988939"/>
      <w:r w:rsidRPr="00F73301">
        <w:lastRenderedPageBreak/>
        <w:t>Section V Environmental and Social Responsibility</w:t>
      </w:r>
      <w:bookmarkEnd w:id="51"/>
    </w:p>
    <w:p w14:paraId="05BEE90C" w14:textId="77777777" w:rsidR="006B66B7" w:rsidRPr="00F73301" w:rsidRDefault="002349C6" w:rsidP="008C49B7">
      <w:pPr>
        <w:pStyle w:val="2"/>
      </w:pPr>
      <w:bookmarkStart w:id="52" w:name="_Toc988940"/>
      <w:r w:rsidRPr="00F73301">
        <w:t>I. Material Environmental Issues</w:t>
      </w:r>
      <w:bookmarkEnd w:id="52"/>
    </w:p>
    <w:p w14:paraId="07FF2896" w14:textId="77777777" w:rsidR="006B66B7" w:rsidRPr="00F73301" w:rsidRDefault="002349C6" w:rsidP="00A9288A">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Whether the listed company and its subsidiaries fall into the category of key pollutant discharge enterprises and institutions as declared by environmental protection authorities</w:t>
      </w:r>
    </w:p>
    <w:p w14:paraId="62C4B0F2" w14:textId="77777777" w:rsidR="006B66B7" w:rsidRPr="00F73301" w:rsidRDefault="002349C6" w:rsidP="00A9288A">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Yes □No</w:t>
      </w:r>
    </w:p>
    <w:p w14:paraId="2EC5256F" w14:textId="77777777" w:rsidR="006B66B7" w:rsidRPr="00F73301" w:rsidRDefault="002349C6" w:rsidP="00A9288A">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Policies and industry standards on environmental protection</w:t>
      </w:r>
    </w:p>
    <w:p w14:paraId="5C39CDEB"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1. </w:t>
      </w:r>
      <w:r w:rsidRPr="00F73301">
        <w:rPr>
          <w:rFonts w:ascii="Times New Roman" w:eastAsia="等线" w:hAnsi="Times New Roman" w:cs="Times New Roman"/>
          <w:i/>
          <w:iCs/>
        </w:rPr>
        <w:t>Pollutant Discharge Standards for the Semiconductor Industry DB32/3747-2020</w:t>
      </w:r>
      <w:r w:rsidRPr="00F73301">
        <w:rPr>
          <w:rFonts w:ascii="Times New Roman" w:eastAsia="等线" w:hAnsi="Times New Roman" w:cs="Times New Roman"/>
        </w:rPr>
        <w:t>;</w:t>
      </w:r>
    </w:p>
    <w:p w14:paraId="309D8BDC"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2. </w:t>
      </w:r>
      <w:r w:rsidRPr="00F73301">
        <w:rPr>
          <w:rFonts w:ascii="Times New Roman" w:eastAsia="等线" w:hAnsi="Times New Roman" w:cs="Times New Roman"/>
          <w:i/>
          <w:iCs/>
        </w:rPr>
        <w:t>Water Quality Standards for Sewage Discharge into Urban Sewers GB/T31962-2015</w:t>
      </w:r>
      <w:r w:rsidRPr="00F73301">
        <w:rPr>
          <w:rFonts w:ascii="Times New Roman" w:eastAsia="等线" w:hAnsi="Times New Roman" w:cs="Times New Roman"/>
        </w:rPr>
        <w:t>;</w:t>
      </w:r>
    </w:p>
    <w:p w14:paraId="270B4872"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3. </w:t>
      </w:r>
      <w:r w:rsidRPr="00F73301">
        <w:rPr>
          <w:rFonts w:ascii="Times New Roman" w:eastAsia="等线" w:hAnsi="Times New Roman" w:cs="Times New Roman"/>
          <w:i/>
          <w:iCs/>
        </w:rPr>
        <w:t>Comprehensive Emission Standards for Air Pollutants DB32/4041-2021</w:t>
      </w:r>
      <w:r w:rsidRPr="00F73301">
        <w:rPr>
          <w:rFonts w:ascii="Times New Roman" w:eastAsia="等线" w:hAnsi="Times New Roman" w:cs="Times New Roman"/>
        </w:rPr>
        <w:t>;</w:t>
      </w:r>
    </w:p>
    <w:p w14:paraId="76E708DD"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4. </w:t>
      </w:r>
      <w:r w:rsidRPr="00F73301">
        <w:rPr>
          <w:rFonts w:ascii="Times New Roman" w:eastAsia="等线" w:hAnsi="Times New Roman" w:cs="Times New Roman"/>
          <w:i/>
          <w:iCs/>
        </w:rPr>
        <w:t>Control Standard for Fugitive Emission of Volatile Organic Compounds GB37822-2019</w:t>
      </w:r>
      <w:r w:rsidRPr="00F73301">
        <w:rPr>
          <w:rFonts w:ascii="Times New Roman" w:eastAsia="等线" w:hAnsi="Times New Roman" w:cs="Times New Roman"/>
        </w:rPr>
        <w:t>;</w:t>
      </w:r>
    </w:p>
    <w:p w14:paraId="184C031E"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5. </w:t>
      </w:r>
      <w:r w:rsidRPr="00F73301">
        <w:rPr>
          <w:rFonts w:ascii="Times New Roman" w:eastAsia="等线" w:hAnsi="Times New Roman" w:cs="Times New Roman"/>
          <w:i/>
          <w:iCs/>
        </w:rPr>
        <w:t>Emission Standards for Odor Pollutants GB14554-93</w:t>
      </w:r>
      <w:r w:rsidRPr="00F73301">
        <w:rPr>
          <w:rFonts w:ascii="Times New Roman" w:eastAsia="等线" w:hAnsi="Times New Roman" w:cs="Times New Roman"/>
        </w:rPr>
        <w:t>;</w:t>
      </w:r>
    </w:p>
    <w:p w14:paraId="3720610D"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6. </w:t>
      </w:r>
      <w:r w:rsidRPr="00F73301">
        <w:rPr>
          <w:rFonts w:ascii="Times New Roman" w:eastAsia="等线" w:hAnsi="Times New Roman" w:cs="Times New Roman"/>
          <w:i/>
          <w:iCs/>
        </w:rPr>
        <w:t>Emission Standard for Electroplating Pollutants GB21900-2008</w:t>
      </w:r>
      <w:r w:rsidRPr="00F73301">
        <w:rPr>
          <w:rFonts w:ascii="Times New Roman" w:eastAsia="等线" w:hAnsi="Times New Roman" w:cs="Times New Roman"/>
        </w:rPr>
        <w:t>;</w:t>
      </w:r>
    </w:p>
    <w:p w14:paraId="703810AD"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7. </w:t>
      </w:r>
      <w:r w:rsidRPr="00F73301">
        <w:rPr>
          <w:rFonts w:ascii="Times New Roman" w:eastAsia="等线" w:hAnsi="Times New Roman" w:cs="Times New Roman"/>
          <w:i/>
          <w:iCs/>
        </w:rPr>
        <w:t>Shanghai Comprehensive Sewage Discharge Standard DB31/199-2018</w:t>
      </w:r>
      <w:r w:rsidRPr="00F73301">
        <w:rPr>
          <w:rFonts w:ascii="Times New Roman" w:eastAsia="等线" w:hAnsi="Times New Roman" w:cs="Times New Roman"/>
        </w:rPr>
        <w:t>;</w:t>
      </w:r>
    </w:p>
    <w:p w14:paraId="31E4BEB3"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8. </w:t>
      </w:r>
      <w:r w:rsidRPr="00F73301">
        <w:rPr>
          <w:rFonts w:ascii="Times New Roman" w:eastAsia="等线" w:hAnsi="Times New Roman" w:cs="Times New Roman"/>
          <w:i/>
          <w:iCs/>
        </w:rPr>
        <w:t>Environmental Noise Emission Standards for Industries, Enterprises and Factories GB12348-2008</w:t>
      </w:r>
      <w:r w:rsidRPr="00F73301">
        <w:rPr>
          <w:rFonts w:ascii="Times New Roman" w:eastAsia="等线" w:hAnsi="Times New Roman" w:cs="Times New Roman"/>
        </w:rPr>
        <w:t>;</w:t>
      </w:r>
    </w:p>
    <w:p w14:paraId="2F74AAA0"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9. </w:t>
      </w:r>
      <w:r w:rsidRPr="00F73301">
        <w:rPr>
          <w:rFonts w:ascii="Times New Roman" w:eastAsia="等线" w:hAnsi="Times New Roman" w:cs="Times New Roman"/>
          <w:i/>
          <w:iCs/>
        </w:rPr>
        <w:t>Pollution Control Standards for Hazardous Waste Storage</w:t>
      </w:r>
      <w:r w:rsidRPr="00F73301">
        <w:rPr>
          <w:rFonts w:ascii="Times New Roman" w:eastAsia="等线" w:hAnsi="Times New Roman" w:cs="Times New Roman"/>
        </w:rPr>
        <w:t>;</w:t>
      </w:r>
    </w:p>
    <w:p w14:paraId="29C28E8C"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10. </w:t>
      </w:r>
      <w:r w:rsidRPr="00F73301">
        <w:rPr>
          <w:rFonts w:ascii="Times New Roman" w:eastAsia="等线" w:hAnsi="Times New Roman" w:cs="Times New Roman"/>
          <w:i/>
          <w:iCs/>
        </w:rPr>
        <w:t>Technical Specifications for the Collection, Storage and Transport of Hazardous Wastes</w:t>
      </w:r>
      <w:r w:rsidRPr="00F73301">
        <w:rPr>
          <w:rFonts w:ascii="Times New Roman" w:eastAsia="等线" w:hAnsi="Times New Roman" w:cs="Times New Roman"/>
        </w:rPr>
        <w:t>;</w:t>
      </w:r>
    </w:p>
    <w:p w14:paraId="27E36335" w14:textId="77777777" w:rsidR="00273CFE" w:rsidRPr="00F73301" w:rsidRDefault="002349C6" w:rsidP="00A9288A">
      <w:pPr>
        <w:pStyle w:val="a3"/>
        <w:adjustRightInd w:val="0"/>
        <w:snapToGrid w:val="0"/>
        <w:spacing w:beforeLines="50" w:before="156" w:beforeAutospacing="0" w:afterLines="50" w:after="156" w:afterAutospacing="0"/>
        <w:jc w:val="both"/>
        <w:divId w:val="894008112"/>
        <w:rPr>
          <w:rFonts w:ascii="Times New Roman" w:eastAsia="等线" w:hAnsi="Times New Roman" w:cs="Times New Roman"/>
        </w:rPr>
      </w:pPr>
      <w:r w:rsidRPr="00F73301">
        <w:rPr>
          <w:rFonts w:ascii="Times New Roman" w:eastAsia="等线" w:hAnsi="Times New Roman" w:cs="Times New Roman"/>
        </w:rPr>
        <w:t xml:space="preserve">11. </w:t>
      </w:r>
      <w:r w:rsidRPr="00F73301">
        <w:rPr>
          <w:rFonts w:ascii="Times New Roman" w:eastAsia="等线" w:hAnsi="Times New Roman" w:cs="Times New Roman"/>
          <w:i/>
          <w:iCs/>
        </w:rPr>
        <w:t>Emission Standards for Cooking Oil Fumes of the Catering Industry GB18483-2001</w:t>
      </w:r>
      <w:r w:rsidRPr="00F73301">
        <w:rPr>
          <w:rFonts w:ascii="Times New Roman" w:eastAsia="等线" w:hAnsi="Times New Roman" w:cs="Times New Roman"/>
        </w:rPr>
        <w:t>.</w:t>
      </w:r>
    </w:p>
    <w:p w14:paraId="5961B3A1" w14:textId="77777777" w:rsidR="006B66B7" w:rsidRPr="00F73301" w:rsidRDefault="002349C6" w:rsidP="00A9288A">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Status of environmental protection administrative license</w:t>
      </w:r>
    </w:p>
    <w:p w14:paraId="14351D5A" w14:textId="77777777" w:rsidR="00273CFE" w:rsidRPr="00F73301" w:rsidRDefault="002349C6" w:rsidP="00A9288A">
      <w:pPr>
        <w:pStyle w:val="a3"/>
        <w:adjustRightInd w:val="0"/>
        <w:snapToGrid w:val="0"/>
        <w:spacing w:beforeLines="50" w:before="156" w:beforeAutospacing="0" w:afterLines="50" w:after="156" w:afterAutospacing="0"/>
        <w:jc w:val="both"/>
        <w:divId w:val="208349461"/>
        <w:rPr>
          <w:rFonts w:ascii="Times New Roman" w:eastAsia="等线" w:hAnsi="Times New Roman" w:cs="Times New Roman"/>
        </w:rPr>
      </w:pPr>
      <w:r w:rsidRPr="00F73301">
        <w:rPr>
          <w:rFonts w:ascii="Times New Roman" w:eastAsia="等线" w:hAnsi="Times New Roman" w:cs="Times New Roman"/>
        </w:rPr>
        <w:t>The Company's construction projects were carried out in strict accordance with the regulations on environmental protection management and the requirements of "simultaneous design, construction and commissioning". The Company applied for a national emission permit in accordance with the requirements of local environmental protection authorities, and has been issued such a permit. Management was carried out in strict accordance with the emission permit system.</w:t>
      </w:r>
    </w:p>
    <w:p w14:paraId="54B3D4D2" w14:textId="77777777" w:rsidR="00273CFE" w:rsidRPr="00F73301" w:rsidRDefault="002349C6" w:rsidP="00A9288A">
      <w:pPr>
        <w:pStyle w:val="a3"/>
        <w:adjustRightInd w:val="0"/>
        <w:snapToGrid w:val="0"/>
        <w:spacing w:beforeLines="50" w:before="156" w:beforeAutospacing="0" w:afterLines="50" w:after="156" w:afterAutospacing="0"/>
        <w:jc w:val="both"/>
        <w:divId w:val="208349461"/>
        <w:rPr>
          <w:rFonts w:ascii="Times New Roman" w:eastAsia="等线" w:hAnsi="Times New Roman" w:cs="Times New Roman"/>
        </w:rPr>
      </w:pPr>
      <w:r w:rsidRPr="00F73301">
        <w:rPr>
          <w:rFonts w:ascii="Times New Roman" w:eastAsia="等线" w:hAnsi="Times New Roman" w:cs="Times New Roman"/>
        </w:rPr>
        <w:t>The Company's environmental protection credit evaluation was graded as green.</w:t>
      </w:r>
    </w:p>
    <w:p w14:paraId="11F84EF0" w14:textId="77777777" w:rsidR="00273CFE" w:rsidRPr="00F73301" w:rsidRDefault="002349C6" w:rsidP="00A9288A">
      <w:pPr>
        <w:pStyle w:val="a3"/>
        <w:adjustRightInd w:val="0"/>
        <w:snapToGrid w:val="0"/>
        <w:spacing w:beforeLines="50" w:before="156" w:beforeAutospacing="0" w:afterLines="50" w:after="156" w:afterAutospacing="0"/>
        <w:jc w:val="both"/>
        <w:divId w:val="208349461"/>
        <w:rPr>
          <w:rFonts w:ascii="Times New Roman" w:eastAsia="等线" w:hAnsi="Times New Roman" w:cs="Times New Roman"/>
        </w:rPr>
      </w:pPr>
      <w:r w:rsidRPr="00F73301">
        <w:rPr>
          <w:rFonts w:ascii="Times New Roman" w:eastAsia="等线" w:hAnsi="Times New Roman" w:cs="Times New Roman"/>
        </w:rPr>
        <w:t>Through continuous improvement of design, use of clean energy and raw materials, introduction of advanced technology and equipment, improvement of management, comprehensive utilization and other measures, the Company reduced pollution from the root, improved resource utilization efficiency, and reduced or avoided the generation and emission of pollutants in the production process.</w:t>
      </w:r>
    </w:p>
    <w:tbl>
      <w:tblPr>
        <w:tblW w:w="5076"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57" w:type="dxa"/>
          <w:right w:w="57" w:type="dxa"/>
        </w:tblCellMar>
        <w:tblLook w:val="0000" w:firstRow="0" w:lastRow="0" w:firstColumn="0" w:lastColumn="0" w:noHBand="0" w:noVBand="0"/>
      </w:tblPr>
      <w:tblGrid>
        <w:gridCol w:w="868"/>
        <w:gridCol w:w="967"/>
        <w:gridCol w:w="1025"/>
        <w:gridCol w:w="834"/>
        <w:gridCol w:w="725"/>
        <w:gridCol w:w="888"/>
        <w:gridCol w:w="1581"/>
        <w:gridCol w:w="1270"/>
        <w:gridCol w:w="1097"/>
        <w:gridCol w:w="1097"/>
        <w:gridCol w:w="725"/>
      </w:tblGrid>
      <w:tr w:rsidR="006B66B7" w:rsidRPr="00A9288A" w14:paraId="64765230" w14:textId="77777777" w:rsidTr="00A9288A">
        <w:trPr>
          <w:jc w:val="center"/>
        </w:trPr>
        <w:tc>
          <w:tcPr>
            <w:tcW w:w="387" w:type="pct"/>
            <w:tcBorders>
              <w:top w:val="single" w:sz="2" w:space="0" w:color="auto"/>
              <w:left w:val="single" w:sz="2" w:space="0" w:color="auto"/>
              <w:bottom w:val="single" w:sz="2" w:space="0" w:color="auto"/>
              <w:right w:val="single" w:sz="2" w:space="0" w:color="auto"/>
            </w:tcBorders>
            <w:shd w:val="clear" w:color="auto" w:fill="D3D3D3"/>
            <w:vAlign w:val="center"/>
          </w:tcPr>
          <w:p w14:paraId="7DF90E12"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Name of the company or subsidiary</w:t>
            </w:r>
          </w:p>
        </w:tc>
        <w:tc>
          <w:tcPr>
            <w:tcW w:w="431" w:type="pct"/>
            <w:tcBorders>
              <w:top w:val="single" w:sz="2" w:space="0" w:color="auto"/>
              <w:left w:val="single" w:sz="2" w:space="0" w:color="auto"/>
              <w:bottom w:val="single" w:sz="2" w:space="0" w:color="auto"/>
              <w:right w:val="single" w:sz="2" w:space="0" w:color="auto"/>
            </w:tcBorders>
            <w:shd w:val="clear" w:color="auto" w:fill="D3D3D3"/>
            <w:vAlign w:val="center"/>
          </w:tcPr>
          <w:p w14:paraId="569DD447"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Types of major pollutants and characteristic pollutants</w:t>
            </w:r>
          </w:p>
        </w:tc>
        <w:tc>
          <w:tcPr>
            <w:tcW w:w="456" w:type="pct"/>
            <w:tcBorders>
              <w:top w:val="single" w:sz="2" w:space="0" w:color="auto"/>
              <w:left w:val="single" w:sz="2" w:space="0" w:color="auto"/>
              <w:bottom w:val="single" w:sz="2" w:space="0" w:color="auto"/>
              <w:right w:val="single" w:sz="2" w:space="0" w:color="auto"/>
            </w:tcBorders>
            <w:shd w:val="clear" w:color="auto" w:fill="D3D3D3"/>
            <w:vAlign w:val="center"/>
          </w:tcPr>
          <w:p w14:paraId="7FE59EDA"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Names of major pollutants and characteristic pollutants</w:t>
            </w:r>
          </w:p>
        </w:tc>
        <w:tc>
          <w:tcPr>
            <w:tcW w:w="372" w:type="pct"/>
            <w:tcBorders>
              <w:top w:val="single" w:sz="2" w:space="0" w:color="auto"/>
              <w:left w:val="single" w:sz="2" w:space="0" w:color="auto"/>
              <w:bottom w:val="single" w:sz="2" w:space="0" w:color="auto"/>
              <w:right w:val="single" w:sz="2" w:space="0" w:color="auto"/>
            </w:tcBorders>
            <w:shd w:val="clear" w:color="auto" w:fill="D3D3D3"/>
            <w:vAlign w:val="center"/>
          </w:tcPr>
          <w:p w14:paraId="270C0317"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Discharge method</w:t>
            </w:r>
          </w:p>
        </w:tc>
        <w:tc>
          <w:tcPr>
            <w:tcW w:w="325" w:type="pct"/>
            <w:tcBorders>
              <w:top w:val="single" w:sz="2" w:space="0" w:color="auto"/>
              <w:left w:val="single" w:sz="2" w:space="0" w:color="auto"/>
              <w:bottom w:val="single" w:sz="2" w:space="0" w:color="auto"/>
              <w:right w:val="single" w:sz="2" w:space="0" w:color="auto"/>
            </w:tcBorders>
            <w:shd w:val="clear" w:color="auto" w:fill="D3D3D3"/>
            <w:vAlign w:val="center"/>
          </w:tcPr>
          <w:p w14:paraId="12DF406E"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Number of discharge outlets</w:t>
            </w:r>
          </w:p>
        </w:tc>
        <w:tc>
          <w:tcPr>
            <w:tcW w:w="396" w:type="pct"/>
            <w:tcBorders>
              <w:top w:val="single" w:sz="2" w:space="0" w:color="auto"/>
              <w:left w:val="single" w:sz="2" w:space="0" w:color="auto"/>
              <w:bottom w:val="single" w:sz="2" w:space="0" w:color="auto"/>
              <w:right w:val="single" w:sz="2" w:space="0" w:color="auto"/>
            </w:tcBorders>
            <w:shd w:val="clear" w:color="auto" w:fill="D3D3D3"/>
            <w:vAlign w:val="center"/>
          </w:tcPr>
          <w:p w14:paraId="19B782D9"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Distribution of discharge outlets</w:t>
            </w:r>
          </w:p>
        </w:tc>
        <w:tc>
          <w:tcPr>
            <w:tcW w:w="698" w:type="pct"/>
            <w:tcBorders>
              <w:top w:val="single" w:sz="2" w:space="0" w:color="auto"/>
              <w:left w:val="single" w:sz="2" w:space="0" w:color="auto"/>
              <w:bottom w:val="single" w:sz="2" w:space="0" w:color="auto"/>
              <w:right w:val="single" w:sz="2" w:space="0" w:color="auto"/>
            </w:tcBorders>
            <w:shd w:val="clear" w:color="auto" w:fill="D3D3D3"/>
            <w:vAlign w:val="center"/>
          </w:tcPr>
          <w:p w14:paraId="30236BDD"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Emission concentration/intensity</w:t>
            </w:r>
          </w:p>
        </w:tc>
        <w:tc>
          <w:tcPr>
            <w:tcW w:w="562" w:type="pct"/>
            <w:tcBorders>
              <w:top w:val="single" w:sz="2" w:space="0" w:color="auto"/>
              <w:left w:val="single" w:sz="2" w:space="0" w:color="auto"/>
              <w:bottom w:val="single" w:sz="2" w:space="0" w:color="auto"/>
              <w:right w:val="single" w:sz="2" w:space="0" w:color="auto"/>
            </w:tcBorders>
            <w:shd w:val="clear" w:color="auto" w:fill="D3D3D3"/>
            <w:vAlign w:val="center"/>
          </w:tcPr>
          <w:p w14:paraId="59EDDD7E"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Pollutant emission standards implemented</w:t>
            </w:r>
          </w:p>
        </w:tc>
        <w:tc>
          <w:tcPr>
            <w:tcW w:w="487" w:type="pct"/>
            <w:tcBorders>
              <w:top w:val="single" w:sz="2" w:space="0" w:color="auto"/>
              <w:left w:val="single" w:sz="2" w:space="0" w:color="auto"/>
              <w:bottom w:val="single" w:sz="2" w:space="0" w:color="auto"/>
              <w:right w:val="single" w:sz="2" w:space="0" w:color="auto"/>
            </w:tcBorders>
            <w:shd w:val="clear" w:color="auto" w:fill="D3D3D3"/>
            <w:vAlign w:val="center"/>
          </w:tcPr>
          <w:p w14:paraId="15570D4F"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Total discharge</w:t>
            </w:r>
          </w:p>
        </w:tc>
        <w:tc>
          <w:tcPr>
            <w:tcW w:w="487" w:type="pct"/>
            <w:tcBorders>
              <w:top w:val="single" w:sz="2" w:space="0" w:color="auto"/>
              <w:left w:val="single" w:sz="2" w:space="0" w:color="auto"/>
              <w:bottom w:val="single" w:sz="2" w:space="0" w:color="auto"/>
              <w:right w:val="single" w:sz="2" w:space="0" w:color="auto"/>
            </w:tcBorders>
            <w:shd w:val="clear" w:color="auto" w:fill="D3D3D3"/>
            <w:vAlign w:val="center"/>
          </w:tcPr>
          <w:p w14:paraId="47A63DB4"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Approved total discharge</w:t>
            </w:r>
          </w:p>
        </w:tc>
        <w:tc>
          <w:tcPr>
            <w:tcW w:w="400" w:type="pct"/>
            <w:tcBorders>
              <w:top w:val="single" w:sz="2" w:space="0" w:color="auto"/>
              <w:left w:val="single" w:sz="2" w:space="0" w:color="auto"/>
              <w:bottom w:val="single" w:sz="2" w:space="0" w:color="auto"/>
              <w:right w:val="single" w:sz="2" w:space="0" w:color="auto"/>
            </w:tcBorders>
            <w:shd w:val="clear" w:color="auto" w:fill="D3D3D3"/>
            <w:vAlign w:val="center"/>
          </w:tcPr>
          <w:p w14:paraId="4F9A1076" w14:textId="77777777" w:rsidR="006B66B7" w:rsidRPr="00A9288A" w:rsidRDefault="002349C6" w:rsidP="008C49B7">
            <w:pPr>
              <w:snapToGrid w:val="0"/>
              <w:jc w:val="center"/>
              <w:rPr>
                <w:rFonts w:ascii="Times New Roman" w:eastAsia="宋体" w:hAnsi="Times New Roman" w:cs="Times New Roman"/>
                <w:sz w:val="16"/>
                <w:szCs w:val="16"/>
              </w:rPr>
            </w:pPr>
            <w:r w:rsidRPr="00A9288A">
              <w:rPr>
                <w:rFonts w:ascii="Times New Roman" w:eastAsia="宋体" w:hAnsi="Times New Roman" w:cs="Times New Roman"/>
                <w:sz w:val="16"/>
                <w:szCs w:val="16"/>
              </w:rPr>
              <w:t>Excess discharge</w:t>
            </w:r>
          </w:p>
        </w:tc>
      </w:tr>
      <w:tr w:rsidR="006B66B7" w:rsidRPr="00A9288A" w14:paraId="671E7F7E" w14:textId="77777777" w:rsidTr="00A9288A">
        <w:trPr>
          <w:jc w:val="center"/>
        </w:trPr>
        <w:tc>
          <w:tcPr>
            <w:tcW w:w="387" w:type="pct"/>
            <w:tcBorders>
              <w:top w:val="single" w:sz="2" w:space="0" w:color="auto"/>
              <w:left w:val="single" w:sz="2" w:space="0" w:color="auto"/>
              <w:bottom w:val="single" w:sz="2" w:space="0" w:color="auto"/>
              <w:right w:val="single" w:sz="2" w:space="0" w:color="auto"/>
            </w:tcBorders>
            <w:vAlign w:val="center"/>
          </w:tcPr>
          <w:p w14:paraId="2A3BD4AE"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West Heye Road Factory of </w:t>
            </w:r>
            <w:proofErr w:type="spellStart"/>
            <w:r w:rsidRPr="00A9288A">
              <w:rPr>
                <w:rFonts w:ascii="Times New Roman" w:eastAsia="宋体" w:hAnsi="Times New Roman" w:cs="Times New Roman"/>
                <w:sz w:val="16"/>
                <w:szCs w:val="16"/>
              </w:rPr>
              <w:t>Yangjie</w:t>
            </w:r>
            <w:proofErr w:type="spellEnd"/>
            <w:r w:rsidRPr="00A9288A">
              <w:rPr>
                <w:rFonts w:ascii="Times New Roman" w:eastAsia="宋体" w:hAnsi="Times New Roman" w:cs="Times New Roman"/>
                <w:sz w:val="16"/>
                <w:szCs w:val="16"/>
              </w:rPr>
              <w:t xml:space="preserve"> Technology</w:t>
            </w:r>
          </w:p>
        </w:tc>
        <w:tc>
          <w:tcPr>
            <w:tcW w:w="431" w:type="pct"/>
            <w:tcBorders>
              <w:top w:val="single" w:sz="2" w:space="0" w:color="auto"/>
              <w:left w:val="single" w:sz="2" w:space="0" w:color="auto"/>
              <w:bottom w:val="single" w:sz="2" w:space="0" w:color="auto"/>
              <w:right w:val="single" w:sz="2" w:space="0" w:color="auto"/>
            </w:tcBorders>
            <w:vAlign w:val="center"/>
          </w:tcPr>
          <w:p w14:paraId="545AD780"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Wastewater</w:t>
            </w:r>
          </w:p>
        </w:tc>
        <w:tc>
          <w:tcPr>
            <w:tcW w:w="456" w:type="pct"/>
            <w:tcBorders>
              <w:top w:val="single" w:sz="2" w:space="0" w:color="auto"/>
              <w:left w:val="single" w:sz="2" w:space="0" w:color="auto"/>
              <w:bottom w:val="single" w:sz="2" w:space="0" w:color="auto"/>
              <w:right w:val="single" w:sz="2" w:space="0" w:color="auto"/>
            </w:tcBorders>
            <w:vAlign w:val="center"/>
          </w:tcPr>
          <w:p w14:paraId="3C0A1D7F"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COD, SS, total nitrogen, ammonia nitrogen, total phosphorus, fluoride, LAS</w:t>
            </w:r>
          </w:p>
        </w:tc>
        <w:tc>
          <w:tcPr>
            <w:tcW w:w="372" w:type="pct"/>
            <w:tcBorders>
              <w:top w:val="single" w:sz="2" w:space="0" w:color="auto"/>
              <w:left w:val="single" w:sz="2" w:space="0" w:color="auto"/>
              <w:bottom w:val="single" w:sz="2" w:space="0" w:color="auto"/>
              <w:right w:val="single" w:sz="2" w:space="0" w:color="auto"/>
            </w:tcBorders>
            <w:vAlign w:val="center"/>
          </w:tcPr>
          <w:p w14:paraId="6B1A5C5D"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After treatment with wastewater treatment devices, the wastewater was discharged </w:t>
            </w:r>
            <w:r w:rsidRPr="00A9288A">
              <w:rPr>
                <w:rFonts w:ascii="Times New Roman" w:eastAsia="宋体" w:hAnsi="Times New Roman" w:cs="Times New Roman"/>
                <w:sz w:val="16"/>
                <w:szCs w:val="16"/>
              </w:rPr>
              <w:lastRenderedPageBreak/>
              <w:t xml:space="preserve">into the municipal pipe network, which would be taken over by the </w:t>
            </w:r>
            <w:proofErr w:type="spellStart"/>
            <w:r w:rsidRPr="00A9288A">
              <w:rPr>
                <w:rFonts w:ascii="Times New Roman" w:eastAsia="宋体" w:hAnsi="Times New Roman" w:cs="Times New Roman"/>
                <w:sz w:val="16"/>
                <w:szCs w:val="16"/>
              </w:rPr>
              <w:t>Tangwang</w:t>
            </w:r>
            <w:proofErr w:type="spellEnd"/>
            <w:r w:rsidRPr="00A9288A">
              <w:rPr>
                <w:rFonts w:ascii="Times New Roman" w:eastAsia="宋体" w:hAnsi="Times New Roman" w:cs="Times New Roman"/>
                <w:sz w:val="16"/>
                <w:szCs w:val="16"/>
              </w:rPr>
              <w:t xml:space="preserve"> wastewater treatment plant.</w:t>
            </w:r>
          </w:p>
        </w:tc>
        <w:tc>
          <w:tcPr>
            <w:tcW w:w="325" w:type="pct"/>
            <w:tcBorders>
              <w:top w:val="single" w:sz="2" w:space="0" w:color="auto"/>
              <w:left w:val="single" w:sz="2" w:space="0" w:color="auto"/>
              <w:bottom w:val="single" w:sz="2" w:space="0" w:color="auto"/>
              <w:right w:val="single" w:sz="2" w:space="0" w:color="auto"/>
            </w:tcBorders>
            <w:vAlign w:val="center"/>
          </w:tcPr>
          <w:p w14:paraId="6D5643B5"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lastRenderedPageBreak/>
              <w:t>1</w:t>
            </w:r>
          </w:p>
        </w:tc>
        <w:tc>
          <w:tcPr>
            <w:tcW w:w="396" w:type="pct"/>
            <w:tcBorders>
              <w:top w:val="single" w:sz="2" w:space="0" w:color="auto"/>
              <w:left w:val="single" w:sz="2" w:space="0" w:color="auto"/>
              <w:bottom w:val="single" w:sz="2" w:space="0" w:color="auto"/>
              <w:right w:val="single" w:sz="2" w:space="0" w:color="auto"/>
            </w:tcBorders>
            <w:vAlign w:val="center"/>
          </w:tcPr>
          <w:p w14:paraId="21707490"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General wastewater outlet</w:t>
            </w:r>
          </w:p>
        </w:tc>
        <w:tc>
          <w:tcPr>
            <w:tcW w:w="698" w:type="pct"/>
            <w:tcBorders>
              <w:top w:val="single" w:sz="2" w:space="0" w:color="auto"/>
              <w:left w:val="single" w:sz="2" w:space="0" w:color="auto"/>
              <w:bottom w:val="single" w:sz="2" w:space="0" w:color="auto"/>
              <w:right w:val="single" w:sz="2" w:space="0" w:color="auto"/>
            </w:tcBorders>
            <w:vAlign w:val="center"/>
          </w:tcPr>
          <w:p w14:paraId="72346AE3"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COD:58mg/L SS:41mg/L </w:t>
            </w:r>
          </w:p>
          <w:p w14:paraId="5FF5779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nitrogen: 29mg/L</w:t>
            </w:r>
          </w:p>
          <w:p w14:paraId="66FA59EF"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Ammonia nitrogen: 11mg/L</w:t>
            </w:r>
          </w:p>
          <w:p w14:paraId="2D5923D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phosphorus: 0.05mg/L</w:t>
            </w:r>
          </w:p>
          <w:p w14:paraId="4FC14FF7"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Fluorides: 6.41 mg/L</w:t>
            </w:r>
          </w:p>
        </w:tc>
        <w:tc>
          <w:tcPr>
            <w:tcW w:w="562" w:type="pct"/>
            <w:tcBorders>
              <w:top w:val="single" w:sz="2" w:space="0" w:color="auto"/>
              <w:left w:val="single" w:sz="2" w:space="0" w:color="auto"/>
              <w:bottom w:val="single" w:sz="2" w:space="0" w:color="auto"/>
              <w:right w:val="single" w:sz="2" w:space="0" w:color="auto"/>
            </w:tcBorders>
            <w:vAlign w:val="center"/>
          </w:tcPr>
          <w:p w14:paraId="4625948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COD: 300mg/L </w:t>
            </w:r>
          </w:p>
          <w:p w14:paraId="2AC05BDC"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SS: 250mg/L Total nitrogen: 35mg/L</w:t>
            </w:r>
          </w:p>
          <w:p w14:paraId="3090C5B7"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Ammonia nitrogen: 20mg/L</w:t>
            </w:r>
          </w:p>
          <w:p w14:paraId="3CFDB933" w14:textId="77777777" w:rsidR="006B66B7" w:rsidRPr="00A9288A" w:rsidRDefault="006B66B7" w:rsidP="008C49B7">
            <w:pPr>
              <w:snapToGrid w:val="0"/>
              <w:rPr>
                <w:rFonts w:ascii="Times New Roman" w:eastAsia="宋体" w:hAnsi="Times New Roman" w:cs="Times New Roman"/>
                <w:sz w:val="16"/>
                <w:szCs w:val="16"/>
              </w:rPr>
            </w:pPr>
          </w:p>
          <w:p w14:paraId="6CB6AA73"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phosphorus: 3mg/L Fluorides:15mg/L</w:t>
            </w:r>
          </w:p>
        </w:tc>
        <w:tc>
          <w:tcPr>
            <w:tcW w:w="487" w:type="pct"/>
            <w:tcBorders>
              <w:top w:val="single" w:sz="2" w:space="0" w:color="auto"/>
              <w:left w:val="single" w:sz="2" w:space="0" w:color="auto"/>
              <w:bottom w:val="single" w:sz="2" w:space="0" w:color="auto"/>
              <w:right w:val="single" w:sz="2" w:space="0" w:color="auto"/>
            </w:tcBorders>
            <w:vAlign w:val="center"/>
          </w:tcPr>
          <w:p w14:paraId="36B5DE36"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 xml:space="preserve">COD: 20.32t </w:t>
            </w:r>
          </w:p>
          <w:p w14:paraId="7A1A8EC3"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 xml:space="preserve">SS:14.37t Total nitrogen:10.17t </w:t>
            </w:r>
          </w:p>
          <w:p w14:paraId="67E3C42D"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 xml:space="preserve">Ammonia nitrogen: 3.85t Total phosphorus: 0.018t Fluorides: </w:t>
            </w:r>
            <w:r w:rsidRPr="00A9288A">
              <w:rPr>
                <w:rFonts w:ascii="Times New Roman" w:eastAsia="宋体" w:hAnsi="Times New Roman" w:cs="Times New Roman"/>
                <w:sz w:val="16"/>
                <w:szCs w:val="16"/>
                <w:lang w:val="fr-FR"/>
              </w:rPr>
              <w:lastRenderedPageBreak/>
              <w:t>2.25t</w:t>
            </w:r>
          </w:p>
        </w:tc>
        <w:tc>
          <w:tcPr>
            <w:tcW w:w="487" w:type="pct"/>
            <w:tcBorders>
              <w:top w:val="single" w:sz="2" w:space="0" w:color="auto"/>
              <w:left w:val="single" w:sz="2" w:space="0" w:color="auto"/>
              <w:bottom w:val="single" w:sz="2" w:space="0" w:color="auto"/>
              <w:right w:val="single" w:sz="2" w:space="0" w:color="auto"/>
            </w:tcBorders>
            <w:vAlign w:val="center"/>
          </w:tcPr>
          <w:p w14:paraId="27E9DD92"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lastRenderedPageBreak/>
              <w:t xml:space="preserve">COD: 268.8t </w:t>
            </w:r>
          </w:p>
          <w:p w14:paraId="51E6011B"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SS: 201.6t</w:t>
            </w:r>
          </w:p>
          <w:p w14:paraId="7FC54531"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 xml:space="preserve">Total nitrogen:47.06t Ammonia nitrogen:30.24t Total phosphorus: 5.376t Fluorides: </w:t>
            </w:r>
            <w:r w:rsidRPr="00A9288A">
              <w:rPr>
                <w:rFonts w:ascii="Times New Roman" w:eastAsia="宋体" w:hAnsi="Times New Roman" w:cs="Times New Roman"/>
                <w:sz w:val="16"/>
                <w:szCs w:val="16"/>
                <w:lang w:val="fr-FR"/>
              </w:rPr>
              <w:lastRenderedPageBreak/>
              <w:t>13.44t</w:t>
            </w:r>
          </w:p>
        </w:tc>
        <w:tc>
          <w:tcPr>
            <w:tcW w:w="400" w:type="pct"/>
            <w:tcBorders>
              <w:top w:val="single" w:sz="2" w:space="0" w:color="auto"/>
              <w:left w:val="single" w:sz="2" w:space="0" w:color="auto"/>
              <w:bottom w:val="single" w:sz="2" w:space="0" w:color="auto"/>
              <w:right w:val="single" w:sz="2" w:space="0" w:color="auto"/>
            </w:tcBorders>
            <w:vAlign w:val="center"/>
          </w:tcPr>
          <w:p w14:paraId="4DFC6794"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lastRenderedPageBreak/>
              <w:t>None</w:t>
            </w:r>
          </w:p>
        </w:tc>
      </w:tr>
      <w:tr w:rsidR="006B66B7" w:rsidRPr="00A9288A" w14:paraId="47CA2E95" w14:textId="77777777" w:rsidTr="00A9288A">
        <w:trPr>
          <w:jc w:val="center"/>
        </w:trPr>
        <w:tc>
          <w:tcPr>
            <w:tcW w:w="387" w:type="pct"/>
            <w:tcBorders>
              <w:top w:val="single" w:sz="2" w:space="0" w:color="auto"/>
              <w:left w:val="single" w:sz="2" w:space="0" w:color="auto"/>
              <w:bottom w:val="single" w:sz="2" w:space="0" w:color="auto"/>
              <w:right w:val="single" w:sz="2" w:space="0" w:color="auto"/>
            </w:tcBorders>
            <w:vAlign w:val="center"/>
          </w:tcPr>
          <w:p w14:paraId="180DDFBD"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West Heye Road Factory of </w:t>
            </w:r>
            <w:proofErr w:type="spellStart"/>
            <w:r w:rsidRPr="00A9288A">
              <w:rPr>
                <w:rFonts w:ascii="Times New Roman" w:eastAsia="宋体" w:hAnsi="Times New Roman" w:cs="Times New Roman"/>
                <w:sz w:val="16"/>
                <w:szCs w:val="16"/>
              </w:rPr>
              <w:t>Yangjie</w:t>
            </w:r>
            <w:proofErr w:type="spellEnd"/>
            <w:r w:rsidRPr="00A9288A">
              <w:rPr>
                <w:rFonts w:ascii="Times New Roman" w:eastAsia="宋体" w:hAnsi="Times New Roman" w:cs="Times New Roman"/>
                <w:sz w:val="16"/>
                <w:szCs w:val="16"/>
              </w:rPr>
              <w:t xml:space="preserve"> Technology</w:t>
            </w:r>
          </w:p>
        </w:tc>
        <w:tc>
          <w:tcPr>
            <w:tcW w:w="431" w:type="pct"/>
            <w:tcBorders>
              <w:top w:val="single" w:sz="2" w:space="0" w:color="auto"/>
              <w:left w:val="single" w:sz="2" w:space="0" w:color="auto"/>
              <w:bottom w:val="single" w:sz="2" w:space="0" w:color="auto"/>
              <w:right w:val="single" w:sz="2" w:space="0" w:color="auto"/>
            </w:tcBorders>
            <w:vAlign w:val="center"/>
          </w:tcPr>
          <w:p w14:paraId="674D1CC4"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Exhaust gas</w:t>
            </w:r>
          </w:p>
        </w:tc>
        <w:tc>
          <w:tcPr>
            <w:tcW w:w="456" w:type="pct"/>
            <w:tcBorders>
              <w:top w:val="single" w:sz="2" w:space="0" w:color="auto"/>
              <w:left w:val="single" w:sz="2" w:space="0" w:color="auto"/>
              <w:bottom w:val="single" w:sz="2" w:space="0" w:color="auto"/>
              <w:right w:val="single" w:sz="2" w:space="0" w:color="auto"/>
            </w:tcBorders>
            <w:vAlign w:val="center"/>
          </w:tcPr>
          <w:p w14:paraId="14557382"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VOCs</w:t>
            </w:r>
          </w:p>
        </w:tc>
        <w:tc>
          <w:tcPr>
            <w:tcW w:w="372" w:type="pct"/>
            <w:tcBorders>
              <w:top w:val="single" w:sz="2" w:space="0" w:color="auto"/>
              <w:left w:val="single" w:sz="2" w:space="0" w:color="auto"/>
              <w:bottom w:val="single" w:sz="2" w:space="0" w:color="auto"/>
              <w:right w:val="single" w:sz="2" w:space="0" w:color="auto"/>
            </w:tcBorders>
            <w:vAlign w:val="center"/>
          </w:tcPr>
          <w:p w14:paraId="2D3CEFB6"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Emitted from the exhaust pipe after treatment by the activated carbon adsorption device</w:t>
            </w:r>
          </w:p>
        </w:tc>
        <w:tc>
          <w:tcPr>
            <w:tcW w:w="325" w:type="pct"/>
            <w:tcBorders>
              <w:top w:val="single" w:sz="2" w:space="0" w:color="auto"/>
              <w:left w:val="single" w:sz="2" w:space="0" w:color="auto"/>
              <w:bottom w:val="single" w:sz="2" w:space="0" w:color="auto"/>
              <w:right w:val="single" w:sz="2" w:space="0" w:color="auto"/>
            </w:tcBorders>
            <w:vAlign w:val="center"/>
          </w:tcPr>
          <w:p w14:paraId="15C4D669"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6</w:t>
            </w:r>
          </w:p>
        </w:tc>
        <w:tc>
          <w:tcPr>
            <w:tcW w:w="396" w:type="pct"/>
            <w:tcBorders>
              <w:top w:val="single" w:sz="2" w:space="0" w:color="auto"/>
              <w:left w:val="single" w:sz="2" w:space="0" w:color="auto"/>
              <w:bottom w:val="single" w:sz="2" w:space="0" w:color="auto"/>
              <w:right w:val="single" w:sz="2" w:space="0" w:color="auto"/>
            </w:tcBorders>
            <w:vAlign w:val="center"/>
          </w:tcPr>
          <w:p w14:paraId="3B6243F3"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Roof of the production department</w:t>
            </w:r>
          </w:p>
        </w:tc>
        <w:tc>
          <w:tcPr>
            <w:tcW w:w="698" w:type="pct"/>
            <w:tcBorders>
              <w:top w:val="single" w:sz="2" w:space="0" w:color="auto"/>
              <w:left w:val="single" w:sz="2" w:space="0" w:color="auto"/>
              <w:bottom w:val="single" w:sz="2" w:space="0" w:color="auto"/>
              <w:right w:val="single" w:sz="2" w:space="0" w:color="auto"/>
            </w:tcBorders>
            <w:vAlign w:val="center"/>
          </w:tcPr>
          <w:p w14:paraId="43D597E5"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Non-methane total hydrocarbons: 14mg/m</w:t>
            </w:r>
            <w:r w:rsidRPr="00A9288A">
              <w:rPr>
                <w:rFonts w:ascii="Times New Roman" w:eastAsia="宋体" w:hAnsi="Times New Roman" w:cs="Times New Roman"/>
                <w:sz w:val="16"/>
                <w:szCs w:val="16"/>
                <w:vertAlign w:val="superscript"/>
                <w:lang w:val="fr-FR"/>
              </w:rPr>
              <w:t>3</w:t>
            </w:r>
          </w:p>
        </w:tc>
        <w:tc>
          <w:tcPr>
            <w:tcW w:w="562" w:type="pct"/>
            <w:tcBorders>
              <w:top w:val="single" w:sz="2" w:space="0" w:color="auto"/>
              <w:left w:val="single" w:sz="2" w:space="0" w:color="auto"/>
              <w:bottom w:val="single" w:sz="2" w:space="0" w:color="auto"/>
              <w:right w:val="single" w:sz="2" w:space="0" w:color="auto"/>
            </w:tcBorders>
            <w:vAlign w:val="center"/>
          </w:tcPr>
          <w:p w14:paraId="74310521"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Non-methane total hydrocarbons: 50mg/m</w:t>
            </w:r>
            <w:r w:rsidRPr="00A9288A">
              <w:rPr>
                <w:rFonts w:ascii="Times New Roman" w:eastAsia="宋体" w:hAnsi="Times New Roman" w:cs="Times New Roman"/>
                <w:sz w:val="16"/>
                <w:szCs w:val="16"/>
                <w:vertAlign w:val="superscript"/>
                <w:lang w:val="fr-FR"/>
              </w:rPr>
              <w:t>3</w:t>
            </w:r>
          </w:p>
        </w:tc>
        <w:tc>
          <w:tcPr>
            <w:tcW w:w="487" w:type="pct"/>
            <w:tcBorders>
              <w:top w:val="single" w:sz="2" w:space="0" w:color="auto"/>
              <w:left w:val="single" w:sz="2" w:space="0" w:color="auto"/>
              <w:bottom w:val="single" w:sz="2" w:space="0" w:color="auto"/>
              <w:right w:val="single" w:sz="2" w:space="0" w:color="auto"/>
            </w:tcBorders>
            <w:vAlign w:val="center"/>
          </w:tcPr>
          <w:p w14:paraId="179EB422"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Non-methane total hydrocarbons: 2.8t</w:t>
            </w:r>
          </w:p>
        </w:tc>
        <w:tc>
          <w:tcPr>
            <w:tcW w:w="487" w:type="pct"/>
            <w:tcBorders>
              <w:top w:val="single" w:sz="2" w:space="0" w:color="auto"/>
              <w:left w:val="single" w:sz="2" w:space="0" w:color="auto"/>
              <w:bottom w:val="single" w:sz="2" w:space="0" w:color="auto"/>
              <w:right w:val="single" w:sz="2" w:space="0" w:color="auto"/>
            </w:tcBorders>
            <w:vAlign w:val="center"/>
          </w:tcPr>
          <w:p w14:paraId="3E713A9E"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Non-methane total hydrocarbons: 6.2042t</w:t>
            </w:r>
          </w:p>
        </w:tc>
        <w:tc>
          <w:tcPr>
            <w:tcW w:w="400" w:type="pct"/>
            <w:tcBorders>
              <w:top w:val="single" w:sz="2" w:space="0" w:color="auto"/>
              <w:left w:val="single" w:sz="2" w:space="0" w:color="auto"/>
              <w:bottom w:val="single" w:sz="2" w:space="0" w:color="auto"/>
              <w:right w:val="single" w:sz="2" w:space="0" w:color="auto"/>
            </w:tcBorders>
            <w:vAlign w:val="center"/>
          </w:tcPr>
          <w:p w14:paraId="18E29711"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None</w:t>
            </w:r>
          </w:p>
        </w:tc>
      </w:tr>
      <w:tr w:rsidR="006B66B7" w:rsidRPr="00A9288A" w14:paraId="7790ADB8" w14:textId="77777777" w:rsidTr="00A9288A">
        <w:trPr>
          <w:jc w:val="center"/>
        </w:trPr>
        <w:tc>
          <w:tcPr>
            <w:tcW w:w="387" w:type="pct"/>
            <w:tcBorders>
              <w:top w:val="single" w:sz="2" w:space="0" w:color="auto"/>
              <w:left w:val="single" w:sz="2" w:space="0" w:color="auto"/>
              <w:bottom w:val="single" w:sz="2" w:space="0" w:color="auto"/>
              <w:right w:val="single" w:sz="2" w:space="0" w:color="auto"/>
            </w:tcBorders>
            <w:vAlign w:val="center"/>
          </w:tcPr>
          <w:p w14:paraId="3269E7F1"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West Heye Road Factory of </w:t>
            </w:r>
            <w:proofErr w:type="spellStart"/>
            <w:r w:rsidRPr="00A9288A">
              <w:rPr>
                <w:rFonts w:ascii="Times New Roman" w:eastAsia="宋体" w:hAnsi="Times New Roman" w:cs="Times New Roman"/>
                <w:sz w:val="16"/>
                <w:szCs w:val="16"/>
              </w:rPr>
              <w:t>Yangjie</w:t>
            </w:r>
            <w:proofErr w:type="spellEnd"/>
            <w:r w:rsidRPr="00A9288A">
              <w:rPr>
                <w:rFonts w:ascii="Times New Roman" w:eastAsia="宋体" w:hAnsi="Times New Roman" w:cs="Times New Roman"/>
                <w:sz w:val="16"/>
                <w:szCs w:val="16"/>
              </w:rPr>
              <w:t xml:space="preserve"> Technology</w:t>
            </w:r>
          </w:p>
        </w:tc>
        <w:tc>
          <w:tcPr>
            <w:tcW w:w="431" w:type="pct"/>
            <w:tcBorders>
              <w:top w:val="single" w:sz="2" w:space="0" w:color="auto"/>
              <w:left w:val="single" w:sz="2" w:space="0" w:color="auto"/>
              <w:bottom w:val="single" w:sz="2" w:space="0" w:color="auto"/>
              <w:right w:val="single" w:sz="2" w:space="0" w:color="auto"/>
            </w:tcBorders>
            <w:vAlign w:val="center"/>
          </w:tcPr>
          <w:p w14:paraId="23F3CBE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Exhaust gas</w:t>
            </w:r>
          </w:p>
        </w:tc>
        <w:tc>
          <w:tcPr>
            <w:tcW w:w="456" w:type="pct"/>
            <w:tcBorders>
              <w:top w:val="single" w:sz="2" w:space="0" w:color="auto"/>
              <w:left w:val="single" w:sz="2" w:space="0" w:color="auto"/>
              <w:bottom w:val="single" w:sz="2" w:space="0" w:color="auto"/>
              <w:right w:val="single" w:sz="2" w:space="0" w:color="auto"/>
            </w:tcBorders>
            <w:vAlign w:val="center"/>
          </w:tcPr>
          <w:p w14:paraId="5AE28ECC"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HCl, NOx, sulfuric acid mist, fluoride, acetic acid, NH3</w:t>
            </w:r>
          </w:p>
        </w:tc>
        <w:tc>
          <w:tcPr>
            <w:tcW w:w="372" w:type="pct"/>
            <w:tcBorders>
              <w:top w:val="single" w:sz="2" w:space="0" w:color="auto"/>
              <w:left w:val="single" w:sz="2" w:space="0" w:color="auto"/>
              <w:bottom w:val="single" w:sz="2" w:space="0" w:color="auto"/>
              <w:right w:val="single" w:sz="2" w:space="0" w:color="auto"/>
            </w:tcBorders>
            <w:vAlign w:val="center"/>
          </w:tcPr>
          <w:p w14:paraId="408D0A31"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Emitted from the exhaust pipe after treatment by lye spraying tower</w:t>
            </w:r>
          </w:p>
        </w:tc>
        <w:tc>
          <w:tcPr>
            <w:tcW w:w="325" w:type="pct"/>
            <w:tcBorders>
              <w:top w:val="single" w:sz="2" w:space="0" w:color="auto"/>
              <w:left w:val="single" w:sz="2" w:space="0" w:color="auto"/>
              <w:bottom w:val="single" w:sz="2" w:space="0" w:color="auto"/>
              <w:right w:val="single" w:sz="2" w:space="0" w:color="auto"/>
            </w:tcBorders>
            <w:vAlign w:val="center"/>
          </w:tcPr>
          <w:p w14:paraId="7DCCCAB8"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3</w:t>
            </w:r>
          </w:p>
        </w:tc>
        <w:tc>
          <w:tcPr>
            <w:tcW w:w="396" w:type="pct"/>
            <w:tcBorders>
              <w:top w:val="single" w:sz="2" w:space="0" w:color="auto"/>
              <w:left w:val="single" w:sz="2" w:space="0" w:color="auto"/>
              <w:bottom w:val="single" w:sz="2" w:space="0" w:color="auto"/>
              <w:right w:val="single" w:sz="2" w:space="0" w:color="auto"/>
            </w:tcBorders>
            <w:vAlign w:val="center"/>
          </w:tcPr>
          <w:p w14:paraId="3489FBA4"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Sewage station and roof of the production department</w:t>
            </w:r>
          </w:p>
        </w:tc>
        <w:tc>
          <w:tcPr>
            <w:tcW w:w="698" w:type="pct"/>
            <w:tcBorders>
              <w:top w:val="single" w:sz="2" w:space="0" w:color="auto"/>
              <w:left w:val="single" w:sz="2" w:space="0" w:color="auto"/>
              <w:bottom w:val="single" w:sz="2" w:space="0" w:color="auto"/>
              <w:right w:val="single" w:sz="2" w:space="0" w:color="auto"/>
            </w:tcBorders>
            <w:vAlign w:val="center"/>
          </w:tcPr>
          <w:p w14:paraId="2C8793B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HCl: 4.3 mg/L; NOx: 0 mg/L;</w:t>
            </w:r>
          </w:p>
          <w:p w14:paraId="683B158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Sulfuric acid mist: 0.23mg/L; fluorides: 1.24mg/L;</w:t>
            </w:r>
          </w:p>
          <w:p w14:paraId="3DB66092"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Acetic acid: 0mg/L; NH3: 1.45mg/L</w:t>
            </w:r>
          </w:p>
        </w:tc>
        <w:tc>
          <w:tcPr>
            <w:tcW w:w="562" w:type="pct"/>
            <w:tcBorders>
              <w:top w:val="single" w:sz="2" w:space="0" w:color="auto"/>
              <w:left w:val="single" w:sz="2" w:space="0" w:color="auto"/>
              <w:bottom w:val="single" w:sz="2" w:space="0" w:color="auto"/>
              <w:right w:val="single" w:sz="2" w:space="0" w:color="auto"/>
            </w:tcBorders>
            <w:vAlign w:val="center"/>
          </w:tcPr>
          <w:p w14:paraId="18A38A2C"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HCl: 10mg/L</w:t>
            </w:r>
          </w:p>
          <w:p w14:paraId="54F87840"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NOx: 50mg/L</w:t>
            </w:r>
          </w:p>
          <w:p w14:paraId="5B2A06E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Sulfuric acid mist: 5mg/L</w:t>
            </w:r>
          </w:p>
          <w:p w14:paraId="76582CC6"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Fluorides: 1.5mg/L</w:t>
            </w:r>
          </w:p>
          <w:p w14:paraId="2FBAAC1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Acetic acid/mg/L</w:t>
            </w:r>
          </w:p>
          <w:p w14:paraId="27694B2C"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NH3: 10mg/L</w:t>
            </w:r>
          </w:p>
        </w:tc>
        <w:tc>
          <w:tcPr>
            <w:tcW w:w="487" w:type="pct"/>
            <w:tcBorders>
              <w:top w:val="single" w:sz="2" w:space="0" w:color="auto"/>
              <w:left w:val="single" w:sz="2" w:space="0" w:color="auto"/>
              <w:bottom w:val="single" w:sz="2" w:space="0" w:color="auto"/>
              <w:right w:val="single" w:sz="2" w:space="0" w:color="auto"/>
            </w:tcBorders>
            <w:vAlign w:val="center"/>
          </w:tcPr>
          <w:p w14:paraId="0D7595C7"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HCl: 0.7t</w:t>
            </w:r>
          </w:p>
          <w:p w14:paraId="72FFAF02"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NOx: 0t</w:t>
            </w:r>
          </w:p>
          <w:p w14:paraId="55E9D703"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Sulfuric acid mist: 0.04t</w:t>
            </w:r>
          </w:p>
          <w:p w14:paraId="06EA6E87"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Fluorides: 0.35t</w:t>
            </w:r>
          </w:p>
          <w:p w14:paraId="6A9EDBC0"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Acetic acid: 0t;</w:t>
            </w:r>
          </w:p>
          <w:p w14:paraId="6B61431E"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NH3: 0.2t</w:t>
            </w:r>
          </w:p>
        </w:tc>
        <w:tc>
          <w:tcPr>
            <w:tcW w:w="487" w:type="pct"/>
            <w:tcBorders>
              <w:top w:val="single" w:sz="2" w:space="0" w:color="auto"/>
              <w:left w:val="single" w:sz="2" w:space="0" w:color="auto"/>
              <w:bottom w:val="single" w:sz="2" w:space="0" w:color="auto"/>
              <w:right w:val="single" w:sz="2" w:space="0" w:color="auto"/>
            </w:tcBorders>
            <w:vAlign w:val="center"/>
          </w:tcPr>
          <w:p w14:paraId="0D58C518"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HCl: 1.769t</w:t>
            </w:r>
          </w:p>
          <w:p w14:paraId="218DF27A"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NOx: 1.13t</w:t>
            </w:r>
          </w:p>
          <w:p w14:paraId="5D9BF41B"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Sulfuric acid mist: 0.721t</w:t>
            </w:r>
          </w:p>
          <w:p w14:paraId="42F09C15"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Fluorides: 1.259t</w:t>
            </w:r>
          </w:p>
          <w:p w14:paraId="23A0972A"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Acetic acid: 0.32t; NH3: 0.428t</w:t>
            </w:r>
          </w:p>
        </w:tc>
        <w:tc>
          <w:tcPr>
            <w:tcW w:w="400" w:type="pct"/>
            <w:tcBorders>
              <w:top w:val="single" w:sz="2" w:space="0" w:color="auto"/>
              <w:left w:val="single" w:sz="2" w:space="0" w:color="auto"/>
              <w:bottom w:val="single" w:sz="2" w:space="0" w:color="auto"/>
              <w:right w:val="single" w:sz="2" w:space="0" w:color="auto"/>
            </w:tcBorders>
            <w:vAlign w:val="center"/>
          </w:tcPr>
          <w:p w14:paraId="62D3EF50"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None</w:t>
            </w:r>
          </w:p>
        </w:tc>
      </w:tr>
      <w:tr w:rsidR="006B66B7" w:rsidRPr="00A9288A" w14:paraId="3936159A" w14:textId="77777777" w:rsidTr="00A9288A">
        <w:trPr>
          <w:jc w:val="center"/>
        </w:trPr>
        <w:tc>
          <w:tcPr>
            <w:tcW w:w="387" w:type="pct"/>
            <w:tcBorders>
              <w:top w:val="single" w:sz="2" w:space="0" w:color="auto"/>
              <w:left w:val="single" w:sz="2" w:space="0" w:color="auto"/>
              <w:bottom w:val="single" w:sz="2" w:space="0" w:color="auto"/>
              <w:right w:val="single" w:sz="2" w:space="0" w:color="auto"/>
            </w:tcBorders>
            <w:vAlign w:val="center"/>
          </w:tcPr>
          <w:p w14:paraId="04656E00"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Innovation Park Factory of </w:t>
            </w:r>
            <w:proofErr w:type="spellStart"/>
            <w:r w:rsidRPr="00A9288A">
              <w:rPr>
                <w:rFonts w:ascii="Times New Roman" w:eastAsia="宋体" w:hAnsi="Times New Roman" w:cs="Times New Roman"/>
                <w:sz w:val="16"/>
                <w:szCs w:val="16"/>
              </w:rPr>
              <w:t>Yangjie</w:t>
            </w:r>
            <w:proofErr w:type="spellEnd"/>
            <w:r w:rsidRPr="00A9288A">
              <w:rPr>
                <w:rFonts w:ascii="Times New Roman" w:eastAsia="宋体" w:hAnsi="Times New Roman" w:cs="Times New Roman"/>
                <w:sz w:val="16"/>
                <w:szCs w:val="16"/>
              </w:rPr>
              <w:t xml:space="preserve"> Technology</w:t>
            </w:r>
          </w:p>
        </w:tc>
        <w:tc>
          <w:tcPr>
            <w:tcW w:w="431" w:type="pct"/>
            <w:tcBorders>
              <w:top w:val="single" w:sz="2" w:space="0" w:color="auto"/>
              <w:left w:val="single" w:sz="2" w:space="0" w:color="auto"/>
              <w:bottom w:val="single" w:sz="2" w:space="0" w:color="auto"/>
              <w:right w:val="single" w:sz="2" w:space="0" w:color="auto"/>
            </w:tcBorders>
            <w:vAlign w:val="center"/>
          </w:tcPr>
          <w:p w14:paraId="423996BE"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Wastewater</w:t>
            </w:r>
          </w:p>
        </w:tc>
        <w:tc>
          <w:tcPr>
            <w:tcW w:w="456" w:type="pct"/>
            <w:tcBorders>
              <w:top w:val="single" w:sz="2" w:space="0" w:color="auto"/>
              <w:left w:val="single" w:sz="2" w:space="0" w:color="auto"/>
              <w:bottom w:val="single" w:sz="2" w:space="0" w:color="auto"/>
              <w:right w:val="single" w:sz="2" w:space="0" w:color="auto"/>
            </w:tcBorders>
            <w:vAlign w:val="center"/>
          </w:tcPr>
          <w:p w14:paraId="3658DF53"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COD, SS, ammonia nitrogen, fluoride, total phosphorus, animal and vegetable oil</w:t>
            </w:r>
          </w:p>
        </w:tc>
        <w:tc>
          <w:tcPr>
            <w:tcW w:w="372" w:type="pct"/>
            <w:tcBorders>
              <w:top w:val="single" w:sz="2" w:space="0" w:color="auto"/>
              <w:left w:val="single" w:sz="2" w:space="0" w:color="auto"/>
              <w:bottom w:val="single" w:sz="2" w:space="0" w:color="auto"/>
              <w:right w:val="single" w:sz="2" w:space="0" w:color="auto"/>
            </w:tcBorders>
            <w:vAlign w:val="center"/>
          </w:tcPr>
          <w:p w14:paraId="0A7C4700"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After treatment with wastewater treatment devices, the wastewater was discharged into the municipal pipe network, which would be taken over by the Beishan wastewater treatment plant.</w:t>
            </w:r>
          </w:p>
        </w:tc>
        <w:tc>
          <w:tcPr>
            <w:tcW w:w="325" w:type="pct"/>
            <w:tcBorders>
              <w:top w:val="single" w:sz="2" w:space="0" w:color="auto"/>
              <w:left w:val="single" w:sz="2" w:space="0" w:color="auto"/>
              <w:bottom w:val="single" w:sz="2" w:space="0" w:color="auto"/>
              <w:right w:val="single" w:sz="2" w:space="0" w:color="auto"/>
            </w:tcBorders>
            <w:vAlign w:val="center"/>
          </w:tcPr>
          <w:p w14:paraId="5CBC884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1</w:t>
            </w:r>
          </w:p>
        </w:tc>
        <w:tc>
          <w:tcPr>
            <w:tcW w:w="396" w:type="pct"/>
            <w:tcBorders>
              <w:top w:val="single" w:sz="2" w:space="0" w:color="auto"/>
              <w:left w:val="single" w:sz="2" w:space="0" w:color="auto"/>
              <w:bottom w:val="single" w:sz="2" w:space="0" w:color="auto"/>
              <w:right w:val="single" w:sz="2" w:space="0" w:color="auto"/>
            </w:tcBorders>
            <w:vAlign w:val="center"/>
          </w:tcPr>
          <w:p w14:paraId="47C56F0D"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General wastewater outlet</w:t>
            </w:r>
          </w:p>
        </w:tc>
        <w:tc>
          <w:tcPr>
            <w:tcW w:w="698" w:type="pct"/>
            <w:tcBorders>
              <w:top w:val="single" w:sz="2" w:space="0" w:color="auto"/>
              <w:left w:val="single" w:sz="2" w:space="0" w:color="auto"/>
              <w:bottom w:val="single" w:sz="2" w:space="0" w:color="auto"/>
              <w:right w:val="single" w:sz="2" w:space="0" w:color="auto"/>
            </w:tcBorders>
            <w:vAlign w:val="center"/>
          </w:tcPr>
          <w:p w14:paraId="7C421C56"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COD: 66mg/L; SS: 28mg/L;</w:t>
            </w:r>
          </w:p>
          <w:p w14:paraId="0F460E8C"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Ammonia nitrogen: 8.7mg/L;</w:t>
            </w:r>
          </w:p>
          <w:p w14:paraId="0DA8DBB7"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phosphorus: 0.25mg/L</w:t>
            </w:r>
          </w:p>
          <w:p w14:paraId="2201C091"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Fluorides: 6mg/L;</w:t>
            </w:r>
          </w:p>
        </w:tc>
        <w:tc>
          <w:tcPr>
            <w:tcW w:w="562" w:type="pct"/>
            <w:tcBorders>
              <w:top w:val="single" w:sz="2" w:space="0" w:color="auto"/>
              <w:left w:val="single" w:sz="2" w:space="0" w:color="auto"/>
              <w:bottom w:val="single" w:sz="2" w:space="0" w:color="auto"/>
              <w:right w:val="single" w:sz="2" w:space="0" w:color="auto"/>
            </w:tcBorders>
            <w:vAlign w:val="center"/>
          </w:tcPr>
          <w:p w14:paraId="38454049"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COD: 300mg/L</w:t>
            </w:r>
          </w:p>
          <w:p w14:paraId="53C0008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SS: 250mg/L</w:t>
            </w:r>
          </w:p>
          <w:p w14:paraId="07E1AE0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Ammonia nitrogen: 20mg/L</w:t>
            </w:r>
          </w:p>
          <w:p w14:paraId="77DE6B6E"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phosphorus: 3mg/L</w:t>
            </w:r>
          </w:p>
          <w:p w14:paraId="2ACC44D6"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Fluorides: 15mg /L</w:t>
            </w:r>
          </w:p>
        </w:tc>
        <w:tc>
          <w:tcPr>
            <w:tcW w:w="487" w:type="pct"/>
            <w:tcBorders>
              <w:top w:val="single" w:sz="2" w:space="0" w:color="auto"/>
              <w:left w:val="single" w:sz="2" w:space="0" w:color="auto"/>
              <w:bottom w:val="single" w:sz="2" w:space="0" w:color="auto"/>
              <w:right w:val="single" w:sz="2" w:space="0" w:color="auto"/>
            </w:tcBorders>
            <w:vAlign w:val="center"/>
          </w:tcPr>
          <w:p w14:paraId="7979928A"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COD: 11.5t</w:t>
            </w:r>
          </w:p>
          <w:p w14:paraId="47F7BF4E"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SS: 4.9t</w:t>
            </w:r>
          </w:p>
          <w:p w14:paraId="0672E0E4"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Ammonia nitrogen: 1.5t</w:t>
            </w:r>
          </w:p>
          <w:p w14:paraId="002A3E3C"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Total phosphorus: 0.04t</w:t>
            </w:r>
          </w:p>
          <w:p w14:paraId="6FA22822" w14:textId="77777777" w:rsidR="006B66B7" w:rsidRPr="00A9288A" w:rsidRDefault="006B66B7" w:rsidP="008C49B7">
            <w:pPr>
              <w:snapToGrid w:val="0"/>
              <w:rPr>
                <w:rFonts w:ascii="Times New Roman" w:eastAsia="宋体" w:hAnsi="Times New Roman" w:cs="Times New Roman"/>
                <w:sz w:val="16"/>
                <w:szCs w:val="16"/>
                <w:lang w:val="fr-FR"/>
              </w:rPr>
            </w:pPr>
          </w:p>
          <w:p w14:paraId="3AEAA43A" w14:textId="77777777" w:rsidR="006B66B7" w:rsidRPr="004425DE" w:rsidRDefault="002349C6" w:rsidP="008C49B7">
            <w:pPr>
              <w:snapToGrid w:val="0"/>
              <w:rPr>
                <w:rFonts w:ascii="Times New Roman" w:eastAsia="宋体" w:hAnsi="Times New Roman" w:cs="Times New Roman"/>
                <w:sz w:val="16"/>
                <w:szCs w:val="16"/>
                <w:lang w:val="fr-FR"/>
              </w:rPr>
            </w:pPr>
            <w:r w:rsidRPr="004425DE">
              <w:rPr>
                <w:rFonts w:ascii="Times New Roman" w:eastAsia="宋体" w:hAnsi="Times New Roman" w:cs="Times New Roman"/>
                <w:sz w:val="16"/>
                <w:szCs w:val="16"/>
                <w:lang w:val="fr-FR"/>
              </w:rPr>
              <w:t>Fluorides: 1.1t</w:t>
            </w:r>
          </w:p>
        </w:tc>
        <w:tc>
          <w:tcPr>
            <w:tcW w:w="487" w:type="pct"/>
            <w:tcBorders>
              <w:top w:val="single" w:sz="2" w:space="0" w:color="auto"/>
              <w:left w:val="single" w:sz="2" w:space="0" w:color="auto"/>
              <w:bottom w:val="single" w:sz="2" w:space="0" w:color="auto"/>
              <w:right w:val="single" w:sz="2" w:space="0" w:color="auto"/>
            </w:tcBorders>
            <w:vAlign w:val="center"/>
          </w:tcPr>
          <w:p w14:paraId="56AB214E"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COD: 149.76t</w:t>
            </w:r>
          </w:p>
          <w:p w14:paraId="7E299E2D"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SS: 112.32t Ammonia nitrogen: 6.85t Total phosphorus: 3t</w:t>
            </w:r>
          </w:p>
          <w:p w14:paraId="1DA61352"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Fluorides: 7.49t</w:t>
            </w:r>
          </w:p>
        </w:tc>
        <w:tc>
          <w:tcPr>
            <w:tcW w:w="400" w:type="pct"/>
            <w:tcBorders>
              <w:top w:val="single" w:sz="2" w:space="0" w:color="auto"/>
              <w:left w:val="single" w:sz="2" w:space="0" w:color="auto"/>
              <w:bottom w:val="single" w:sz="2" w:space="0" w:color="auto"/>
              <w:right w:val="single" w:sz="2" w:space="0" w:color="auto"/>
            </w:tcBorders>
            <w:vAlign w:val="center"/>
          </w:tcPr>
          <w:p w14:paraId="073FE4B8"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None</w:t>
            </w:r>
          </w:p>
        </w:tc>
      </w:tr>
      <w:tr w:rsidR="006B66B7" w:rsidRPr="00A9288A" w14:paraId="0C56312C" w14:textId="77777777" w:rsidTr="00A9288A">
        <w:trPr>
          <w:jc w:val="center"/>
        </w:trPr>
        <w:tc>
          <w:tcPr>
            <w:tcW w:w="387" w:type="pct"/>
            <w:tcBorders>
              <w:top w:val="single" w:sz="2" w:space="0" w:color="auto"/>
              <w:left w:val="single" w:sz="2" w:space="0" w:color="auto"/>
              <w:bottom w:val="single" w:sz="2" w:space="0" w:color="auto"/>
              <w:right w:val="single" w:sz="2" w:space="0" w:color="auto"/>
            </w:tcBorders>
            <w:vAlign w:val="center"/>
          </w:tcPr>
          <w:p w14:paraId="6AE7759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Innovation Park Factory of </w:t>
            </w:r>
            <w:proofErr w:type="spellStart"/>
            <w:r w:rsidRPr="00A9288A">
              <w:rPr>
                <w:rFonts w:ascii="Times New Roman" w:eastAsia="宋体" w:hAnsi="Times New Roman" w:cs="Times New Roman"/>
                <w:sz w:val="16"/>
                <w:szCs w:val="16"/>
              </w:rPr>
              <w:t>Yangjie</w:t>
            </w:r>
            <w:proofErr w:type="spellEnd"/>
            <w:r w:rsidRPr="00A9288A">
              <w:rPr>
                <w:rFonts w:ascii="Times New Roman" w:eastAsia="宋体" w:hAnsi="Times New Roman" w:cs="Times New Roman"/>
                <w:sz w:val="16"/>
                <w:szCs w:val="16"/>
              </w:rPr>
              <w:t xml:space="preserve"> Technology</w:t>
            </w:r>
          </w:p>
        </w:tc>
        <w:tc>
          <w:tcPr>
            <w:tcW w:w="431" w:type="pct"/>
            <w:tcBorders>
              <w:top w:val="single" w:sz="2" w:space="0" w:color="auto"/>
              <w:left w:val="single" w:sz="2" w:space="0" w:color="auto"/>
              <w:bottom w:val="single" w:sz="2" w:space="0" w:color="auto"/>
              <w:right w:val="single" w:sz="2" w:space="0" w:color="auto"/>
            </w:tcBorders>
            <w:vAlign w:val="center"/>
          </w:tcPr>
          <w:p w14:paraId="4C97B225"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Exhaust gas</w:t>
            </w:r>
          </w:p>
        </w:tc>
        <w:tc>
          <w:tcPr>
            <w:tcW w:w="456" w:type="pct"/>
            <w:tcBorders>
              <w:top w:val="single" w:sz="2" w:space="0" w:color="auto"/>
              <w:left w:val="single" w:sz="2" w:space="0" w:color="auto"/>
              <w:bottom w:val="single" w:sz="2" w:space="0" w:color="auto"/>
              <w:right w:val="single" w:sz="2" w:space="0" w:color="auto"/>
            </w:tcBorders>
            <w:vAlign w:val="center"/>
          </w:tcPr>
          <w:p w14:paraId="729A1293"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VOCs</w:t>
            </w:r>
          </w:p>
        </w:tc>
        <w:tc>
          <w:tcPr>
            <w:tcW w:w="372" w:type="pct"/>
            <w:tcBorders>
              <w:top w:val="single" w:sz="2" w:space="0" w:color="auto"/>
              <w:left w:val="single" w:sz="2" w:space="0" w:color="auto"/>
              <w:bottom w:val="single" w:sz="2" w:space="0" w:color="auto"/>
              <w:right w:val="single" w:sz="2" w:space="0" w:color="auto"/>
            </w:tcBorders>
            <w:vAlign w:val="center"/>
          </w:tcPr>
          <w:p w14:paraId="1BC78924"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Emitted from the exhaust pipe after treatment by the activated carbon adsorption device</w:t>
            </w:r>
          </w:p>
        </w:tc>
        <w:tc>
          <w:tcPr>
            <w:tcW w:w="325" w:type="pct"/>
            <w:tcBorders>
              <w:top w:val="single" w:sz="2" w:space="0" w:color="auto"/>
              <w:left w:val="single" w:sz="2" w:space="0" w:color="auto"/>
              <w:bottom w:val="single" w:sz="2" w:space="0" w:color="auto"/>
              <w:right w:val="single" w:sz="2" w:space="0" w:color="auto"/>
            </w:tcBorders>
            <w:vAlign w:val="center"/>
          </w:tcPr>
          <w:p w14:paraId="50E4E7BE"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1</w:t>
            </w:r>
          </w:p>
        </w:tc>
        <w:tc>
          <w:tcPr>
            <w:tcW w:w="396" w:type="pct"/>
            <w:tcBorders>
              <w:top w:val="single" w:sz="2" w:space="0" w:color="auto"/>
              <w:left w:val="single" w:sz="2" w:space="0" w:color="auto"/>
              <w:bottom w:val="single" w:sz="2" w:space="0" w:color="auto"/>
              <w:right w:val="single" w:sz="2" w:space="0" w:color="auto"/>
            </w:tcBorders>
            <w:vAlign w:val="center"/>
          </w:tcPr>
          <w:p w14:paraId="789B50A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Roof of the production department</w:t>
            </w:r>
          </w:p>
        </w:tc>
        <w:tc>
          <w:tcPr>
            <w:tcW w:w="698" w:type="pct"/>
            <w:tcBorders>
              <w:top w:val="single" w:sz="2" w:space="0" w:color="auto"/>
              <w:left w:val="single" w:sz="2" w:space="0" w:color="auto"/>
              <w:bottom w:val="single" w:sz="2" w:space="0" w:color="auto"/>
              <w:right w:val="single" w:sz="2" w:space="0" w:color="auto"/>
            </w:tcBorders>
            <w:vAlign w:val="center"/>
          </w:tcPr>
          <w:p w14:paraId="7972987E"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Non-methane total hydrocarbon: 1.73mg/m</w:t>
            </w:r>
            <w:r w:rsidRPr="00A9288A">
              <w:rPr>
                <w:rFonts w:ascii="Times New Roman" w:eastAsia="宋体" w:hAnsi="Times New Roman" w:cs="Times New Roman"/>
                <w:sz w:val="16"/>
                <w:szCs w:val="16"/>
                <w:vertAlign w:val="superscript"/>
                <w:lang w:val="fr-FR"/>
              </w:rPr>
              <w:t>3</w:t>
            </w:r>
          </w:p>
        </w:tc>
        <w:tc>
          <w:tcPr>
            <w:tcW w:w="562" w:type="pct"/>
            <w:tcBorders>
              <w:top w:val="single" w:sz="2" w:space="0" w:color="auto"/>
              <w:left w:val="single" w:sz="2" w:space="0" w:color="auto"/>
              <w:bottom w:val="single" w:sz="2" w:space="0" w:color="auto"/>
              <w:right w:val="single" w:sz="2" w:space="0" w:color="auto"/>
            </w:tcBorders>
            <w:vAlign w:val="center"/>
          </w:tcPr>
          <w:p w14:paraId="3C511B06"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Non-methane total hydrocarbons: 50mg/m</w:t>
            </w:r>
            <w:r w:rsidRPr="00A9288A">
              <w:rPr>
                <w:rFonts w:ascii="Times New Roman" w:eastAsia="宋体" w:hAnsi="Times New Roman" w:cs="Times New Roman"/>
                <w:sz w:val="16"/>
                <w:szCs w:val="16"/>
                <w:vertAlign w:val="superscript"/>
                <w:lang w:val="fr-FR"/>
              </w:rPr>
              <w:t>3</w:t>
            </w:r>
          </w:p>
        </w:tc>
        <w:tc>
          <w:tcPr>
            <w:tcW w:w="487" w:type="pct"/>
            <w:tcBorders>
              <w:top w:val="single" w:sz="2" w:space="0" w:color="auto"/>
              <w:left w:val="single" w:sz="2" w:space="0" w:color="auto"/>
              <w:bottom w:val="single" w:sz="2" w:space="0" w:color="auto"/>
              <w:right w:val="single" w:sz="2" w:space="0" w:color="auto"/>
            </w:tcBorders>
            <w:vAlign w:val="center"/>
          </w:tcPr>
          <w:p w14:paraId="0E869BC3"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Non-methane total hydrocarbon: 0.05t</w:t>
            </w:r>
          </w:p>
        </w:tc>
        <w:tc>
          <w:tcPr>
            <w:tcW w:w="487" w:type="pct"/>
            <w:tcBorders>
              <w:top w:val="single" w:sz="2" w:space="0" w:color="auto"/>
              <w:left w:val="single" w:sz="2" w:space="0" w:color="auto"/>
              <w:bottom w:val="single" w:sz="2" w:space="0" w:color="auto"/>
              <w:right w:val="single" w:sz="2" w:space="0" w:color="auto"/>
            </w:tcBorders>
            <w:vAlign w:val="center"/>
          </w:tcPr>
          <w:p w14:paraId="5D122E80"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Non-methane total hydrocarbon: 0.99t</w:t>
            </w:r>
          </w:p>
        </w:tc>
        <w:tc>
          <w:tcPr>
            <w:tcW w:w="400" w:type="pct"/>
            <w:tcBorders>
              <w:top w:val="single" w:sz="2" w:space="0" w:color="auto"/>
              <w:left w:val="single" w:sz="2" w:space="0" w:color="auto"/>
              <w:bottom w:val="single" w:sz="2" w:space="0" w:color="auto"/>
              <w:right w:val="single" w:sz="2" w:space="0" w:color="auto"/>
            </w:tcBorders>
            <w:vAlign w:val="center"/>
          </w:tcPr>
          <w:p w14:paraId="1D8EDA37"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None</w:t>
            </w:r>
          </w:p>
        </w:tc>
      </w:tr>
      <w:tr w:rsidR="006B66B7" w:rsidRPr="00A9288A" w14:paraId="62FEFA55" w14:textId="77777777" w:rsidTr="00A9288A">
        <w:trPr>
          <w:jc w:val="center"/>
        </w:trPr>
        <w:tc>
          <w:tcPr>
            <w:tcW w:w="387" w:type="pct"/>
            <w:tcBorders>
              <w:top w:val="single" w:sz="2" w:space="0" w:color="auto"/>
              <w:left w:val="single" w:sz="2" w:space="0" w:color="auto"/>
              <w:bottom w:val="single" w:sz="2" w:space="0" w:color="auto"/>
              <w:right w:val="single" w:sz="2" w:space="0" w:color="auto"/>
            </w:tcBorders>
            <w:vAlign w:val="center"/>
          </w:tcPr>
          <w:p w14:paraId="61A91982"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North </w:t>
            </w:r>
            <w:proofErr w:type="spellStart"/>
            <w:r w:rsidRPr="00A9288A">
              <w:rPr>
                <w:rFonts w:ascii="Times New Roman" w:eastAsia="宋体" w:hAnsi="Times New Roman" w:cs="Times New Roman"/>
                <w:sz w:val="16"/>
                <w:szCs w:val="16"/>
              </w:rPr>
              <w:t>Gaoshu</w:t>
            </w:r>
            <w:proofErr w:type="spellEnd"/>
            <w:r w:rsidRPr="00A9288A">
              <w:rPr>
                <w:rFonts w:ascii="Times New Roman" w:eastAsia="宋体" w:hAnsi="Times New Roman" w:cs="Times New Roman"/>
                <w:sz w:val="16"/>
                <w:szCs w:val="16"/>
              </w:rPr>
              <w:t xml:space="preserve"> Road Factory of </w:t>
            </w:r>
            <w:proofErr w:type="spellStart"/>
            <w:r w:rsidRPr="00A9288A">
              <w:rPr>
                <w:rFonts w:ascii="Times New Roman" w:eastAsia="宋体" w:hAnsi="Times New Roman" w:cs="Times New Roman"/>
                <w:sz w:val="16"/>
                <w:szCs w:val="16"/>
              </w:rPr>
              <w:t>Yangjie</w:t>
            </w:r>
            <w:proofErr w:type="spellEnd"/>
            <w:r w:rsidRPr="00A9288A">
              <w:rPr>
                <w:rFonts w:ascii="Times New Roman" w:eastAsia="宋体" w:hAnsi="Times New Roman" w:cs="Times New Roman"/>
                <w:sz w:val="16"/>
                <w:szCs w:val="16"/>
              </w:rPr>
              <w:t xml:space="preserve"> Technology</w:t>
            </w:r>
          </w:p>
        </w:tc>
        <w:tc>
          <w:tcPr>
            <w:tcW w:w="431" w:type="pct"/>
            <w:tcBorders>
              <w:top w:val="single" w:sz="2" w:space="0" w:color="auto"/>
              <w:left w:val="single" w:sz="2" w:space="0" w:color="auto"/>
              <w:bottom w:val="single" w:sz="2" w:space="0" w:color="auto"/>
              <w:right w:val="single" w:sz="2" w:space="0" w:color="auto"/>
            </w:tcBorders>
            <w:vAlign w:val="center"/>
          </w:tcPr>
          <w:p w14:paraId="2F4476B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Wastewater</w:t>
            </w:r>
          </w:p>
        </w:tc>
        <w:tc>
          <w:tcPr>
            <w:tcW w:w="456" w:type="pct"/>
            <w:tcBorders>
              <w:top w:val="single" w:sz="2" w:space="0" w:color="auto"/>
              <w:left w:val="single" w:sz="2" w:space="0" w:color="auto"/>
              <w:bottom w:val="single" w:sz="2" w:space="0" w:color="auto"/>
              <w:right w:val="single" w:sz="2" w:space="0" w:color="auto"/>
            </w:tcBorders>
            <w:vAlign w:val="center"/>
          </w:tcPr>
          <w:p w14:paraId="708BA9FD"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COD, SS, total nitrogen, ammonia nitrogen, total phosphorus, phenol, petroleum, total copper, and total tin</w:t>
            </w:r>
          </w:p>
        </w:tc>
        <w:tc>
          <w:tcPr>
            <w:tcW w:w="372" w:type="pct"/>
            <w:tcBorders>
              <w:top w:val="single" w:sz="2" w:space="0" w:color="auto"/>
              <w:left w:val="single" w:sz="2" w:space="0" w:color="auto"/>
              <w:bottom w:val="single" w:sz="2" w:space="0" w:color="auto"/>
              <w:right w:val="single" w:sz="2" w:space="0" w:color="auto"/>
            </w:tcBorders>
            <w:vAlign w:val="center"/>
          </w:tcPr>
          <w:p w14:paraId="390548BF"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After treatment with wastewater treatment devices, the wastewater was discharged into the municipal </w:t>
            </w:r>
            <w:r w:rsidRPr="00A9288A">
              <w:rPr>
                <w:rFonts w:ascii="Times New Roman" w:eastAsia="宋体" w:hAnsi="Times New Roman" w:cs="Times New Roman"/>
                <w:sz w:val="16"/>
                <w:szCs w:val="16"/>
              </w:rPr>
              <w:lastRenderedPageBreak/>
              <w:t>pipe network, which would be taken over by the Beishan wastewater treatment plant.</w:t>
            </w:r>
          </w:p>
        </w:tc>
        <w:tc>
          <w:tcPr>
            <w:tcW w:w="325" w:type="pct"/>
            <w:tcBorders>
              <w:top w:val="single" w:sz="2" w:space="0" w:color="auto"/>
              <w:left w:val="single" w:sz="2" w:space="0" w:color="auto"/>
              <w:bottom w:val="single" w:sz="2" w:space="0" w:color="auto"/>
              <w:right w:val="single" w:sz="2" w:space="0" w:color="auto"/>
            </w:tcBorders>
            <w:vAlign w:val="center"/>
          </w:tcPr>
          <w:p w14:paraId="1AC4885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lastRenderedPageBreak/>
              <w:t>1</w:t>
            </w:r>
          </w:p>
        </w:tc>
        <w:tc>
          <w:tcPr>
            <w:tcW w:w="396" w:type="pct"/>
            <w:tcBorders>
              <w:top w:val="single" w:sz="2" w:space="0" w:color="auto"/>
              <w:left w:val="single" w:sz="2" w:space="0" w:color="auto"/>
              <w:bottom w:val="single" w:sz="2" w:space="0" w:color="auto"/>
              <w:right w:val="single" w:sz="2" w:space="0" w:color="auto"/>
            </w:tcBorders>
            <w:vAlign w:val="center"/>
          </w:tcPr>
          <w:p w14:paraId="00AFAAAF"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General wastewater outlet</w:t>
            </w:r>
          </w:p>
        </w:tc>
        <w:tc>
          <w:tcPr>
            <w:tcW w:w="698" w:type="pct"/>
            <w:tcBorders>
              <w:top w:val="single" w:sz="2" w:space="0" w:color="auto"/>
              <w:left w:val="single" w:sz="2" w:space="0" w:color="auto"/>
              <w:bottom w:val="single" w:sz="2" w:space="0" w:color="auto"/>
              <w:right w:val="single" w:sz="2" w:space="0" w:color="auto"/>
            </w:tcBorders>
            <w:vAlign w:val="center"/>
          </w:tcPr>
          <w:p w14:paraId="6E33A1B6"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COD: 19mg/L</w:t>
            </w:r>
          </w:p>
          <w:p w14:paraId="4DCFAE6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SS: 8mg/L</w:t>
            </w:r>
          </w:p>
          <w:p w14:paraId="33630215"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nitrogen: 2.62mg/L</w:t>
            </w:r>
          </w:p>
          <w:p w14:paraId="7853B6D8"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Ammonia nitrogen: 0.16mg/L</w:t>
            </w:r>
          </w:p>
          <w:p w14:paraId="3E9A66C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phosphorus: 0.2mg/L</w:t>
            </w:r>
          </w:p>
          <w:p w14:paraId="446649FF" w14:textId="77777777" w:rsidR="006B66B7" w:rsidRPr="00A9288A" w:rsidRDefault="002349C6" w:rsidP="008C49B7">
            <w:pPr>
              <w:snapToGrid w:val="0"/>
              <w:rPr>
                <w:rFonts w:ascii="Times New Roman" w:eastAsia="宋体" w:hAnsi="Times New Roman" w:cs="Times New Roman"/>
                <w:sz w:val="16"/>
                <w:szCs w:val="16"/>
                <w:lang w:val="nl-NL"/>
              </w:rPr>
            </w:pPr>
            <w:r w:rsidRPr="00A9288A">
              <w:rPr>
                <w:rFonts w:ascii="Times New Roman" w:eastAsia="宋体" w:hAnsi="Times New Roman" w:cs="Times New Roman"/>
                <w:sz w:val="16"/>
                <w:szCs w:val="16"/>
                <w:lang w:val="nl-NL"/>
              </w:rPr>
              <w:t>Phenol: 0mg/L</w:t>
            </w:r>
          </w:p>
          <w:p w14:paraId="233183B8" w14:textId="77777777" w:rsidR="006B66B7" w:rsidRPr="00A9288A" w:rsidRDefault="002349C6" w:rsidP="008C49B7">
            <w:pPr>
              <w:snapToGrid w:val="0"/>
              <w:rPr>
                <w:rFonts w:ascii="Times New Roman" w:eastAsia="宋体" w:hAnsi="Times New Roman" w:cs="Times New Roman"/>
                <w:sz w:val="16"/>
                <w:szCs w:val="16"/>
                <w:lang w:val="nl-NL"/>
              </w:rPr>
            </w:pPr>
            <w:r w:rsidRPr="00A9288A">
              <w:rPr>
                <w:rFonts w:ascii="Times New Roman" w:eastAsia="宋体" w:hAnsi="Times New Roman" w:cs="Times New Roman"/>
                <w:sz w:val="16"/>
                <w:szCs w:val="16"/>
                <w:lang w:val="nl-NL"/>
              </w:rPr>
              <w:t>Petroleum: 0.08mg/L</w:t>
            </w:r>
          </w:p>
          <w:p w14:paraId="3D96F9A5"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copper: 0.02mg/L</w:t>
            </w:r>
          </w:p>
          <w:p w14:paraId="63F3F393"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lastRenderedPageBreak/>
              <w:t>Total tin: 0mg/L</w:t>
            </w:r>
          </w:p>
        </w:tc>
        <w:tc>
          <w:tcPr>
            <w:tcW w:w="562" w:type="pct"/>
            <w:tcBorders>
              <w:top w:val="single" w:sz="2" w:space="0" w:color="auto"/>
              <w:left w:val="single" w:sz="2" w:space="0" w:color="auto"/>
              <w:bottom w:val="single" w:sz="2" w:space="0" w:color="auto"/>
              <w:right w:val="single" w:sz="2" w:space="0" w:color="auto"/>
            </w:tcBorders>
            <w:vAlign w:val="center"/>
          </w:tcPr>
          <w:p w14:paraId="20D436EE"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lastRenderedPageBreak/>
              <w:t>COD: 500mg/L</w:t>
            </w:r>
          </w:p>
          <w:p w14:paraId="084C0AD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SS: 400mg/L</w:t>
            </w:r>
          </w:p>
          <w:p w14:paraId="6848FE1F"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nitrogen: 70mg/L</w:t>
            </w:r>
          </w:p>
          <w:p w14:paraId="5349DC8D"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Ammonia nitrogen: 45mg/L</w:t>
            </w:r>
          </w:p>
          <w:p w14:paraId="539EFFA3"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phosphorus: 8mg/L</w:t>
            </w:r>
          </w:p>
          <w:p w14:paraId="15C1F811" w14:textId="77777777" w:rsidR="006B66B7" w:rsidRPr="00A9288A" w:rsidRDefault="002349C6" w:rsidP="008C49B7">
            <w:pPr>
              <w:snapToGrid w:val="0"/>
              <w:rPr>
                <w:rFonts w:ascii="Times New Roman" w:eastAsia="宋体" w:hAnsi="Times New Roman" w:cs="Times New Roman"/>
                <w:sz w:val="16"/>
                <w:szCs w:val="16"/>
                <w:lang w:val="nl-NL"/>
              </w:rPr>
            </w:pPr>
            <w:r w:rsidRPr="00A9288A">
              <w:rPr>
                <w:rFonts w:ascii="Times New Roman" w:eastAsia="宋体" w:hAnsi="Times New Roman" w:cs="Times New Roman"/>
                <w:sz w:val="16"/>
                <w:szCs w:val="16"/>
                <w:lang w:val="nl-NL"/>
              </w:rPr>
              <w:t>Phenol: 1mg/L</w:t>
            </w:r>
          </w:p>
          <w:p w14:paraId="4D567493" w14:textId="77777777" w:rsidR="006B66B7" w:rsidRPr="00A9288A" w:rsidRDefault="002349C6" w:rsidP="008C49B7">
            <w:pPr>
              <w:snapToGrid w:val="0"/>
              <w:rPr>
                <w:rFonts w:ascii="Times New Roman" w:eastAsia="宋体" w:hAnsi="Times New Roman" w:cs="Times New Roman"/>
                <w:sz w:val="16"/>
                <w:szCs w:val="16"/>
                <w:lang w:val="nl-NL"/>
              </w:rPr>
            </w:pPr>
            <w:r w:rsidRPr="00A9288A">
              <w:rPr>
                <w:rFonts w:ascii="Times New Roman" w:eastAsia="宋体" w:hAnsi="Times New Roman" w:cs="Times New Roman"/>
                <w:sz w:val="16"/>
                <w:szCs w:val="16"/>
                <w:lang w:val="nl-NL"/>
              </w:rPr>
              <w:t>Petroleum: 15mg/L</w:t>
            </w:r>
          </w:p>
          <w:p w14:paraId="08C3016C" w14:textId="77777777" w:rsidR="006B66B7" w:rsidRPr="00A9288A" w:rsidRDefault="006B66B7" w:rsidP="008C49B7">
            <w:pPr>
              <w:snapToGrid w:val="0"/>
              <w:rPr>
                <w:rFonts w:ascii="Times New Roman" w:eastAsia="宋体" w:hAnsi="Times New Roman" w:cs="Times New Roman"/>
                <w:sz w:val="16"/>
                <w:szCs w:val="16"/>
                <w:lang w:val="nl-NL"/>
              </w:rPr>
            </w:pPr>
          </w:p>
          <w:p w14:paraId="3C1A53C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lastRenderedPageBreak/>
              <w:t>Total copper: 2mg/L</w:t>
            </w:r>
          </w:p>
          <w:p w14:paraId="590D5821"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Total tin: 5mg/L</w:t>
            </w:r>
          </w:p>
        </w:tc>
        <w:tc>
          <w:tcPr>
            <w:tcW w:w="487" w:type="pct"/>
            <w:tcBorders>
              <w:top w:val="single" w:sz="2" w:space="0" w:color="auto"/>
              <w:left w:val="single" w:sz="2" w:space="0" w:color="auto"/>
              <w:bottom w:val="single" w:sz="2" w:space="0" w:color="auto"/>
              <w:right w:val="single" w:sz="2" w:space="0" w:color="auto"/>
            </w:tcBorders>
            <w:vAlign w:val="center"/>
          </w:tcPr>
          <w:p w14:paraId="6FFACB78"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lastRenderedPageBreak/>
              <w:t>COD: 0.25t</w:t>
            </w:r>
          </w:p>
          <w:p w14:paraId="035CA080"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SS: 0.15t</w:t>
            </w:r>
          </w:p>
          <w:p w14:paraId="1386032D"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Total nitrogen: 0.034t</w:t>
            </w:r>
          </w:p>
          <w:p w14:paraId="1734A36D"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Ammonia nitrogen: 0.0021t</w:t>
            </w:r>
          </w:p>
          <w:p w14:paraId="596E4A6A"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Total phosphorus: 0.002t</w:t>
            </w:r>
          </w:p>
          <w:p w14:paraId="772998B9"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Phenol: 0t</w:t>
            </w:r>
          </w:p>
          <w:p w14:paraId="11D4F7B5"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 xml:space="preserve">Petroleum: </w:t>
            </w:r>
            <w:r w:rsidRPr="00A9288A">
              <w:rPr>
                <w:rFonts w:ascii="Times New Roman" w:eastAsia="宋体" w:hAnsi="Times New Roman" w:cs="Times New Roman"/>
                <w:sz w:val="16"/>
                <w:szCs w:val="16"/>
                <w:lang w:val="fr-FR"/>
              </w:rPr>
              <w:lastRenderedPageBreak/>
              <w:t>0.001t</w:t>
            </w:r>
          </w:p>
          <w:p w14:paraId="322F9007"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Total copper: 0.0002t</w:t>
            </w:r>
          </w:p>
          <w:p w14:paraId="65B53C00" w14:textId="77777777" w:rsidR="006B66B7" w:rsidRPr="00A9288A" w:rsidRDefault="006B66B7" w:rsidP="008C49B7">
            <w:pPr>
              <w:snapToGrid w:val="0"/>
              <w:rPr>
                <w:rFonts w:ascii="Times New Roman" w:eastAsia="宋体" w:hAnsi="Times New Roman" w:cs="Times New Roman"/>
                <w:sz w:val="16"/>
                <w:szCs w:val="16"/>
                <w:lang w:val="fr-FR"/>
              </w:rPr>
            </w:pPr>
          </w:p>
          <w:p w14:paraId="74CBB592"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Total tin: 0t</w:t>
            </w:r>
          </w:p>
        </w:tc>
        <w:tc>
          <w:tcPr>
            <w:tcW w:w="487" w:type="pct"/>
            <w:tcBorders>
              <w:top w:val="single" w:sz="2" w:space="0" w:color="auto"/>
              <w:left w:val="single" w:sz="2" w:space="0" w:color="auto"/>
              <w:bottom w:val="single" w:sz="2" w:space="0" w:color="auto"/>
              <w:right w:val="single" w:sz="2" w:space="0" w:color="auto"/>
            </w:tcBorders>
            <w:vAlign w:val="center"/>
          </w:tcPr>
          <w:p w14:paraId="46019F9E"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lastRenderedPageBreak/>
              <w:t>COD: 2.597t</w:t>
            </w:r>
          </w:p>
          <w:p w14:paraId="47555AB9"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SS: 0.81t</w:t>
            </w:r>
          </w:p>
          <w:p w14:paraId="30863B62"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Total nitrogen: 0.082t</w:t>
            </w:r>
          </w:p>
          <w:p w14:paraId="28A0DFB7"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Ammonia nitrogen: 0.048t Total phosphorus: 0.006t Phenol:0.0033t</w:t>
            </w:r>
          </w:p>
          <w:p w14:paraId="3EB34367"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 xml:space="preserve">Petroleum: 0.004t Total </w:t>
            </w:r>
            <w:r w:rsidRPr="00A9288A">
              <w:rPr>
                <w:rFonts w:ascii="Times New Roman" w:eastAsia="宋体" w:hAnsi="Times New Roman" w:cs="Times New Roman"/>
                <w:sz w:val="16"/>
                <w:szCs w:val="16"/>
                <w:lang w:val="fr-FR"/>
              </w:rPr>
              <w:lastRenderedPageBreak/>
              <w:t>copper: 0.008t</w:t>
            </w:r>
          </w:p>
          <w:p w14:paraId="7E2D8AAD"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Total tin: 0.007t</w:t>
            </w:r>
          </w:p>
        </w:tc>
        <w:tc>
          <w:tcPr>
            <w:tcW w:w="400" w:type="pct"/>
            <w:tcBorders>
              <w:top w:val="single" w:sz="2" w:space="0" w:color="auto"/>
              <w:left w:val="single" w:sz="2" w:space="0" w:color="auto"/>
              <w:bottom w:val="single" w:sz="2" w:space="0" w:color="auto"/>
              <w:right w:val="single" w:sz="2" w:space="0" w:color="auto"/>
            </w:tcBorders>
            <w:vAlign w:val="center"/>
          </w:tcPr>
          <w:p w14:paraId="342DFAE5"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lastRenderedPageBreak/>
              <w:t>None</w:t>
            </w:r>
          </w:p>
        </w:tc>
      </w:tr>
      <w:tr w:rsidR="006B66B7" w:rsidRPr="00A9288A" w14:paraId="0FE3958D" w14:textId="77777777" w:rsidTr="00A9288A">
        <w:trPr>
          <w:jc w:val="center"/>
        </w:trPr>
        <w:tc>
          <w:tcPr>
            <w:tcW w:w="387" w:type="pct"/>
            <w:tcBorders>
              <w:top w:val="single" w:sz="2" w:space="0" w:color="auto"/>
              <w:left w:val="single" w:sz="2" w:space="0" w:color="auto"/>
              <w:bottom w:val="single" w:sz="2" w:space="0" w:color="auto"/>
              <w:right w:val="single" w:sz="2" w:space="0" w:color="auto"/>
            </w:tcBorders>
            <w:vAlign w:val="center"/>
          </w:tcPr>
          <w:p w14:paraId="6AD6723B"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 xml:space="preserve">North </w:t>
            </w:r>
            <w:proofErr w:type="spellStart"/>
            <w:r w:rsidRPr="00A9288A">
              <w:rPr>
                <w:rFonts w:ascii="Times New Roman" w:eastAsia="宋体" w:hAnsi="Times New Roman" w:cs="Times New Roman"/>
                <w:sz w:val="16"/>
                <w:szCs w:val="16"/>
              </w:rPr>
              <w:t>Gaoshu</w:t>
            </w:r>
            <w:proofErr w:type="spellEnd"/>
            <w:r w:rsidRPr="00A9288A">
              <w:rPr>
                <w:rFonts w:ascii="Times New Roman" w:eastAsia="宋体" w:hAnsi="Times New Roman" w:cs="Times New Roman"/>
                <w:sz w:val="16"/>
                <w:szCs w:val="16"/>
              </w:rPr>
              <w:t xml:space="preserve"> Road Factory of </w:t>
            </w:r>
            <w:proofErr w:type="spellStart"/>
            <w:r w:rsidRPr="00A9288A">
              <w:rPr>
                <w:rFonts w:ascii="Times New Roman" w:eastAsia="宋体" w:hAnsi="Times New Roman" w:cs="Times New Roman"/>
                <w:sz w:val="16"/>
                <w:szCs w:val="16"/>
              </w:rPr>
              <w:t>Yangjie</w:t>
            </w:r>
            <w:proofErr w:type="spellEnd"/>
            <w:r w:rsidRPr="00A9288A">
              <w:rPr>
                <w:rFonts w:ascii="Times New Roman" w:eastAsia="宋体" w:hAnsi="Times New Roman" w:cs="Times New Roman"/>
                <w:sz w:val="16"/>
                <w:szCs w:val="16"/>
              </w:rPr>
              <w:t xml:space="preserve"> Technology</w:t>
            </w:r>
          </w:p>
        </w:tc>
        <w:tc>
          <w:tcPr>
            <w:tcW w:w="431" w:type="pct"/>
            <w:tcBorders>
              <w:top w:val="single" w:sz="2" w:space="0" w:color="auto"/>
              <w:left w:val="single" w:sz="2" w:space="0" w:color="auto"/>
              <w:bottom w:val="single" w:sz="2" w:space="0" w:color="auto"/>
              <w:right w:val="single" w:sz="2" w:space="0" w:color="auto"/>
            </w:tcBorders>
            <w:vAlign w:val="center"/>
          </w:tcPr>
          <w:p w14:paraId="3FE93C17"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Exhaust gas</w:t>
            </w:r>
          </w:p>
        </w:tc>
        <w:tc>
          <w:tcPr>
            <w:tcW w:w="456" w:type="pct"/>
            <w:tcBorders>
              <w:top w:val="single" w:sz="2" w:space="0" w:color="auto"/>
              <w:left w:val="single" w:sz="2" w:space="0" w:color="auto"/>
              <w:bottom w:val="single" w:sz="2" w:space="0" w:color="auto"/>
              <w:right w:val="single" w:sz="2" w:space="0" w:color="auto"/>
            </w:tcBorders>
            <w:vAlign w:val="center"/>
          </w:tcPr>
          <w:p w14:paraId="71B32587"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Non-methane total hydrocarbons, sulfuric acid mist, nitrogen oxides</w:t>
            </w:r>
          </w:p>
        </w:tc>
        <w:tc>
          <w:tcPr>
            <w:tcW w:w="372" w:type="pct"/>
            <w:tcBorders>
              <w:top w:val="single" w:sz="2" w:space="0" w:color="auto"/>
              <w:left w:val="single" w:sz="2" w:space="0" w:color="auto"/>
              <w:bottom w:val="single" w:sz="2" w:space="0" w:color="auto"/>
              <w:right w:val="single" w:sz="2" w:space="0" w:color="auto"/>
            </w:tcBorders>
            <w:vAlign w:val="center"/>
          </w:tcPr>
          <w:p w14:paraId="00B3B0D2"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Emitted from the exhaust pipe after treatment by lye spraying tower</w:t>
            </w:r>
          </w:p>
        </w:tc>
        <w:tc>
          <w:tcPr>
            <w:tcW w:w="325" w:type="pct"/>
            <w:tcBorders>
              <w:top w:val="single" w:sz="2" w:space="0" w:color="auto"/>
              <w:left w:val="single" w:sz="2" w:space="0" w:color="auto"/>
              <w:bottom w:val="single" w:sz="2" w:space="0" w:color="auto"/>
              <w:right w:val="single" w:sz="2" w:space="0" w:color="auto"/>
            </w:tcBorders>
            <w:vAlign w:val="center"/>
          </w:tcPr>
          <w:p w14:paraId="089316AC"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2</w:t>
            </w:r>
          </w:p>
        </w:tc>
        <w:tc>
          <w:tcPr>
            <w:tcW w:w="396" w:type="pct"/>
            <w:tcBorders>
              <w:top w:val="single" w:sz="2" w:space="0" w:color="auto"/>
              <w:left w:val="single" w:sz="2" w:space="0" w:color="auto"/>
              <w:bottom w:val="single" w:sz="2" w:space="0" w:color="auto"/>
              <w:right w:val="single" w:sz="2" w:space="0" w:color="auto"/>
            </w:tcBorders>
            <w:vAlign w:val="center"/>
          </w:tcPr>
          <w:p w14:paraId="0DD988AC"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Roof of the production department</w:t>
            </w:r>
          </w:p>
        </w:tc>
        <w:tc>
          <w:tcPr>
            <w:tcW w:w="698" w:type="pct"/>
            <w:tcBorders>
              <w:top w:val="single" w:sz="2" w:space="0" w:color="auto"/>
              <w:left w:val="single" w:sz="2" w:space="0" w:color="auto"/>
              <w:bottom w:val="single" w:sz="2" w:space="0" w:color="auto"/>
              <w:right w:val="single" w:sz="2" w:space="0" w:color="auto"/>
            </w:tcBorders>
            <w:vAlign w:val="center"/>
          </w:tcPr>
          <w:p w14:paraId="6D5CF8B3"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Sulfuric acid mist: 0mg/m3</w:t>
            </w:r>
          </w:p>
          <w:p w14:paraId="22BDD4C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Non-methane total hydrocarbon: 1.5mg/m3</w:t>
            </w:r>
          </w:p>
          <w:p w14:paraId="67991EE0"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Nitrogen oxides: 0mg/m3</w:t>
            </w:r>
          </w:p>
        </w:tc>
        <w:tc>
          <w:tcPr>
            <w:tcW w:w="562" w:type="pct"/>
            <w:tcBorders>
              <w:top w:val="single" w:sz="2" w:space="0" w:color="auto"/>
              <w:left w:val="single" w:sz="2" w:space="0" w:color="auto"/>
              <w:bottom w:val="single" w:sz="2" w:space="0" w:color="auto"/>
              <w:right w:val="single" w:sz="2" w:space="0" w:color="auto"/>
            </w:tcBorders>
            <w:vAlign w:val="center"/>
          </w:tcPr>
          <w:p w14:paraId="78425AE0"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Sulfuric acid mist: 30mg/m3</w:t>
            </w:r>
          </w:p>
          <w:p w14:paraId="24A54BF9" w14:textId="77777777" w:rsidR="006B66B7" w:rsidRPr="00A9288A" w:rsidRDefault="006B66B7" w:rsidP="008C49B7">
            <w:pPr>
              <w:snapToGrid w:val="0"/>
              <w:rPr>
                <w:rFonts w:ascii="Times New Roman" w:eastAsia="宋体" w:hAnsi="Times New Roman" w:cs="Times New Roman"/>
                <w:sz w:val="16"/>
                <w:szCs w:val="16"/>
              </w:rPr>
            </w:pPr>
          </w:p>
          <w:p w14:paraId="74604806"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Non-methane total hydrocarbon: 60mg/m3</w:t>
            </w:r>
          </w:p>
          <w:p w14:paraId="2CB813B4"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Nitrogen oxides: 200mg/m</w:t>
            </w:r>
          </w:p>
        </w:tc>
        <w:tc>
          <w:tcPr>
            <w:tcW w:w="487" w:type="pct"/>
            <w:tcBorders>
              <w:top w:val="single" w:sz="2" w:space="0" w:color="auto"/>
              <w:left w:val="single" w:sz="2" w:space="0" w:color="auto"/>
              <w:bottom w:val="single" w:sz="2" w:space="0" w:color="auto"/>
              <w:right w:val="single" w:sz="2" w:space="0" w:color="auto"/>
            </w:tcBorders>
            <w:vAlign w:val="center"/>
          </w:tcPr>
          <w:p w14:paraId="2CD8AE3E" w14:textId="77777777" w:rsidR="006B66B7" w:rsidRPr="00E01218" w:rsidRDefault="002349C6" w:rsidP="008C49B7">
            <w:pPr>
              <w:snapToGrid w:val="0"/>
              <w:rPr>
                <w:rFonts w:ascii="Times New Roman" w:eastAsia="宋体" w:hAnsi="Times New Roman" w:cs="Times New Roman"/>
                <w:sz w:val="16"/>
                <w:szCs w:val="16"/>
              </w:rPr>
            </w:pPr>
            <w:r w:rsidRPr="00E01218">
              <w:rPr>
                <w:rFonts w:ascii="Times New Roman" w:eastAsia="宋体" w:hAnsi="Times New Roman" w:cs="Times New Roman"/>
                <w:sz w:val="16"/>
                <w:szCs w:val="16"/>
              </w:rPr>
              <w:t>Non-methane total hydrocarbon: 0.1t</w:t>
            </w:r>
          </w:p>
          <w:p w14:paraId="0FA14FCD" w14:textId="77777777" w:rsidR="006B66B7" w:rsidRPr="00E01218" w:rsidRDefault="002349C6" w:rsidP="008C49B7">
            <w:pPr>
              <w:snapToGrid w:val="0"/>
              <w:rPr>
                <w:rFonts w:ascii="Times New Roman" w:eastAsia="宋体" w:hAnsi="Times New Roman" w:cs="Times New Roman"/>
                <w:sz w:val="16"/>
                <w:szCs w:val="16"/>
              </w:rPr>
            </w:pPr>
            <w:r w:rsidRPr="00E01218">
              <w:rPr>
                <w:rFonts w:ascii="Times New Roman" w:eastAsia="宋体" w:hAnsi="Times New Roman" w:cs="Times New Roman"/>
                <w:sz w:val="16"/>
                <w:szCs w:val="16"/>
              </w:rPr>
              <w:t>Sulfuric acid mist: 0t</w:t>
            </w:r>
          </w:p>
          <w:p w14:paraId="3A7F25B1"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Nitrogen oxides: 0t</w:t>
            </w:r>
          </w:p>
        </w:tc>
        <w:tc>
          <w:tcPr>
            <w:tcW w:w="487" w:type="pct"/>
            <w:tcBorders>
              <w:top w:val="single" w:sz="2" w:space="0" w:color="auto"/>
              <w:left w:val="single" w:sz="2" w:space="0" w:color="auto"/>
              <w:bottom w:val="single" w:sz="2" w:space="0" w:color="auto"/>
              <w:right w:val="single" w:sz="2" w:space="0" w:color="auto"/>
            </w:tcBorders>
            <w:vAlign w:val="center"/>
          </w:tcPr>
          <w:p w14:paraId="3AD5D64F"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Non-methane total hydrocarbons: 0.665t</w:t>
            </w:r>
          </w:p>
          <w:p w14:paraId="388B7AD4" w14:textId="77777777" w:rsidR="006B66B7" w:rsidRPr="00A9288A" w:rsidRDefault="002349C6" w:rsidP="008C49B7">
            <w:pPr>
              <w:snapToGrid w:val="0"/>
              <w:rPr>
                <w:rFonts w:ascii="Times New Roman" w:eastAsia="宋体" w:hAnsi="Times New Roman" w:cs="Times New Roman"/>
                <w:sz w:val="16"/>
                <w:szCs w:val="16"/>
                <w:lang w:val="fr-FR"/>
              </w:rPr>
            </w:pPr>
            <w:r w:rsidRPr="00A9288A">
              <w:rPr>
                <w:rFonts w:ascii="Times New Roman" w:eastAsia="宋体" w:hAnsi="Times New Roman" w:cs="Times New Roman"/>
                <w:sz w:val="16"/>
                <w:szCs w:val="16"/>
                <w:lang w:val="fr-FR"/>
              </w:rPr>
              <w:t>Sulfuric acid mist: 0.249t</w:t>
            </w:r>
          </w:p>
          <w:p w14:paraId="59F3E098"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Nitrogen oxides: 0.104t</w:t>
            </w:r>
          </w:p>
        </w:tc>
        <w:tc>
          <w:tcPr>
            <w:tcW w:w="400" w:type="pct"/>
            <w:tcBorders>
              <w:top w:val="single" w:sz="2" w:space="0" w:color="auto"/>
              <w:left w:val="single" w:sz="2" w:space="0" w:color="auto"/>
              <w:bottom w:val="single" w:sz="2" w:space="0" w:color="auto"/>
              <w:right w:val="single" w:sz="2" w:space="0" w:color="auto"/>
            </w:tcBorders>
            <w:vAlign w:val="center"/>
          </w:tcPr>
          <w:p w14:paraId="7BFC0F4A" w14:textId="77777777" w:rsidR="006B66B7" w:rsidRPr="00A9288A" w:rsidRDefault="002349C6" w:rsidP="008C49B7">
            <w:pPr>
              <w:snapToGrid w:val="0"/>
              <w:rPr>
                <w:rFonts w:ascii="Times New Roman" w:eastAsia="宋体" w:hAnsi="Times New Roman" w:cs="Times New Roman"/>
                <w:sz w:val="16"/>
                <w:szCs w:val="16"/>
              </w:rPr>
            </w:pPr>
            <w:r w:rsidRPr="00A9288A">
              <w:rPr>
                <w:rFonts w:ascii="Times New Roman" w:eastAsia="宋体" w:hAnsi="Times New Roman" w:cs="Times New Roman"/>
                <w:sz w:val="16"/>
                <w:szCs w:val="16"/>
              </w:rPr>
              <w:t>None</w:t>
            </w:r>
          </w:p>
        </w:tc>
      </w:tr>
    </w:tbl>
    <w:p w14:paraId="28ED0BE1" w14:textId="77777777" w:rsidR="006B66B7" w:rsidRPr="00F73301" w:rsidRDefault="002349C6" w:rsidP="00A9288A">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Pollutant treatment</w:t>
      </w:r>
    </w:p>
    <w:p w14:paraId="28ED7F6C" w14:textId="77777777" w:rsidR="00273CFE" w:rsidRPr="00F73301" w:rsidRDefault="002349C6" w:rsidP="00A9288A">
      <w:pPr>
        <w:pStyle w:val="a3"/>
        <w:adjustRightInd w:val="0"/>
        <w:snapToGrid w:val="0"/>
        <w:spacing w:beforeLines="50" w:before="156" w:beforeAutospacing="0" w:afterLines="50" w:after="156" w:afterAutospacing="0"/>
        <w:jc w:val="both"/>
        <w:divId w:val="743063865"/>
        <w:rPr>
          <w:rFonts w:ascii="Times New Roman" w:eastAsia="等线" w:hAnsi="Times New Roman" w:cs="Times New Roman"/>
        </w:rPr>
      </w:pPr>
      <w:r w:rsidRPr="00F73301">
        <w:rPr>
          <w:rFonts w:ascii="Times New Roman" w:eastAsia="等线" w:hAnsi="Times New Roman" w:cs="Times New Roman"/>
        </w:rPr>
        <w:t>The Company's environmental protection facilities were designed, constructed and accepted simultaneously as the construction project, and put into use after acceptance in accordance with the standard requirements and specifications of administrative regulations for environmental protection. Regular operation, maintenance and other tasks were carried out to ensure the normal operation of environmental protection facilities and compliance with the emission standards. The wastewater facility outlets and the primary discharge outlet were set up with online pollutant monitoring devices, networked with local environmental protection authorities, and passed acceptance. Operation and maintenance were carried out by third-party professional institutions, and advanced treatment processes were adopted. Therefore, the concentration of pollution factors and total emissions were significantly reduced. The exhaust gas facilities were operated and maintained by professional personnel to ensure that the standards for exhaust gas emission were complied with. Hazardous wastes were entrusted to qualified third-party institutions for disposal.</w:t>
      </w:r>
    </w:p>
    <w:p w14:paraId="3A3E0D0E" w14:textId="77777777" w:rsidR="006B66B7" w:rsidRPr="00F73301" w:rsidRDefault="002349C6" w:rsidP="00A9288A">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Environmental Self-monitoring Plan</w:t>
      </w:r>
    </w:p>
    <w:p w14:paraId="79879C1D" w14:textId="77777777" w:rsidR="00273CFE" w:rsidRPr="00F73301" w:rsidRDefault="002349C6" w:rsidP="00A9288A">
      <w:pPr>
        <w:pStyle w:val="a3"/>
        <w:adjustRightInd w:val="0"/>
        <w:snapToGrid w:val="0"/>
        <w:spacing w:beforeLines="50" w:before="156" w:beforeAutospacing="0" w:afterLines="50" w:after="156" w:afterAutospacing="0"/>
        <w:jc w:val="both"/>
        <w:divId w:val="1110903192"/>
        <w:rPr>
          <w:rFonts w:ascii="Times New Roman" w:hAnsi="Times New Roman" w:cs="Times New Roman"/>
        </w:rPr>
      </w:pPr>
      <w:r w:rsidRPr="00F73301">
        <w:rPr>
          <w:rFonts w:ascii="Times New Roman" w:hAnsi="Times New Roman" w:cs="Times New Roman"/>
        </w:rPr>
        <w:t>The Company carried out self-testing and supervised monitoring, and entrusted third parties with testing, respectively. In testing cycles, testing was in strict accordance with the emission permit and local environmental protection regulations for pollutant factors.</w:t>
      </w:r>
    </w:p>
    <w:p w14:paraId="627CF00E" w14:textId="77777777" w:rsidR="006B66B7" w:rsidRPr="00F73301" w:rsidRDefault="002349C6" w:rsidP="00A9288A">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Contingency plans for environmental emergencies</w:t>
      </w:r>
    </w:p>
    <w:p w14:paraId="6E123C19" w14:textId="77777777" w:rsidR="00273CFE" w:rsidRPr="00F73301" w:rsidRDefault="002349C6" w:rsidP="00A9288A">
      <w:pPr>
        <w:pStyle w:val="a3"/>
        <w:adjustRightInd w:val="0"/>
        <w:snapToGrid w:val="0"/>
        <w:spacing w:beforeLines="50" w:before="156" w:beforeAutospacing="0" w:afterLines="50" w:after="156" w:afterAutospacing="0"/>
        <w:jc w:val="both"/>
        <w:divId w:val="302582873"/>
        <w:rPr>
          <w:rFonts w:ascii="Times New Roman" w:hAnsi="Times New Roman" w:cs="Times New Roman"/>
        </w:rPr>
      </w:pPr>
      <w:r w:rsidRPr="00F73301">
        <w:rPr>
          <w:rFonts w:ascii="Times New Roman" w:hAnsi="Times New Roman" w:cs="Times New Roman"/>
        </w:rPr>
        <w:t>Each of the Company's plants has prepared emergency plans for environmental emergencies, which were filed with the local environmental protection authority. Emergency drills for environmental emergencies were conducted on a regular basis every year. </w:t>
      </w:r>
    </w:p>
    <w:p w14:paraId="4C988451" w14:textId="77777777" w:rsidR="006B66B7" w:rsidRPr="00F73301" w:rsidRDefault="002349C6" w:rsidP="00A9288A">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Input in environmental management and protection and the payment of environmental protection-related taxes</w:t>
      </w:r>
    </w:p>
    <w:p w14:paraId="1218ED5F" w14:textId="77777777" w:rsidR="00273CFE" w:rsidRPr="00F73301" w:rsidRDefault="002349C6" w:rsidP="00A9288A">
      <w:pPr>
        <w:pStyle w:val="a3"/>
        <w:adjustRightInd w:val="0"/>
        <w:snapToGrid w:val="0"/>
        <w:spacing w:beforeLines="50" w:before="156" w:beforeAutospacing="0" w:afterLines="50" w:after="156" w:afterAutospacing="0"/>
        <w:jc w:val="both"/>
        <w:divId w:val="1051929761"/>
        <w:rPr>
          <w:rFonts w:ascii="Times New Roman" w:hAnsi="Times New Roman" w:cs="Times New Roman"/>
        </w:rPr>
      </w:pPr>
      <w:r w:rsidRPr="00F73301">
        <w:rPr>
          <w:rFonts w:ascii="Times New Roman" w:hAnsi="Times New Roman" w:cs="Times New Roman"/>
        </w:rPr>
        <w:t>The Company conforms to China's laws and regulations related to environmental protection and pollution control. It paid the environmental protection tax in full on time for the first half of 2023.</w:t>
      </w:r>
    </w:p>
    <w:p w14:paraId="61571619" w14:textId="77777777" w:rsidR="006B66B7" w:rsidRPr="00F73301" w:rsidRDefault="002349C6" w:rsidP="00A9288A">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Administrative Penalties Imposed for Environmental Issues during the Reporting Period</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6B66B7" w:rsidRPr="008C49B7" w14:paraId="05141294" w14:textId="77777777" w:rsidTr="00A9288A">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4F7ACF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Name of the company or subsidiary</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CB2C76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Penalty reason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197E407"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Violation situation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B13A9D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Penalty result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C66CFD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Impact on the production and operation of the listed companies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F40D40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Remediation measures by the company</w:t>
            </w:r>
          </w:p>
        </w:tc>
      </w:tr>
      <w:tr w:rsidR="006B66B7" w:rsidRPr="008C49B7" w14:paraId="74AD5523" w14:textId="77777777" w:rsidTr="00A9288A">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6E19640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N/A</w:t>
            </w:r>
          </w:p>
        </w:tc>
        <w:tc>
          <w:tcPr>
            <w:tcW w:w="1606" w:type="dxa"/>
            <w:tcBorders>
              <w:top w:val="single" w:sz="2" w:space="0" w:color="auto"/>
              <w:left w:val="single" w:sz="2" w:space="0" w:color="auto"/>
              <w:bottom w:val="single" w:sz="2" w:space="0" w:color="auto"/>
              <w:right w:val="single" w:sz="2" w:space="0" w:color="auto"/>
            </w:tcBorders>
            <w:vAlign w:val="center"/>
          </w:tcPr>
          <w:p w14:paraId="5F20079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N/A</w:t>
            </w:r>
          </w:p>
        </w:tc>
        <w:tc>
          <w:tcPr>
            <w:tcW w:w="1606" w:type="dxa"/>
            <w:tcBorders>
              <w:top w:val="single" w:sz="2" w:space="0" w:color="auto"/>
              <w:left w:val="single" w:sz="2" w:space="0" w:color="auto"/>
              <w:bottom w:val="single" w:sz="2" w:space="0" w:color="auto"/>
              <w:right w:val="single" w:sz="2" w:space="0" w:color="auto"/>
            </w:tcBorders>
            <w:vAlign w:val="center"/>
          </w:tcPr>
          <w:p w14:paraId="6AD0D133"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N/A</w:t>
            </w:r>
          </w:p>
        </w:tc>
        <w:tc>
          <w:tcPr>
            <w:tcW w:w="1606" w:type="dxa"/>
            <w:tcBorders>
              <w:top w:val="single" w:sz="2" w:space="0" w:color="auto"/>
              <w:left w:val="single" w:sz="2" w:space="0" w:color="auto"/>
              <w:bottom w:val="single" w:sz="2" w:space="0" w:color="auto"/>
              <w:right w:val="single" w:sz="2" w:space="0" w:color="auto"/>
            </w:tcBorders>
            <w:vAlign w:val="center"/>
          </w:tcPr>
          <w:p w14:paraId="67F67016"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N/A</w:t>
            </w:r>
          </w:p>
        </w:tc>
        <w:tc>
          <w:tcPr>
            <w:tcW w:w="1606" w:type="dxa"/>
            <w:tcBorders>
              <w:top w:val="single" w:sz="2" w:space="0" w:color="auto"/>
              <w:left w:val="single" w:sz="2" w:space="0" w:color="auto"/>
              <w:bottom w:val="single" w:sz="2" w:space="0" w:color="auto"/>
              <w:right w:val="single" w:sz="2" w:space="0" w:color="auto"/>
            </w:tcBorders>
            <w:vAlign w:val="center"/>
          </w:tcPr>
          <w:p w14:paraId="7436DED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N/A</w:t>
            </w:r>
          </w:p>
        </w:tc>
        <w:tc>
          <w:tcPr>
            <w:tcW w:w="1606" w:type="dxa"/>
            <w:tcBorders>
              <w:top w:val="single" w:sz="2" w:space="0" w:color="auto"/>
              <w:left w:val="single" w:sz="2" w:space="0" w:color="auto"/>
              <w:bottom w:val="single" w:sz="2" w:space="0" w:color="auto"/>
              <w:right w:val="single" w:sz="2" w:space="0" w:color="auto"/>
            </w:tcBorders>
            <w:vAlign w:val="center"/>
          </w:tcPr>
          <w:p w14:paraId="780F0E8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N/A</w:t>
            </w:r>
          </w:p>
        </w:tc>
      </w:tr>
    </w:tbl>
    <w:p w14:paraId="38A828E9"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environmental information to be disclosed</w:t>
      </w:r>
    </w:p>
    <w:p w14:paraId="26363C9A" w14:textId="77777777" w:rsidR="00273CFE" w:rsidRPr="00F73301" w:rsidRDefault="002349C6" w:rsidP="0001208F">
      <w:pPr>
        <w:pStyle w:val="a3"/>
        <w:adjustRightInd w:val="0"/>
        <w:snapToGrid w:val="0"/>
        <w:spacing w:beforeLines="50" w:before="156" w:beforeAutospacing="0" w:afterLines="50" w:after="156" w:afterAutospacing="0"/>
        <w:jc w:val="both"/>
        <w:divId w:val="906064022"/>
        <w:rPr>
          <w:rFonts w:ascii="Times New Roman" w:hAnsi="Times New Roman" w:cs="Times New Roman"/>
        </w:rPr>
      </w:pPr>
      <w:r w:rsidRPr="00F73301">
        <w:rPr>
          <w:rFonts w:ascii="Times New Roman" w:hAnsi="Times New Roman" w:cs="Times New Roman"/>
        </w:rPr>
        <w:lastRenderedPageBreak/>
        <w:t>None</w:t>
      </w:r>
    </w:p>
    <w:p w14:paraId="09BF9E24"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Measures taken to reduce carbon emissions during the Reporting Period and their effectiveness</w:t>
      </w:r>
    </w:p>
    <w:p w14:paraId="1722756A"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59AD1696" w14:textId="77777777" w:rsidR="0001208F" w:rsidRDefault="002349C6" w:rsidP="0001208F">
      <w:pPr>
        <w:pStyle w:val="a3"/>
        <w:adjustRightInd w:val="0"/>
        <w:snapToGrid w:val="0"/>
        <w:spacing w:beforeLines="50" w:before="156" w:beforeAutospacing="0" w:afterLines="50" w:after="156" w:afterAutospacing="0"/>
        <w:jc w:val="both"/>
        <w:divId w:val="1669557933"/>
        <w:rPr>
          <w:rFonts w:ascii="Times New Roman" w:hAnsi="Times New Roman" w:cs="Times New Roman"/>
        </w:rPr>
      </w:pPr>
      <w:r w:rsidRPr="00F73301">
        <w:rPr>
          <w:rFonts w:ascii="Times New Roman" w:hAnsi="Times New Roman" w:cs="Times New Roman"/>
        </w:rPr>
        <w:t>1. The Company expanded the scale and capacity of solar photovoltaic power generation. Self-generated electricity was mainly used by the Company itself. Carbon emissions were reduced by 1,168.1 tons in the first half of 2023.</w:t>
      </w:r>
    </w:p>
    <w:p w14:paraId="1FFF2F0A" w14:textId="03A1EF89" w:rsidR="00273CFE" w:rsidRPr="00F73301" w:rsidRDefault="002349C6" w:rsidP="0001208F">
      <w:pPr>
        <w:pStyle w:val="a3"/>
        <w:adjustRightInd w:val="0"/>
        <w:snapToGrid w:val="0"/>
        <w:spacing w:beforeLines="50" w:before="156" w:beforeAutospacing="0" w:afterLines="50" w:after="156" w:afterAutospacing="0"/>
        <w:jc w:val="both"/>
        <w:divId w:val="1669557933"/>
        <w:rPr>
          <w:rFonts w:ascii="Times New Roman" w:hAnsi="Times New Roman" w:cs="Times New Roman"/>
        </w:rPr>
      </w:pPr>
      <w:r w:rsidRPr="00F73301">
        <w:rPr>
          <w:rFonts w:ascii="Times New Roman" w:hAnsi="Times New Roman" w:cs="Times New Roman"/>
        </w:rPr>
        <w:t>2. The Company vigorously promoted the technology transformation of energy conservation and consumption reduction. In the first half of 2023, it pushed forward the transformation of automatic gas cut-off equipment through the downtime of the automatic welding production line and DB machines. Carbon emissions were reduced by 307.53 tons in total.</w:t>
      </w:r>
    </w:p>
    <w:p w14:paraId="1BBC49B5"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information related to environmental protection</w:t>
      </w:r>
    </w:p>
    <w:p w14:paraId="21646BA3" w14:textId="77777777" w:rsidR="00273CFE" w:rsidRPr="00F73301" w:rsidRDefault="002349C6" w:rsidP="0001208F">
      <w:pPr>
        <w:pStyle w:val="a3"/>
        <w:adjustRightInd w:val="0"/>
        <w:snapToGrid w:val="0"/>
        <w:spacing w:beforeLines="50" w:before="156" w:beforeAutospacing="0" w:afterLines="50" w:after="156" w:afterAutospacing="0"/>
        <w:jc w:val="both"/>
        <w:divId w:val="283772721"/>
        <w:rPr>
          <w:rFonts w:ascii="Times New Roman" w:hAnsi="Times New Roman" w:cs="Times New Roman"/>
          <w:lang w:val="it-IT"/>
        </w:rPr>
      </w:pPr>
      <w:r w:rsidRPr="00F73301">
        <w:rPr>
          <w:rFonts w:ascii="Times New Roman" w:hAnsi="Times New Roman" w:cs="Times New Roman"/>
          <w:lang w:val="it-IT"/>
        </w:rPr>
        <w:t>None</w:t>
      </w:r>
    </w:p>
    <w:p w14:paraId="24821F9D" w14:textId="77777777" w:rsidR="006B66B7" w:rsidRPr="00F73301" w:rsidRDefault="002349C6" w:rsidP="0001208F">
      <w:pPr>
        <w:pStyle w:val="2"/>
        <w:rPr>
          <w:lang w:val="it-IT"/>
        </w:rPr>
      </w:pPr>
      <w:bookmarkStart w:id="53" w:name="_Toc988941"/>
      <w:r w:rsidRPr="00F73301">
        <w:rPr>
          <w:lang w:val="it-IT"/>
        </w:rPr>
        <w:t>II. Social Responsibility</w:t>
      </w:r>
      <w:bookmarkEnd w:id="53"/>
    </w:p>
    <w:p w14:paraId="2F0383E2" w14:textId="77777777" w:rsidR="00273CFE" w:rsidRPr="00F73301" w:rsidRDefault="002349C6" w:rsidP="0001208F">
      <w:pPr>
        <w:pStyle w:val="a3"/>
        <w:adjustRightInd w:val="0"/>
        <w:snapToGrid w:val="0"/>
        <w:spacing w:beforeLines="50" w:before="156" w:beforeAutospacing="0" w:afterLines="50" w:after="156" w:afterAutospacing="0"/>
        <w:jc w:val="both"/>
        <w:divId w:val="1527328059"/>
        <w:rPr>
          <w:rFonts w:ascii="Times New Roman" w:hAnsi="Times New Roman" w:cs="Times New Roman"/>
          <w:lang w:val="it-IT"/>
        </w:rPr>
      </w:pPr>
      <w:r w:rsidRPr="00F73301">
        <w:rPr>
          <w:rFonts w:ascii="Times New Roman" w:hAnsi="Times New Roman" w:cs="Times New Roman"/>
          <w:lang w:val="it-IT"/>
        </w:rPr>
        <w:t>N/A</w:t>
      </w:r>
    </w:p>
    <w:p w14:paraId="34E73145" w14:textId="77777777" w:rsidR="006B66B7" w:rsidRPr="00F73301" w:rsidRDefault="002349C6" w:rsidP="00F73301">
      <w:pPr>
        <w:snapToGrid w:val="0"/>
        <w:spacing w:beforeLines="50" w:before="156" w:afterLines="50" w:after="156"/>
        <w:rPr>
          <w:rFonts w:ascii="Times New Roman" w:hAnsi="Times New Roman" w:cs="Times New Roman"/>
          <w:sz w:val="24"/>
          <w:szCs w:val="24"/>
          <w:lang w:val="it-IT"/>
        </w:rPr>
      </w:pPr>
      <w:r w:rsidRPr="00F73301">
        <w:rPr>
          <w:rFonts w:ascii="Times New Roman" w:hAnsi="Times New Roman" w:cs="Times New Roman"/>
          <w:sz w:val="24"/>
          <w:szCs w:val="24"/>
          <w:lang w:val="it-IT"/>
        </w:rPr>
        <w:br w:type="page"/>
      </w:r>
    </w:p>
    <w:p w14:paraId="2459F870" w14:textId="77777777" w:rsidR="006B66B7" w:rsidRPr="00F73301" w:rsidRDefault="002349C6" w:rsidP="008C49B7">
      <w:pPr>
        <w:pStyle w:val="headingh1"/>
      </w:pPr>
      <w:bookmarkStart w:id="54" w:name="_Toc988942"/>
      <w:r w:rsidRPr="00F73301">
        <w:lastRenderedPageBreak/>
        <w:t>Section VI Significant Events</w:t>
      </w:r>
      <w:bookmarkEnd w:id="54"/>
    </w:p>
    <w:p w14:paraId="2A9CA865" w14:textId="77777777" w:rsidR="006B66B7" w:rsidRPr="00F73301" w:rsidRDefault="002349C6" w:rsidP="0001208F">
      <w:pPr>
        <w:pStyle w:val="2"/>
      </w:pPr>
      <w:bookmarkStart w:id="55" w:name="_Toc988943"/>
      <w:r w:rsidRPr="00F73301">
        <w:t>I. Commitments of the Company's de facto Controllers, Shareholders, Related Parties and Acquirers, as well as the Company Itself and Other Entities Fulfilled in the Reporting Period or Ongoing at the End of the Reporting Period</w:t>
      </w:r>
      <w:bookmarkEnd w:id="55"/>
    </w:p>
    <w:p w14:paraId="56F4FE03" w14:textId="2962BE8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FC19255"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During the Reporting period, the Company did not have commitments of its de facto controllers, shareholders, related parties and acquirers, as well as the Company itself and other entities fulfilled in the Reporting Period or ongoing at the end of the Reporting Period.</w:t>
      </w:r>
    </w:p>
    <w:p w14:paraId="1017872C" w14:textId="77777777" w:rsidR="006B66B7" w:rsidRPr="00F73301" w:rsidRDefault="002349C6" w:rsidP="0001208F">
      <w:pPr>
        <w:pStyle w:val="2"/>
      </w:pPr>
      <w:bookmarkStart w:id="56" w:name="_Toc988944"/>
      <w:r w:rsidRPr="00F73301">
        <w:t>II. Information on the Company's Funds Misappropriated by Controlling Shareholders and Other Related Parties</w:t>
      </w:r>
      <w:bookmarkEnd w:id="56"/>
    </w:p>
    <w:p w14:paraId="71A9509D" w14:textId="63AF019B"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78688A1"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did not have appropriation of funds by the controlling shareholder and other related parties for non-operating purposes during the Reporting Period.</w:t>
      </w:r>
    </w:p>
    <w:p w14:paraId="4F344A0D" w14:textId="77777777" w:rsidR="006B66B7" w:rsidRPr="00F73301" w:rsidRDefault="002349C6" w:rsidP="0001208F">
      <w:pPr>
        <w:pStyle w:val="2"/>
      </w:pPr>
      <w:bookmarkStart w:id="57" w:name="_Toc988945"/>
      <w:r w:rsidRPr="00F73301">
        <w:t>III. Illegal External Guarantee</w:t>
      </w:r>
      <w:bookmarkEnd w:id="57"/>
    </w:p>
    <w:p w14:paraId="2409AC17" w14:textId="64B787CC"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21BC041"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illegal external guarantee during the Reporting Period.</w:t>
      </w:r>
    </w:p>
    <w:p w14:paraId="1DAB458C" w14:textId="77777777" w:rsidR="006B66B7" w:rsidRPr="00F73301" w:rsidRDefault="002349C6" w:rsidP="0001208F">
      <w:pPr>
        <w:pStyle w:val="2"/>
      </w:pPr>
      <w:bookmarkStart w:id="58" w:name="_Toc988946"/>
      <w:r w:rsidRPr="00F73301">
        <w:t>IV. Engagement and Disengagement of Accounting Firms</w:t>
      </w:r>
      <w:bookmarkEnd w:id="58"/>
    </w:p>
    <w:p w14:paraId="4E97CDB9"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semi-annual financial statement audited or not</w:t>
      </w:r>
    </w:p>
    <w:p w14:paraId="30BBFF16" w14:textId="51664A83"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□Yes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w:t>
      </w:r>
    </w:p>
    <w:p w14:paraId="3735B068"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semi-annual financial statement of the Company was unaudited.</w:t>
      </w:r>
    </w:p>
    <w:p w14:paraId="21BD4F37" w14:textId="77777777" w:rsidR="006B66B7" w:rsidRPr="00F73301" w:rsidRDefault="002349C6" w:rsidP="0001208F">
      <w:pPr>
        <w:pStyle w:val="2"/>
      </w:pPr>
      <w:bookmarkStart w:id="59" w:name="_Toc988947"/>
      <w:r w:rsidRPr="00F73301">
        <w:t>V. Notes by the Board of Directors and the Board of Supervisors on the "Non-standard Audit Report" Issued by the Accounting Firm for the Reporting Period</w:t>
      </w:r>
      <w:bookmarkEnd w:id="59"/>
    </w:p>
    <w:p w14:paraId="7694A4C1" w14:textId="55D6468A"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3F816DA9" w14:textId="77777777" w:rsidR="006B66B7" w:rsidRPr="00F73301" w:rsidRDefault="002349C6" w:rsidP="0001208F">
      <w:pPr>
        <w:pStyle w:val="2"/>
      </w:pPr>
      <w:bookmarkStart w:id="60" w:name="_Toc988948"/>
      <w:r w:rsidRPr="00F73301">
        <w:t>VI. Notes by the Board of Directors on the "Non-standard Audit Report" of the Previous Year</w:t>
      </w:r>
      <w:bookmarkEnd w:id="60"/>
    </w:p>
    <w:p w14:paraId="6358B573" w14:textId="0155462F"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5D35DA70" w14:textId="77777777" w:rsidR="006B66B7" w:rsidRPr="00F73301" w:rsidRDefault="002349C6" w:rsidP="0001208F">
      <w:pPr>
        <w:pStyle w:val="2"/>
      </w:pPr>
      <w:bookmarkStart w:id="61" w:name="_Toc988949"/>
      <w:r w:rsidRPr="00F73301">
        <w:t>VII. Matters Related to Bankruptcy Reorganization</w:t>
      </w:r>
      <w:bookmarkEnd w:id="61"/>
    </w:p>
    <w:p w14:paraId="7609D679" w14:textId="2118A566"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7275CD59"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were no matters related to bankruptcy reorganization in the Company during the Reporting Period.</w:t>
      </w:r>
    </w:p>
    <w:p w14:paraId="2C53D707" w14:textId="77777777" w:rsidR="006B66B7" w:rsidRPr="00F73301" w:rsidRDefault="002349C6" w:rsidP="0001208F">
      <w:pPr>
        <w:pStyle w:val="2"/>
      </w:pPr>
      <w:bookmarkStart w:id="62" w:name="_Toc988950"/>
      <w:r w:rsidRPr="00F73301">
        <w:t>VIII. Litigation</w:t>
      </w:r>
      <w:bookmarkEnd w:id="62"/>
    </w:p>
    <w:p w14:paraId="276CFF96"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Material litigation and arbitration</w:t>
      </w:r>
    </w:p>
    <w:p w14:paraId="1B95E161" w14:textId="4AF99EB0"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5FF40F71"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material litigation and arbitration during the Reporting Period.</w:t>
      </w:r>
    </w:p>
    <w:p w14:paraId="31014DA6"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litigation</w:t>
      </w:r>
    </w:p>
    <w:p w14:paraId="1A0CACDA" w14:textId="52FC5834"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734FEEF9" w14:textId="77777777" w:rsidR="006B66B7" w:rsidRPr="00F73301" w:rsidRDefault="002349C6" w:rsidP="0001208F">
      <w:pPr>
        <w:pStyle w:val="2"/>
      </w:pPr>
      <w:bookmarkStart w:id="63" w:name="_Toc988951"/>
      <w:r w:rsidRPr="00F73301">
        <w:lastRenderedPageBreak/>
        <w:t>IX. Punishment and Remediation</w:t>
      </w:r>
      <w:bookmarkEnd w:id="63"/>
    </w:p>
    <w:p w14:paraId="5C8FC71C" w14:textId="4107661C"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12D6525E" w14:textId="77777777" w:rsidR="006B66B7" w:rsidRPr="00F73301" w:rsidRDefault="002349C6" w:rsidP="0001208F">
      <w:pPr>
        <w:pStyle w:val="2"/>
      </w:pPr>
      <w:bookmarkStart w:id="64" w:name="_Toc988952"/>
      <w:r w:rsidRPr="00F73301">
        <w:t>X. Credit Standing of the Company as well as Its Controlling Shareholders and de facto Controllers</w:t>
      </w:r>
      <w:bookmarkEnd w:id="64"/>
    </w:p>
    <w:p w14:paraId="4322A7C8" w14:textId="34CA3EE9"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38B7003" w14:textId="77777777" w:rsidR="006B66B7" w:rsidRPr="00F73301" w:rsidRDefault="002349C6" w:rsidP="0001208F">
      <w:pPr>
        <w:pStyle w:val="2"/>
      </w:pPr>
      <w:bookmarkStart w:id="65" w:name="_Toc988953"/>
      <w:r w:rsidRPr="00F73301">
        <w:t>XI. Material Related-party Transactions</w:t>
      </w:r>
      <w:bookmarkEnd w:id="65"/>
    </w:p>
    <w:p w14:paraId="3754DA17" w14:textId="77777777" w:rsidR="006B66B7" w:rsidRPr="00F73301" w:rsidRDefault="002349C6" w:rsidP="0001208F">
      <w:pPr>
        <w:pStyle w:val="3"/>
      </w:pPr>
      <w:bookmarkStart w:id="66" w:name="_Toc988954"/>
      <w:r w:rsidRPr="00F73301">
        <w:t>1. Related-party transactions relevant to the Company's day-to-day management</w:t>
      </w:r>
      <w:bookmarkEnd w:id="66"/>
    </w:p>
    <w:p w14:paraId="4D3F6445"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tbl>
      <w:tblPr>
        <w:tblW w:w="989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57" w:type="dxa"/>
          <w:right w:w="57" w:type="dxa"/>
        </w:tblCellMar>
        <w:tblLook w:val="0000" w:firstRow="0" w:lastRow="0" w:firstColumn="0" w:lastColumn="0" w:noHBand="0" w:noVBand="0"/>
      </w:tblPr>
      <w:tblGrid>
        <w:gridCol w:w="902"/>
        <w:gridCol w:w="929"/>
        <w:gridCol w:w="685"/>
        <w:gridCol w:w="685"/>
        <w:gridCol w:w="685"/>
        <w:gridCol w:w="685"/>
        <w:gridCol w:w="804"/>
        <w:gridCol w:w="735"/>
        <w:gridCol w:w="804"/>
        <w:gridCol w:w="562"/>
        <w:gridCol w:w="670"/>
        <w:gridCol w:w="735"/>
        <w:gridCol w:w="642"/>
        <w:gridCol w:w="1196"/>
      </w:tblGrid>
      <w:tr w:rsidR="003D4A86" w:rsidRPr="0001208F" w14:paraId="309032BD" w14:textId="77777777" w:rsidTr="0001208F">
        <w:trPr>
          <w:jc w:val="center"/>
        </w:trPr>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13F68296"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Related Parties</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72FC6DF6"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Relationship of related parties</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59135C6B"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Type of the related-party transaction</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56CD5DFF"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Content of the related-party transaction</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1F9BD369"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Pricing principle of the related-party transaction</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380A1978"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Price of the related-party transaction</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767FDE84"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Amount of related-party transactions (unit: RMB10,000)</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22886A90"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Proportion to the amount of similar transactions</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666CCC7C"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Amount of transactions approved (unit: RMB10,000)</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76ED9765"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Whether exceed trade credit or not</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13D6028B"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Mode of Settlement</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142C43EC"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Market price of similar transactions available</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01367BC5"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Date of disclosure</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2236EF8A"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Disclosure index</w:t>
            </w:r>
          </w:p>
        </w:tc>
      </w:tr>
      <w:tr w:rsidR="0001208F" w:rsidRPr="0001208F" w14:paraId="676A75B5" w14:textId="77777777" w:rsidTr="0001208F">
        <w:trPr>
          <w:jc w:val="center"/>
        </w:trPr>
        <w:tc>
          <w:tcPr>
            <w:tcW w:w="0" w:type="auto"/>
            <w:tcBorders>
              <w:top w:val="single" w:sz="2" w:space="0" w:color="auto"/>
              <w:left w:val="single" w:sz="2" w:space="0" w:color="auto"/>
              <w:bottom w:val="single" w:sz="2" w:space="0" w:color="auto"/>
              <w:right w:val="single" w:sz="2" w:space="0" w:color="auto"/>
            </w:tcBorders>
            <w:vAlign w:val="center"/>
          </w:tcPr>
          <w:p w14:paraId="26F74515" w14:textId="09492BB9" w:rsidR="006B66B7" w:rsidRPr="0001208F" w:rsidRDefault="002349C6" w:rsidP="00A700B2">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 xml:space="preserve">Hunan </w:t>
            </w:r>
            <w:proofErr w:type="spellStart"/>
            <w:r w:rsidR="00A700B2">
              <w:rPr>
                <w:rFonts w:ascii="Times New Roman" w:eastAsia="宋体" w:hAnsi="Times New Roman" w:cs="Times New Roman"/>
                <w:sz w:val="13"/>
                <w:szCs w:val="13"/>
              </w:rPr>
              <w:t>Jiec</w:t>
            </w:r>
            <w:r w:rsidRPr="0001208F">
              <w:rPr>
                <w:rFonts w:ascii="Times New Roman" w:eastAsia="宋体" w:hAnsi="Times New Roman" w:cs="Times New Roman"/>
                <w:sz w:val="13"/>
                <w:szCs w:val="13"/>
              </w:rPr>
              <w:t>huwei</w:t>
            </w:r>
            <w:proofErr w:type="spellEnd"/>
            <w:r w:rsidRPr="0001208F">
              <w:rPr>
                <w:rFonts w:ascii="Times New Roman" w:eastAsia="宋体" w:hAnsi="Times New Roman" w:cs="Times New Roman"/>
                <w:sz w:val="13"/>
                <w:szCs w:val="13"/>
              </w:rPr>
              <w:t xml:space="preserve"> Semiconductor Technology Co., Ltd.</w:t>
            </w:r>
          </w:p>
        </w:tc>
        <w:tc>
          <w:tcPr>
            <w:tcW w:w="0" w:type="auto"/>
            <w:tcBorders>
              <w:top w:val="single" w:sz="2" w:space="0" w:color="auto"/>
              <w:left w:val="single" w:sz="2" w:space="0" w:color="auto"/>
              <w:bottom w:val="single" w:sz="2" w:space="0" w:color="auto"/>
              <w:right w:val="single" w:sz="2" w:space="0" w:color="auto"/>
            </w:tcBorders>
            <w:vAlign w:val="center"/>
          </w:tcPr>
          <w:p w14:paraId="7721EC3D" w14:textId="26B4D4A8" w:rsidR="006B66B7" w:rsidRPr="0001208F" w:rsidRDefault="003D4A86" w:rsidP="008C49B7">
            <w:pPr>
              <w:snapToGrid w:val="0"/>
              <w:rPr>
                <w:rFonts w:ascii="Times New Roman" w:eastAsia="宋体" w:hAnsi="Times New Roman" w:cs="Times New Roman"/>
                <w:sz w:val="13"/>
                <w:szCs w:val="13"/>
              </w:rPr>
            </w:pPr>
            <w:r w:rsidRPr="003D4A86">
              <w:rPr>
                <w:rFonts w:ascii="Times New Roman" w:eastAsia="宋体" w:hAnsi="Times New Roman" w:cs="Times New Roman"/>
                <w:sz w:val="13"/>
                <w:szCs w:val="13"/>
              </w:rPr>
              <w:t xml:space="preserve">Before acquiring 30% equity interest in Hunan </w:t>
            </w:r>
            <w:proofErr w:type="spellStart"/>
            <w:r w:rsidRPr="003D4A86">
              <w:rPr>
                <w:rFonts w:ascii="Times New Roman" w:eastAsia="宋体" w:hAnsi="Times New Roman" w:cs="Times New Roman"/>
                <w:sz w:val="13"/>
                <w:szCs w:val="13"/>
              </w:rPr>
              <w:t>Chuwei</w:t>
            </w:r>
            <w:proofErr w:type="spellEnd"/>
            <w:r w:rsidRPr="003D4A86">
              <w:rPr>
                <w:rFonts w:ascii="Times New Roman" w:eastAsia="宋体" w:hAnsi="Times New Roman" w:cs="Times New Roman"/>
                <w:sz w:val="13"/>
                <w:szCs w:val="13"/>
              </w:rPr>
              <w:t xml:space="preserve"> Semiconductor, the Company held 40% equity interest in Hunan </w:t>
            </w:r>
            <w:proofErr w:type="spellStart"/>
            <w:r w:rsidRPr="003D4A86">
              <w:rPr>
                <w:rFonts w:ascii="Times New Roman" w:eastAsia="宋体" w:hAnsi="Times New Roman" w:cs="Times New Roman"/>
                <w:sz w:val="13"/>
                <w:szCs w:val="13"/>
              </w:rPr>
              <w:t>Chuwei</w:t>
            </w:r>
            <w:proofErr w:type="spellEnd"/>
            <w:r w:rsidRPr="003D4A86">
              <w:rPr>
                <w:rFonts w:ascii="Times New Roman" w:eastAsia="宋体" w:hAnsi="Times New Roman" w:cs="Times New Roman"/>
                <w:sz w:val="13"/>
                <w:szCs w:val="13"/>
              </w:rPr>
              <w:t xml:space="preserve"> Semiconductor, and Ms. Liang Qin, the Chairwoman of the Board of Directors of the Company, served as the Chairwoman of the Board of Directors of Hunan </w:t>
            </w:r>
            <w:proofErr w:type="spellStart"/>
            <w:r w:rsidRPr="003D4A86">
              <w:rPr>
                <w:rFonts w:ascii="Times New Roman" w:eastAsia="宋体" w:hAnsi="Times New Roman" w:cs="Times New Roman"/>
                <w:sz w:val="13"/>
                <w:szCs w:val="13"/>
              </w:rPr>
              <w:t>Chuwei</w:t>
            </w:r>
            <w:proofErr w:type="spellEnd"/>
            <w:r w:rsidRPr="003D4A86">
              <w:rPr>
                <w:rFonts w:ascii="Times New Roman" w:eastAsia="宋体" w:hAnsi="Times New Roman" w:cs="Times New Roman"/>
                <w:sz w:val="13"/>
                <w:szCs w:val="13"/>
              </w:rPr>
              <w:t xml:space="preserve"> Semiconductor, meeting the requirements for associated relations stipulated in Paragraph 7.2.3 in the GEM Stock Listing Rules of Shenzhen Stock Exchange.</w:t>
            </w:r>
          </w:p>
        </w:tc>
        <w:tc>
          <w:tcPr>
            <w:tcW w:w="0" w:type="auto"/>
            <w:tcBorders>
              <w:top w:val="single" w:sz="2" w:space="0" w:color="auto"/>
              <w:left w:val="single" w:sz="2" w:space="0" w:color="auto"/>
              <w:bottom w:val="single" w:sz="2" w:space="0" w:color="auto"/>
              <w:right w:val="single" w:sz="2" w:space="0" w:color="auto"/>
            </w:tcBorders>
            <w:vAlign w:val="center"/>
          </w:tcPr>
          <w:p w14:paraId="6B70CBCB"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Purchase of raw materials from related parties</w:t>
            </w:r>
          </w:p>
        </w:tc>
        <w:tc>
          <w:tcPr>
            <w:tcW w:w="0" w:type="auto"/>
            <w:tcBorders>
              <w:top w:val="single" w:sz="2" w:space="0" w:color="auto"/>
              <w:left w:val="single" w:sz="2" w:space="0" w:color="auto"/>
              <w:bottom w:val="single" w:sz="2" w:space="0" w:color="auto"/>
              <w:right w:val="single" w:sz="2" w:space="0" w:color="auto"/>
            </w:tcBorders>
            <w:vAlign w:val="center"/>
          </w:tcPr>
          <w:p w14:paraId="61471511" w14:textId="024F04CE" w:rsidR="006B66B7" w:rsidRPr="0001208F" w:rsidRDefault="003D4A86" w:rsidP="008C49B7">
            <w:pPr>
              <w:snapToGrid w:val="0"/>
              <w:rPr>
                <w:rFonts w:ascii="Times New Roman" w:eastAsia="宋体" w:hAnsi="Times New Roman" w:cs="Times New Roman"/>
                <w:sz w:val="13"/>
                <w:szCs w:val="13"/>
              </w:rPr>
            </w:pPr>
            <w:r>
              <w:rPr>
                <w:rFonts w:ascii="Times New Roman" w:eastAsia="宋体" w:hAnsi="Times New Roman" w:cs="Times New Roman" w:hint="eastAsia"/>
                <w:sz w:val="13"/>
                <w:szCs w:val="13"/>
              </w:rPr>
              <w:t>T</w:t>
            </w:r>
            <w:r>
              <w:rPr>
                <w:rFonts w:ascii="Times New Roman" w:eastAsia="宋体" w:hAnsi="Times New Roman" w:cs="Times New Roman"/>
                <w:sz w:val="13"/>
                <w:szCs w:val="13"/>
              </w:rPr>
              <w:t>he two parties negotiate to determine by referring to the fair market price</w:t>
            </w:r>
          </w:p>
        </w:tc>
        <w:tc>
          <w:tcPr>
            <w:tcW w:w="0" w:type="auto"/>
            <w:tcBorders>
              <w:top w:val="single" w:sz="2" w:space="0" w:color="auto"/>
              <w:left w:val="single" w:sz="2" w:space="0" w:color="auto"/>
              <w:bottom w:val="single" w:sz="2" w:space="0" w:color="auto"/>
              <w:right w:val="single" w:sz="2" w:space="0" w:color="auto"/>
            </w:tcBorders>
            <w:vAlign w:val="center"/>
          </w:tcPr>
          <w:p w14:paraId="7F0023C9"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Fair</w:t>
            </w:r>
          </w:p>
        </w:tc>
        <w:tc>
          <w:tcPr>
            <w:tcW w:w="0" w:type="auto"/>
            <w:tcBorders>
              <w:top w:val="single" w:sz="2" w:space="0" w:color="auto"/>
              <w:left w:val="single" w:sz="2" w:space="0" w:color="auto"/>
              <w:bottom w:val="single" w:sz="2" w:space="0" w:color="auto"/>
              <w:right w:val="single" w:sz="2" w:space="0" w:color="auto"/>
            </w:tcBorders>
            <w:vAlign w:val="center"/>
          </w:tcPr>
          <w:p w14:paraId="4369C477"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Market price</w:t>
            </w:r>
          </w:p>
        </w:tc>
        <w:tc>
          <w:tcPr>
            <w:tcW w:w="0" w:type="auto"/>
            <w:tcBorders>
              <w:top w:val="single" w:sz="2" w:space="0" w:color="auto"/>
              <w:left w:val="single" w:sz="2" w:space="0" w:color="auto"/>
              <w:bottom w:val="single" w:sz="2" w:space="0" w:color="auto"/>
              <w:right w:val="single" w:sz="2" w:space="0" w:color="auto"/>
            </w:tcBorders>
            <w:vAlign w:val="center"/>
          </w:tcPr>
          <w:p w14:paraId="4BA2D92E" w14:textId="77777777" w:rsidR="006B66B7" w:rsidRPr="0001208F" w:rsidRDefault="002349C6" w:rsidP="008C49B7">
            <w:pPr>
              <w:snapToGrid w:val="0"/>
              <w:jc w:val="right"/>
              <w:rPr>
                <w:rFonts w:ascii="Times New Roman" w:eastAsia="宋体" w:hAnsi="Times New Roman" w:cs="Times New Roman"/>
                <w:sz w:val="13"/>
                <w:szCs w:val="13"/>
              </w:rPr>
            </w:pPr>
            <w:r w:rsidRPr="0001208F">
              <w:rPr>
                <w:rFonts w:ascii="Times New Roman" w:eastAsia="宋体" w:hAnsi="Times New Roman" w:cs="Times New Roman"/>
                <w:sz w:val="13"/>
                <w:szCs w:val="13"/>
              </w:rPr>
              <w:t>4,484.09</w:t>
            </w:r>
          </w:p>
        </w:tc>
        <w:tc>
          <w:tcPr>
            <w:tcW w:w="0" w:type="auto"/>
            <w:tcBorders>
              <w:top w:val="single" w:sz="2" w:space="0" w:color="auto"/>
              <w:left w:val="single" w:sz="2" w:space="0" w:color="auto"/>
              <w:bottom w:val="single" w:sz="2" w:space="0" w:color="auto"/>
              <w:right w:val="single" w:sz="2" w:space="0" w:color="auto"/>
            </w:tcBorders>
            <w:vAlign w:val="center"/>
          </w:tcPr>
          <w:p w14:paraId="41728C48" w14:textId="77777777" w:rsidR="006B66B7" w:rsidRPr="0001208F" w:rsidRDefault="002349C6" w:rsidP="008C49B7">
            <w:pPr>
              <w:snapToGrid w:val="0"/>
              <w:jc w:val="right"/>
              <w:rPr>
                <w:rFonts w:ascii="Times New Roman" w:eastAsia="宋体" w:hAnsi="Times New Roman" w:cs="Times New Roman"/>
                <w:sz w:val="13"/>
                <w:szCs w:val="13"/>
              </w:rPr>
            </w:pPr>
            <w:r w:rsidRPr="0001208F">
              <w:rPr>
                <w:rFonts w:ascii="Times New Roman" w:eastAsia="宋体" w:hAnsi="Times New Roman" w:cs="Times New Roman"/>
                <w:sz w:val="13"/>
                <w:szCs w:val="13"/>
              </w:rPr>
              <w:t>22.94%</w:t>
            </w:r>
          </w:p>
        </w:tc>
        <w:tc>
          <w:tcPr>
            <w:tcW w:w="0" w:type="auto"/>
            <w:tcBorders>
              <w:top w:val="single" w:sz="2" w:space="0" w:color="auto"/>
              <w:left w:val="single" w:sz="2" w:space="0" w:color="auto"/>
              <w:bottom w:val="single" w:sz="2" w:space="0" w:color="auto"/>
              <w:right w:val="single" w:sz="2" w:space="0" w:color="auto"/>
            </w:tcBorders>
            <w:vAlign w:val="center"/>
          </w:tcPr>
          <w:p w14:paraId="627C8670" w14:textId="77777777" w:rsidR="006B66B7" w:rsidRPr="0001208F" w:rsidRDefault="002349C6" w:rsidP="008C49B7">
            <w:pPr>
              <w:snapToGrid w:val="0"/>
              <w:jc w:val="right"/>
              <w:rPr>
                <w:rFonts w:ascii="Times New Roman" w:eastAsia="宋体" w:hAnsi="Times New Roman" w:cs="Times New Roman"/>
                <w:sz w:val="13"/>
                <w:szCs w:val="13"/>
              </w:rPr>
            </w:pPr>
            <w:r w:rsidRPr="0001208F">
              <w:rPr>
                <w:rFonts w:ascii="Times New Roman" w:eastAsia="宋体" w:hAnsi="Times New Roman" w:cs="Times New Roman"/>
                <w:sz w:val="13"/>
                <w:szCs w:val="13"/>
              </w:rPr>
              <w:t>4,484.09</w:t>
            </w:r>
          </w:p>
        </w:tc>
        <w:tc>
          <w:tcPr>
            <w:tcW w:w="0" w:type="auto"/>
            <w:tcBorders>
              <w:top w:val="single" w:sz="2" w:space="0" w:color="auto"/>
              <w:left w:val="single" w:sz="2" w:space="0" w:color="auto"/>
              <w:bottom w:val="single" w:sz="2" w:space="0" w:color="auto"/>
              <w:right w:val="single" w:sz="2" w:space="0" w:color="auto"/>
            </w:tcBorders>
            <w:vAlign w:val="center"/>
          </w:tcPr>
          <w:p w14:paraId="5E3E602F"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No</w:t>
            </w:r>
          </w:p>
        </w:tc>
        <w:tc>
          <w:tcPr>
            <w:tcW w:w="0" w:type="auto"/>
            <w:tcBorders>
              <w:top w:val="single" w:sz="2" w:space="0" w:color="auto"/>
              <w:left w:val="single" w:sz="2" w:space="0" w:color="auto"/>
              <w:bottom w:val="single" w:sz="2" w:space="0" w:color="auto"/>
              <w:right w:val="single" w:sz="2" w:space="0" w:color="auto"/>
            </w:tcBorders>
            <w:vAlign w:val="center"/>
          </w:tcPr>
          <w:p w14:paraId="19FCE1B0"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Subject to contract</w:t>
            </w:r>
          </w:p>
        </w:tc>
        <w:tc>
          <w:tcPr>
            <w:tcW w:w="0" w:type="auto"/>
            <w:tcBorders>
              <w:top w:val="single" w:sz="2" w:space="0" w:color="auto"/>
              <w:left w:val="single" w:sz="2" w:space="0" w:color="auto"/>
              <w:bottom w:val="single" w:sz="2" w:space="0" w:color="auto"/>
              <w:right w:val="single" w:sz="2" w:space="0" w:color="auto"/>
            </w:tcBorders>
            <w:vAlign w:val="center"/>
          </w:tcPr>
          <w:p w14:paraId="156AE505"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4,484.09</w:t>
            </w:r>
          </w:p>
        </w:tc>
        <w:tc>
          <w:tcPr>
            <w:tcW w:w="0" w:type="auto"/>
            <w:tcBorders>
              <w:top w:val="single" w:sz="2" w:space="0" w:color="auto"/>
              <w:left w:val="single" w:sz="2" w:space="0" w:color="auto"/>
              <w:bottom w:val="single" w:sz="2" w:space="0" w:color="auto"/>
              <w:right w:val="single" w:sz="2" w:space="0" w:color="auto"/>
            </w:tcBorders>
            <w:vAlign w:val="center"/>
          </w:tcPr>
          <w:p w14:paraId="40E0C09E"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April 12, 2023</w:t>
            </w:r>
          </w:p>
        </w:tc>
        <w:tc>
          <w:tcPr>
            <w:tcW w:w="0" w:type="auto"/>
            <w:tcBorders>
              <w:top w:val="single" w:sz="2" w:space="0" w:color="auto"/>
              <w:left w:val="single" w:sz="2" w:space="0" w:color="auto"/>
              <w:bottom w:val="single" w:sz="2" w:space="0" w:color="auto"/>
              <w:right w:val="single" w:sz="2" w:space="0" w:color="auto"/>
            </w:tcBorders>
            <w:vAlign w:val="center"/>
          </w:tcPr>
          <w:p w14:paraId="094A3209"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 xml:space="preserve">For details, see the </w:t>
            </w:r>
            <w:r w:rsidRPr="0001208F">
              <w:rPr>
                <w:rFonts w:ascii="Times New Roman" w:eastAsia="宋体" w:hAnsi="Times New Roman" w:cs="Times New Roman"/>
                <w:i/>
                <w:iCs/>
                <w:sz w:val="13"/>
                <w:szCs w:val="13"/>
              </w:rPr>
              <w:t>Announcement on Confirming Routine Related Party Transactions</w:t>
            </w:r>
            <w:r w:rsidRPr="0001208F">
              <w:rPr>
                <w:rFonts w:ascii="Times New Roman" w:eastAsia="宋体" w:hAnsi="Times New Roman" w:cs="Times New Roman"/>
                <w:sz w:val="13"/>
                <w:szCs w:val="13"/>
              </w:rPr>
              <w:t xml:space="preserve"> (Announcement No.: 2023-017) released by the Company on April 12, 2023, on www.cninfo.com.cn.</w:t>
            </w:r>
          </w:p>
          <w:p w14:paraId="7E6E456D" w14:textId="77777777" w:rsidR="006B66B7" w:rsidRPr="0001208F" w:rsidRDefault="006B66B7" w:rsidP="008C49B7">
            <w:pPr>
              <w:snapToGrid w:val="0"/>
              <w:rPr>
                <w:rFonts w:ascii="Times New Roman" w:eastAsia="宋体" w:hAnsi="Times New Roman" w:cs="Times New Roman"/>
                <w:sz w:val="13"/>
                <w:szCs w:val="13"/>
              </w:rPr>
            </w:pPr>
          </w:p>
        </w:tc>
      </w:tr>
      <w:tr w:rsidR="003D4A86" w:rsidRPr="0001208F" w14:paraId="09EDFCAB" w14:textId="77777777" w:rsidTr="0001208F">
        <w:trPr>
          <w:jc w:val="center"/>
        </w:trPr>
        <w:tc>
          <w:tcPr>
            <w:tcW w:w="0" w:type="auto"/>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A329E8E"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Total</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02F9ACD1"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3F6791E3"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w:t>
            </w:r>
          </w:p>
        </w:tc>
        <w:tc>
          <w:tcPr>
            <w:tcW w:w="0" w:type="auto"/>
            <w:tcBorders>
              <w:top w:val="single" w:sz="2" w:space="0" w:color="auto"/>
              <w:left w:val="single" w:sz="2" w:space="0" w:color="auto"/>
              <w:bottom w:val="single" w:sz="2" w:space="0" w:color="auto"/>
              <w:right w:val="single" w:sz="2" w:space="0" w:color="auto"/>
            </w:tcBorders>
            <w:vAlign w:val="center"/>
          </w:tcPr>
          <w:p w14:paraId="035481A5" w14:textId="77777777" w:rsidR="006B66B7" w:rsidRPr="0001208F" w:rsidRDefault="002349C6" w:rsidP="008C49B7">
            <w:pPr>
              <w:snapToGrid w:val="0"/>
              <w:jc w:val="right"/>
              <w:rPr>
                <w:rFonts w:ascii="Times New Roman" w:eastAsia="宋体" w:hAnsi="Times New Roman" w:cs="Times New Roman"/>
                <w:sz w:val="13"/>
                <w:szCs w:val="13"/>
              </w:rPr>
            </w:pPr>
            <w:r w:rsidRPr="0001208F">
              <w:rPr>
                <w:rFonts w:ascii="Times New Roman" w:eastAsia="宋体" w:hAnsi="Times New Roman" w:cs="Times New Roman"/>
                <w:sz w:val="13"/>
                <w:szCs w:val="13"/>
              </w:rPr>
              <w:t>4,484.09</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5BFE48B1"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w:t>
            </w:r>
          </w:p>
        </w:tc>
        <w:tc>
          <w:tcPr>
            <w:tcW w:w="0" w:type="auto"/>
            <w:tcBorders>
              <w:top w:val="single" w:sz="2" w:space="0" w:color="auto"/>
              <w:left w:val="single" w:sz="2" w:space="0" w:color="auto"/>
              <w:bottom w:val="single" w:sz="2" w:space="0" w:color="auto"/>
              <w:right w:val="single" w:sz="2" w:space="0" w:color="auto"/>
            </w:tcBorders>
            <w:vAlign w:val="center"/>
          </w:tcPr>
          <w:p w14:paraId="45379F85" w14:textId="77777777" w:rsidR="006B66B7" w:rsidRPr="0001208F" w:rsidRDefault="002349C6" w:rsidP="008C49B7">
            <w:pPr>
              <w:snapToGrid w:val="0"/>
              <w:jc w:val="right"/>
              <w:rPr>
                <w:rFonts w:ascii="Times New Roman" w:eastAsia="宋体" w:hAnsi="Times New Roman" w:cs="Times New Roman"/>
                <w:sz w:val="13"/>
                <w:szCs w:val="13"/>
              </w:rPr>
            </w:pPr>
            <w:r w:rsidRPr="0001208F">
              <w:rPr>
                <w:rFonts w:ascii="Times New Roman" w:eastAsia="宋体" w:hAnsi="Times New Roman" w:cs="Times New Roman"/>
                <w:sz w:val="13"/>
                <w:szCs w:val="13"/>
              </w:rPr>
              <w:t>4,484.09</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01EF8D68"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5E108B52"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3BBDC001"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797BB077"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w:t>
            </w:r>
          </w:p>
        </w:tc>
        <w:tc>
          <w:tcPr>
            <w:tcW w:w="0" w:type="auto"/>
            <w:tcBorders>
              <w:top w:val="single" w:sz="2" w:space="0" w:color="auto"/>
              <w:left w:val="single" w:sz="2" w:space="0" w:color="auto"/>
              <w:bottom w:val="single" w:sz="2" w:space="0" w:color="auto"/>
              <w:right w:val="single" w:sz="2" w:space="0" w:color="auto"/>
            </w:tcBorders>
            <w:shd w:val="clear" w:color="auto" w:fill="D3D3D3"/>
            <w:vAlign w:val="center"/>
          </w:tcPr>
          <w:p w14:paraId="192DB7B9" w14:textId="77777777" w:rsidR="006B66B7" w:rsidRPr="0001208F" w:rsidRDefault="002349C6" w:rsidP="008C49B7">
            <w:pPr>
              <w:snapToGrid w:val="0"/>
              <w:jc w:val="center"/>
              <w:rPr>
                <w:rFonts w:ascii="Times New Roman" w:eastAsia="宋体" w:hAnsi="Times New Roman" w:cs="Times New Roman"/>
                <w:sz w:val="13"/>
                <w:szCs w:val="13"/>
              </w:rPr>
            </w:pPr>
            <w:r w:rsidRPr="0001208F">
              <w:rPr>
                <w:rFonts w:ascii="Times New Roman" w:eastAsia="宋体" w:hAnsi="Times New Roman" w:cs="Times New Roman"/>
                <w:sz w:val="13"/>
                <w:szCs w:val="13"/>
              </w:rPr>
              <w:t>--</w:t>
            </w:r>
          </w:p>
        </w:tc>
      </w:tr>
      <w:tr w:rsidR="006B66B7" w:rsidRPr="0001208F" w14:paraId="298832CB" w14:textId="77777777" w:rsidTr="0001208F">
        <w:trPr>
          <w:jc w:val="center"/>
        </w:trPr>
        <w:tc>
          <w:tcPr>
            <w:tcW w:w="0" w:type="auto"/>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A02D20A"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Details of large-amount refunds for goods sold</w:t>
            </w:r>
          </w:p>
        </w:tc>
        <w:tc>
          <w:tcPr>
            <w:tcW w:w="0" w:type="auto"/>
            <w:gridSpan w:val="10"/>
            <w:tcBorders>
              <w:top w:val="single" w:sz="2" w:space="0" w:color="auto"/>
              <w:left w:val="single" w:sz="2" w:space="0" w:color="auto"/>
              <w:bottom w:val="single" w:sz="2" w:space="0" w:color="auto"/>
              <w:right w:val="single" w:sz="2" w:space="0" w:color="auto"/>
            </w:tcBorders>
            <w:vAlign w:val="center"/>
          </w:tcPr>
          <w:p w14:paraId="294079AA"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N/A</w:t>
            </w:r>
          </w:p>
        </w:tc>
      </w:tr>
      <w:tr w:rsidR="006B66B7" w:rsidRPr="0001208F" w14:paraId="60EA0395" w14:textId="77777777" w:rsidTr="0001208F">
        <w:trPr>
          <w:jc w:val="center"/>
        </w:trPr>
        <w:tc>
          <w:tcPr>
            <w:tcW w:w="0" w:type="auto"/>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9116CE3"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Actual performance (if any) during the Reporting Period if the aggregate amount is estimated by category in relation to the daily related-party transactions expected to occur during the Reporting Period</w:t>
            </w:r>
          </w:p>
        </w:tc>
        <w:tc>
          <w:tcPr>
            <w:tcW w:w="0" w:type="auto"/>
            <w:gridSpan w:val="10"/>
            <w:tcBorders>
              <w:top w:val="single" w:sz="2" w:space="0" w:color="auto"/>
              <w:left w:val="single" w:sz="2" w:space="0" w:color="auto"/>
              <w:bottom w:val="single" w:sz="2" w:space="0" w:color="auto"/>
              <w:right w:val="single" w:sz="2" w:space="0" w:color="auto"/>
            </w:tcBorders>
            <w:vAlign w:val="center"/>
          </w:tcPr>
          <w:p w14:paraId="5C8B23D1"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N/A</w:t>
            </w:r>
          </w:p>
        </w:tc>
      </w:tr>
      <w:tr w:rsidR="006B66B7" w:rsidRPr="0001208F" w14:paraId="3005023E" w14:textId="77777777" w:rsidTr="0001208F">
        <w:trPr>
          <w:jc w:val="center"/>
        </w:trPr>
        <w:tc>
          <w:tcPr>
            <w:tcW w:w="0" w:type="auto"/>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C98523C"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Reasons for comparatively significant differences between the transaction price and the reference market price (if applicable)</w:t>
            </w:r>
          </w:p>
        </w:tc>
        <w:tc>
          <w:tcPr>
            <w:tcW w:w="0" w:type="auto"/>
            <w:gridSpan w:val="10"/>
            <w:tcBorders>
              <w:top w:val="single" w:sz="2" w:space="0" w:color="auto"/>
              <w:left w:val="single" w:sz="2" w:space="0" w:color="auto"/>
              <w:bottom w:val="single" w:sz="2" w:space="0" w:color="auto"/>
              <w:right w:val="single" w:sz="2" w:space="0" w:color="auto"/>
            </w:tcBorders>
            <w:vAlign w:val="center"/>
          </w:tcPr>
          <w:p w14:paraId="4A9778E0" w14:textId="77777777" w:rsidR="006B66B7" w:rsidRPr="0001208F" w:rsidRDefault="002349C6" w:rsidP="008C49B7">
            <w:pPr>
              <w:snapToGrid w:val="0"/>
              <w:rPr>
                <w:rFonts w:ascii="Times New Roman" w:eastAsia="宋体" w:hAnsi="Times New Roman" w:cs="Times New Roman"/>
                <w:sz w:val="13"/>
                <w:szCs w:val="13"/>
              </w:rPr>
            </w:pPr>
            <w:r w:rsidRPr="0001208F">
              <w:rPr>
                <w:rFonts w:ascii="Times New Roman" w:eastAsia="宋体" w:hAnsi="Times New Roman" w:cs="Times New Roman"/>
                <w:sz w:val="13"/>
                <w:szCs w:val="13"/>
              </w:rPr>
              <w:t>N/A</w:t>
            </w:r>
          </w:p>
        </w:tc>
      </w:tr>
    </w:tbl>
    <w:p w14:paraId="4B33C855" w14:textId="77777777" w:rsidR="006B66B7" w:rsidRPr="00F73301" w:rsidRDefault="002349C6" w:rsidP="0001208F">
      <w:pPr>
        <w:pStyle w:val="3"/>
      </w:pPr>
      <w:bookmarkStart w:id="67" w:name="_Toc988955"/>
      <w:r w:rsidRPr="00F73301">
        <w:t>2. Related-party transactions of acquisition and sales of assets and equity</w:t>
      </w:r>
      <w:bookmarkEnd w:id="67"/>
    </w:p>
    <w:p w14:paraId="1C994D7B" w14:textId="1564FFE9"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403E310A"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related-party transactions of acquisition and sales of assets and equity during the Reporting Period.</w:t>
      </w:r>
    </w:p>
    <w:p w14:paraId="2CEC1FCE" w14:textId="77777777" w:rsidR="006B66B7" w:rsidRPr="00F73301" w:rsidRDefault="002349C6" w:rsidP="0001208F">
      <w:pPr>
        <w:pStyle w:val="3"/>
      </w:pPr>
      <w:bookmarkStart w:id="68" w:name="_Toc988956"/>
      <w:r w:rsidRPr="00F73301">
        <w:t>3. Related-party transactions of joint external investment</w:t>
      </w:r>
      <w:bookmarkEnd w:id="68"/>
    </w:p>
    <w:p w14:paraId="798CED23" w14:textId="7CF9E3D2"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E72469C"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The Company had no related-party transaction of joint external investment during the Reporting </w:t>
      </w:r>
      <w:r w:rsidRPr="00F73301">
        <w:rPr>
          <w:rFonts w:ascii="Times New Roman" w:eastAsia="宋体" w:hAnsi="Times New Roman" w:cs="Times New Roman"/>
          <w:sz w:val="24"/>
          <w:szCs w:val="24"/>
        </w:rPr>
        <w:lastRenderedPageBreak/>
        <w:t>Period.</w:t>
      </w:r>
    </w:p>
    <w:p w14:paraId="710BA1EA" w14:textId="77777777" w:rsidR="006B66B7" w:rsidRPr="00F73301" w:rsidRDefault="002349C6" w:rsidP="0001208F">
      <w:pPr>
        <w:pStyle w:val="3"/>
      </w:pPr>
      <w:bookmarkStart w:id="69" w:name="_Toc988957"/>
      <w:r w:rsidRPr="00F73301">
        <w:t>4. Credits and liabilities with related parties</w:t>
      </w:r>
      <w:bookmarkEnd w:id="69"/>
    </w:p>
    <w:p w14:paraId="664F86A4" w14:textId="0565367E"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13ED2C81"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credits and liabilities with related parties during the Reporting Period.</w:t>
      </w:r>
    </w:p>
    <w:p w14:paraId="0CD10C0F" w14:textId="77777777" w:rsidR="006B66B7" w:rsidRPr="00F73301" w:rsidRDefault="002349C6" w:rsidP="0001208F">
      <w:pPr>
        <w:pStyle w:val="3"/>
      </w:pPr>
      <w:bookmarkStart w:id="70" w:name="_Toc988958"/>
      <w:r w:rsidRPr="00F73301">
        <w:t>5. Business with related financial companies</w:t>
      </w:r>
      <w:bookmarkEnd w:id="70"/>
    </w:p>
    <w:p w14:paraId="4AC861F5" w14:textId="0F8F59AA"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462CAED"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were no deposits, loans, credit, or other financial business between the Company and the related financial companies, the shareholding financial companies, as well as related parties.</w:t>
      </w:r>
    </w:p>
    <w:p w14:paraId="5D0F8E2F" w14:textId="77777777" w:rsidR="006B66B7" w:rsidRPr="00F73301" w:rsidRDefault="002349C6" w:rsidP="0001208F">
      <w:pPr>
        <w:pStyle w:val="3"/>
      </w:pPr>
      <w:bookmarkStart w:id="71" w:name="_Toc988959"/>
      <w:r w:rsidRPr="00F73301">
        <w:t>6. Business between financial companies controlled by the Company and related parties</w:t>
      </w:r>
      <w:bookmarkEnd w:id="71"/>
    </w:p>
    <w:p w14:paraId="38CE81BC" w14:textId="67F9AA36"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6553C8E9"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were no deposits, loans, credit, or other financial business between financial companies controlled by the Company and related parties.</w:t>
      </w:r>
    </w:p>
    <w:p w14:paraId="5A4F74A6" w14:textId="77777777" w:rsidR="006B66B7" w:rsidRPr="00F73301" w:rsidRDefault="002349C6" w:rsidP="0001208F">
      <w:pPr>
        <w:pStyle w:val="3"/>
      </w:pPr>
      <w:bookmarkStart w:id="72" w:name="_Toc988960"/>
      <w:r w:rsidRPr="00F73301">
        <w:t>7. Other material related-party transactions</w:t>
      </w:r>
      <w:bookmarkEnd w:id="72"/>
    </w:p>
    <w:p w14:paraId="353AF4A0" w14:textId="502C9199"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31C75C51"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other material related-party transactions during the Reporting Period.</w:t>
      </w:r>
    </w:p>
    <w:p w14:paraId="482D6020" w14:textId="77777777" w:rsidR="006B66B7" w:rsidRPr="00F73301" w:rsidRDefault="002349C6" w:rsidP="0001208F">
      <w:pPr>
        <w:pStyle w:val="2"/>
      </w:pPr>
      <w:bookmarkStart w:id="73" w:name="_Toc988961"/>
      <w:r w:rsidRPr="00F73301">
        <w:t>XII. Material Contracts and the Performance</w:t>
      </w:r>
      <w:bookmarkEnd w:id="73"/>
    </w:p>
    <w:p w14:paraId="0FCD7728" w14:textId="77777777" w:rsidR="006B66B7" w:rsidRPr="00F73301" w:rsidRDefault="002349C6" w:rsidP="0001208F">
      <w:pPr>
        <w:pStyle w:val="3"/>
      </w:pPr>
      <w:bookmarkStart w:id="74" w:name="_Toc988962"/>
      <w:r w:rsidRPr="00F73301">
        <w:t>1. Information on trusteeship, contracting, and leasing matters</w:t>
      </w:r>
      <w:bookmarkEnd w:id="74"/>
    </w:p>
    <w:p w14:paraId="5860F09A" w14:textId="77777777" w:rsidR="006B66B7" w:rsidRPr="00F73301" w:rsidRDefault="002349C6" w:rsidP="0001208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75" w:name="_Toc988963"/>
      <w:r w:rsidRPr="00F73301">
        <w:rPr>
          <w:rFonts w:ascii="Times New Roman" w:eastAsia="宋体" w:hAnsi="Times New Roman" w:cs="Times New Roman"/>
          <w:b/>
          <w:bCs/>
          <w:sz w:val="24"/>
          <w:szCs w:val="24"/>
        </w:rPr>
        <w:t>(1) Information on trusteeship matters</w:t>
      </w:r>
      <w:bookmarkEnd w:id="75"/>
    </w:p>
    <w:p w14:paraId="19FB3132" w14:textId="46093A56"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549AF832"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trusteeship matters during the Reporting Period.</w:t>
      </w:r>
    </w:p>
    <w:p w14:paraId="5830765F" w14:textId="77777777" w:rsidR="006B66B7" w:rsidRPr="00F73301" w:rsidRDefault="002349C6" w:rsidP="0001208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76" w:name="_Toc988964"/>
      <w:r w:rsidRPr="00F73301">
        <w:rPr>
          <w:rFonts w:ascii="Times New Roman" w:eastAsia="宋体" w:hAnsi="Times New Roman" w:cs="Times New Roman"/>
          <w:b/>
          <w:bCs/>
          <w:sz w:val="24"/>
          <w:szCs w:val="24"/>
        </w:rPr>
        <w:t>(2) Information on contracting matters</w:t>
      </w:r>
      <w:bookmarkEnd w:id="76"/>
    </w:p>
    <w:p w14:paraId="5639FD0B" w14:textId="6CC18969"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9AD635E"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contracting matters during the Reporting Period.</w:t>
      </w:r>
    </w:p>
    <w:p w14:paraId="5BC9D4DA" w14:textId="77777777" w:rsidR="006B66B7" w:rsidRPr="00F73301" w:rsidRDefault="002349C6" w:rsidP="0001208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77" w:name="_Toc988965"/>
      <w:r w:rsidRPr="00F73301">
        <w:rPr>
          <w:rFonts w:ascii="Times New Roman" w:eastAsia="宋体" w:hAnsi="Times New Roman" w:cs="Times New Roman"/>
          <w:b/>
          <w:bCs/>
          <w:sz w:val="24"/>
          <w:szCs w:val="24"/>
        </w:rPr>
        <w:t>(3) Information on leasing matters</w:t>
      </w:r>
      <w:bookmarkEnd w:id="77"/>
    </w:p>
    <w:p w14:paraId="68F7A8E0" w14:textId="68CB32DD"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01698FB"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leasing matters during the Reporting Period.</w:t>
      </w:r>
    </w:p>
    <w:p w14:paraId="7DF79578" w14:textId="77777777" w:rsidR="006B66B7" w:rsidRPr="00F73301" w:rsidRDefault="002349C6" w:rsidP="0001208F">
      <w:pPr>
        <w:pStyle w:val="3"/>
      </w:pPr>
      <w:bookmarkStart w:id="78" w:name="_Toc988966"/>
      <w:r w:rsidRPr="00F73301">
        <w:t>2. Material guarantee business</w:t>
      </w:r>
      <w:bookmarkEnd w:id="78"/>
    </w:p>
    <w:p w14:paraId="1E2E16F5" w14:textId="7C3A739F"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69336794" w14:textId="77777777" w:rsidR="006B66B7" w:rsidRPr="00F73301" w:rsidRDefault="002349C6" w:rsidP="0001208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 significant guarantees by the Company during the Reporting Period.</w:t>
      </w:r>
    </w:p>
    <w:p w14:paraId="741989E8" w14:textId="77777777" w:rsidR="006B66B7" w:rsidRPr="00F73301" w:rsidRDefault="002349C6" w:rsidP="0001208F">
      <w:pPr>
        <w:pStyle w:val="3"/>
      </w:pPr>
      <w:bookmarkStart w:id="79" w:name="_Toc988967"/>
      <w:r w:rsidRPr="00F73301">
        <w:t>3. Material contracts in routine operations</w:t>
      </w:r>
      <w:bookmarkEnd w:id="79"/>
    </w:p>
    <w:p w14:paraId="12CC6DC3"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1071"/>
        <w:gridCol w:w="1071"/>
        <w:gridCol w:w="1071"/>
        <w:gridCol w:w="1071"/>
        <w:gridCol w:w="1071"/>
        <w:gridCol w:w="1071"/>
        <w:gridCol w:w="1071"/>
      </w:tblGrid>
      <w:tr w:rsidR="006B66B7" w:rsidRPr="008C49B7" w14:paraId="7A4D8AE5" w14:textId="77777777" w:rsidTr="0001208F">
        <w:trPr>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79B9BA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Party A</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7AEDF8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Party B</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AC349E4"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Total contract amount</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0F67A9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Progress of performance of contract</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ACA70C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Sales revenue recognized for the </w:t>
            </w:r>
            <w:r w:rsidRPr="008C49B7">
              <w:rPr>
                <w:rFonts w:ascii="Times New Roman" w:eastAsia="宋体" w:hAnsi="Times New Roman" w:cs="Times New Roman"/>
                <w:sz w:val="18"/>
                <w:szCs w:val="18"/>
              </w:rPr>
              <w:lastRenderedPageBreak/>
              <w:t>Reporting Period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355BF1D"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Cumulatively recognized sales revenue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B918B3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Collection of accounts receivable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995672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Whether there were material changes in </w:t>
            </w:r>
            <w:r w:rsidRPr="008C49B7">
              <w:rPr>
                <w:rFonts w:ascii="Times New Roman" w:eastAsia="宋体" w:hAnsi="Times New Roman" w:cs="Times New Roman"/>
                <w:sz w:val="18"/>
                <w:szCs w:val="18"/>
              </w:rPr>
              <w:lastRenderedPageBreak/>
              <w:t>conditions that affect performance of material contracts</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3A2741F"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lastRenderedPageBreak/>
              <w:t xml:space="preserve">Whether there were material risks that </w:t>
            </w:r>
            <w:r w:rsidRPr="008C49B7">
              <w:rPr>
                <w:rFonts w:ascii="Times New Roman" w:eastAsia="宋体" w:hAnsi="Times New Roman" w:cs="Times New Roman"/>
                <w:sz w:val="18"/>
                <w:szCs w:val="18"/>
              </w:rPr>
              <w:lastRenderedPageBreak/>
              <w:t>prevented performance of contract</w:t>
            </w:r>
          </w:p>
        </w:tc>
      </w:tr>
    </w:tbl>
    <w:p w14:paraId="0BD677E5" w14:textId="77777777" w:rsidR="006B66B7" w:rsidRPr="00F73301" w:rsidRDefault="002349C6" w:rsidP="0001208F">
      <w:pPr>
        <w:pStyle w:val="3"/>
      </w:pPr>
      <w:bookmarkStart w:id="80" w:name="_Toc988968"/>
      <w:r w:rsidRPr="00F73301">
        <w:lastRenderedPageBreak/>
        <w:t>4. Other material contracts</w:t>
      </w:r>
      <w:bookmarkEnd w:id="80"/>
    </w:p>
    <w:p w14:paraId="3DC233AE" w14:textId="5A7B0A02"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01208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5E45697C"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had no other material contracts during the Reporting Period.</w:t>
      </w:r>
    </w:p>
    <w:p w14:paraId="27EC9AA2" w14:textId="77777777" w:rsidR="006B66B7" w:rsidRPr="00F73301" w:rsidRDefault="002349C6" w:rsidP="0001208F">
      <w:pPr>
        <w:pStyle w:val="2"/>
      </w:pPr>
      <w:bookmarkStart w:id="81" w:name="_Toc988969"/>
      <w:r w:rsidRPr="00F73301">
        <w:t>XIII. Other Significant Events</w:t>
      </w:r>
      <w:bookmarkEnd w:id="81"/>
    </w:p>
    <w:p w14:paraId="3AF4F17F"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75E19D9B" w14:textId="77777777" w:rsidR="0001208F" w:rsidRDefault="002349C6" w:rsidP="0001208F">
      <w:pPr>
        <w:pStyle w:val="a3"/>
        <w:adjustRightInd w:val="0"/>
        <w:snapToGrid w:val="0"/>
        <w:spacing w:beforeLines="50" w:before="156" w:beforeAutospacing="0" w:afterLines="50" w:after="156" w:afterAutospacing="0"/>
        <w:jc w:val="both"/>
        <w:divId w:val="1361973093"/>
        <w:rPr>
          <w:rFonts w:ascii="Times New Roman" w:hAnsi="Times New Roman" w:cs="Times New Roman"/>
        </w:rPr>
      </w:pPr>
      <w:r w:rsidRPr="00F73301">
        <w:rPr>
          <w:rFonts w:ascii="Times New Roman" w:hAnsi="Times New Roman" w:cs="Times New Roman"/>
        </w:rPr>
        <w:t xml:space="preserve">1. On February 16, 2023, the Company held the 23rd Meeting of the Fourth Board of Directors to deliberate on and approve the </w:t>
      </w:r>
      <w:r w:rsidRPr="00F73301">
        <w:rPr>
          <w:rFonts w:ascii="Times New Roman" w:hAnsi="Times New Roman" w:cs="Times New Roman"/>
          <w:i/>
          <w:iCs/>
        </w:rPr>
        <w:t xml:space="preserve">Proposal on Acquiring 30% Equity Interest in Hunan </w:t>
      </w:r>
      <w:proofErr w:type="spellStart"/>
      <w:r w:rsidRPr="00F73301">
        <w:rPr>
          <w:rFonts w:ascii="Times New Roman" w:hAnsi="Times New Roman" w:cs="Times New Roman"/>
          <w:i/>
          <w:iCs/>
        </w:rPr>
        <w:t>Chuwei</w:t>
      </w:r>
      <w:proofErr w:type="spellEnd"/>
      <w:r w:rsidRPr="00F73301">
        <w:rPr>
          <w:rFonts w:ascii="Times New Roman" w:hAnsi="Times New Roman" w:cs="Times New Roman"/>
          <w:i/>
          <w:iCs/>
        </w:rPr>
        <w:t xml:space="preserve"> Semiconductor Technology Co., Ltd.</w:t>
      </w:r>
      <w:r w:rsidRPr="00F73301">
        <w:rPr>
          <w:rFonts w:ascii="Times New Roman" w:hAnsi="Times New Roman" w:cs="Times New Roman"/>
        </w:rPr>
        <w:t xml:space="preserve"> through Public Delisting, and agreed that the Company could use its own funds to participate in the transfer of 30% equity interest in Hunan </w:t>
      </w:r>
      <w:proofErr w:type="spellStart"/>
      <w:r w:rsidRPr="00F73301">
        <w:rPr>
          <w:rFonts w:ascii="Times New Roman" w:hAnsi="Times New Roman" w:cs="Times New Roman"/>
        </w:rPr>
        <w:t>Chuwei</w:t>
      </w:r>
      <w:proofErr w:type="spellEnd"/>
      <w:r w:rsidRPr="00F73301">
        <w:rPr>
          <w:rFonts w:ascii="Times New Roman" w:hAnsi="Times New Roman" w:cs="Times New Roman"/>
        </w:rPr>
        <w:t xml:space="preserve"> through public delisting at the bottom price of RMB293.76 million. On February 23, 2023, the Company received the </w:t>
      </w:r>
      <w:r w:rsidRPr="00F73301">
        <w:rPr>
          <w:rFonts w:ascii="Times New Roman" w:hAnsi="Times New Roman" w:cs="Times New Roman"/>
          <w:i/>
          <w:iCs/>
        </w:rPr>
        <w:t>Notice on Organizing Signing of Contract</w:t>
      </w:r>
      <w:r w:rsidRPr="00F73301">
        <w:rPr>
          <w:rFonts w:ascii="Times New Roman" w:hAnsi="Times New Roman" w:cs="Times New Roman"/>
        </w:rPr>
        <w:t xml:space="preserve"> from Hunan Exchange, confirming that the Company would be the transferee of 30% equity interest in </w:t>
      </w:r>
      <w:proofErr w:type="spellStart"/>
      <w:r w:rsidRPr="00F73301">
        <w:rPr>
          <w:rFonts w:ascii="Times New Roman" w:hAnsi="Times New Roman" w:cs="Times New Roman"/>
        </w:rPr>
        <w:t>Chuwei</w:t>
      </w:r>
      <w:proofErr w:type="spellEnd"/>
      <w:r w:rsidRPr="00F73301">
        <w:rPr>
          <w:rFonts w:ascii="Times New Roman" w:hAnsi="Times New Roman" w:cs="Times New Roman"/>
        </w:rPr>
        <w:t xml:space="preserve"> Semiconductor and the transaction price would be RMB293.76 million. On March 31, 2023, </w:t>
      </w:r>
      <w:proofErr w:type="spellStart"/>
      <w:r w:rsidRPr="00F73301">
        <w:rPr>
          <w:rFonts w:ascii="Times New Roman" w:hAnsi="Times New Roman" w:cs="Times New Roman"/>
        </w:rPr>
        <w:t>Chuwei</w:t>
      </w:r>
      <w:proofErr w:type="spellEnd"/>
      <w:r w:rsidRPr="00F73301">
        <w:rPr>
          <w:rFonts w:ascii="Times New Roman" w:hAnsi="Times New Roman" w:cs="Times New Roman"/>
        </w:rPr>
        <w:t xml:space="preserve"> Semiconductor completed the registration and filing procedures for the industrial and commercial changes in relation to this equity transfer. Upon completion of this equity transfer, the Company holds 70% of the equity in </w:t>
      </w:r>
      <w:proofErr w:type="spellStart"/>
      <w:r w:rsidRPr="00F73301">
        <w:rPr>
          <w:rFonts w:ascii="Times New Roman" w:hAnsi="Times New Roman" w:cs="Times New Roman"/>
        </w:rPr>
        <w:t>Chuwei</w:t>
      </w:r>
      <w:proofErr w:type="spellEnd"/>
      <w:r w:rsidRPr="00F73301">
        <w:rPr>
          <w:rFonts w:ascii="Times New Roman" w:hAnsi="Times New Roman" w:cs="Times New Roman"/>
        </w:rPr>
        <w:t xml:space="preserve"> Semiconductor, and </w:t>
      </w:r>
      <w:proofErr w:type="spellStart"/>
      <w:r w:rsidRPr="00F73301">
        <w:rPr>
          <w:rFonts w:ascii="Times New Roman" w:hAnsi="Times New Roman" w:cs="Times New Roman"/>
        </w:rPr>
        <w:t>Chuwei</w:t>
      </w:r>
      <w:proofErr w:type="spellEnd"/>
      <w:r w:rsidRPr="00F73301">
        <w:rPr>
          <w:rFonts w:ascii="Times New Roman" w:hAnsi="Times New Roman" w:cs="Times New Roman"/>
        </w:rPr>
        <w:t xml:space="preserve"> Semiconductor has become a controlling subsidiary of the Company and is included in the Company's consolidated financial statements.</w:t>
      </w:r>
    </w:p>
    <w:p w14:paraId="69D6D9CA" w14:textId="1E174BB5" w:rsidR="0001208F" w:rsidRDefault="002349C6" w:rsidP="00FC2420">
      <w:pPr>
        <w:pStyle w:val="a3"/>
        <w:adjustRightInd w:val="0"/>
        <w:snapToGrid w:val="0"/>
        <w:spacing w:beforeLines="50" w:before="156" w:beforeAutospacing="0" w:afterLines="50" w:after="156" w:afterAutospacing="0"/>
        <w:jc w:val="both"/>
        <w:divId w:val="1361973093"/>
        <w:rPr>
          <w:rFonts w:ascii="Times New Roman" w:hAnsi="Times New Roman" w:cs="Times New Roman"/>
        </w:rPr>
      </w:pPr>
      <w:r w:rsidRPr="00F73301">
        <w:rPr>
          <w:rFonts w:ascii="Times New Roman" w:hAnsi="Times New Roman" w:cs="Times New Roman"/>
        </w:rPr>
        <w:t xml:space="preserve">For details, see the relevant announcements published by the Company on </w:t>
      </w:r>
      <w:hyperlink r:id="rId7" w:history="1">
        <w:r w:rsidR="00FC2420" w:rsidRPr="00FC2420">
          <w:rPr>
            <w:rStyle w:val="a4"/>
            <w:rFonts w:ascii="Times New Roman" w:hAnsi="Times New Roman" w:cs="Times New Roman" w:hint="eastAsia"/>
          </w:rPr>
          <w:t>www.cninfo.com.cn</w:t>
        </w:r>
      </w:hyperlink>
      <w:r w:rsidRPr="00F73301">
        <w:rPr>
          <w:rFonts w:ascii="Times New Roman" w:hAnsi="Times New Roman" w:cs="Times New Roman"/>
        </w:rPr>
        <w:t xml:space="preserve"> on February 18, February 28, and April 3, 2023, respectively.</w:t>
      </w:r>
    </w:p>
    <w:p w14:paraId="61E17B43" w14:textId="4A08BF5B" w:rsidR="00273CFE" w:rsidRPr="00F73301" w:rsidRDefault="00EB45EB" w:rsidP="00FC2420">
      <w:pPr>
        <w:pStyle w:val="a3"/>
        <w:adjustRightInd w:val="0"/>
        <w:snapToGrid w:val="0"/>
        <w:spacing w:beforeLines="50" w:before="156" w:beforeAutospacing="0" w:afterLines="50" w:after="156" w:afterAutospacing="0"/>
        <w:jc w:val="both"/>
        <w:divId w:val="1361973093"/>
        <w:rPr>
          <w:rFonts w:ascii="Times New Roman" w:hAnsi="Times New Roman" w:cs="Times New Roman"/>
        </w:rPr>
      </w:pPr>
      <w:hyperlink r:id="rId8" w:history="1"/>
      <w:r w:rsidR="002349C6" w:rsidRPr="00F73301">
        <w:rPr>
          <w:rFonts w:ascii="Times New Roman" w:hAnsi="Times New Roman" w:cs="Times New Roman"/>
        </w:rPr>
        <w:t xml:space="preserve">2. In order to deeply engage in the international market, continuously optimize its global industrial layout, and strengthen its core competitiveness, the Company held the 25th Meeting of the Fourth Board of Directors on April 11, 2023 to deliberate and approve the </w:t>
      </w:r>
      <w:r w:rsidR="002349C6" w:rsidRPr="00F73301">
        <w:rPr>
          <w:rFonts w:ascii="Times New Roman" w:hAnsi="Times New Roman" w:cs="Times New Roman"/>
          <w:i/>
          <w:iCs/>
        </w:rPr>
        <w:t>Proposal on Establishing a Subsidiary in Vietnam</w:t>
      </w:r>
      <w:r w:rsidR="002349C6" w:rsidRPr="00F73301">
        <w:rPr>
          <w:rFonts w:ascii="Times New Roman" w:hAnsi="Times New Roman" w:cs="Times New Roman"/>
        </w:rPr>
        <w:t xml:space="preserve">, and agree that the Company could establish a subsidiary, Mico (Vietnam) Co., Ltd., in Vietnam (tentative name, subject to the approval of the local registration authority) with a planned investment amount of USD90 million. For details, see the </w:t>
      </w:r>
      <w:r w:rsidR="002349C6" w:rsidRPr="00F73301">
        <w:rPr>
          <w:rFonts w:ascii="Times New Roman" w:hAnsi="Times New Roman" w:cs="Times New Roman"/>
          <w:i/>
          <w:iCs/>
        </w:rPr>
        <w:t>Announcement on Establishing a Subsidiary in Vietnam</w:t>
      </w:r>
      <w:r w:rsidR="002349C6" w:rsidRPr="00F73301">
        <w:rPr>
          <w:rFonts w:ascii="Times New Roman" w:hAnsi="Times New Roman" w:cs="Times New Roman"/>
        </w:rPr>
        <w:t xml:space="preserve"> (Announcement No.: 2023-018) published by the Company on </w:t>
      </w:r>
      <w:hyperlink r:id="rId9" w:history="1">
        <w:r w:rsidR="00FC2420" w:rsidRPr="00FC2420">
          <w:rPr>
            <w:rStyle w:val="a4"/>
            <w:rFonts w:ascii="Times New Roman" w:hAnsi="Times New Roman" w:cs="Times New Roman" w:hint="eastAsia"/>
          </w:rPr>
          <w:t>www.cninfo.com.cn</w:t>
        </w:r>
      </w:hyperlink>
      <w:r w:rsidR="002349C6" w:rsidRPr="00F73301">
        <w:rPr>
          <w:rFonts w:ascii="Times New Roman" w:hAnsi="Times New Roman" w:cs="Times New Roman"/>
        </w:rPr>
        <w:t xml:space="preserve"> on April 12, 2023.</w:t>
      </w:r>
      <w:hyperlink r:id="rId10" w:history="1"/>
    </w:p>
    <w:p w14:paraId="2242A949" w14:textId="77777777" w:rsidR="006B66B7" w:rsidRPr="00F73301" w:rsidRDefault="002349C6" w:rsidP="0001208F">
      <w:pPr>
        <w:pStyle w:val="2"/>
      </w:pPr>
      <w:bookmarkStart w:id="82" w:name="_Toc988970"/>
      <w:r w:rsidRPr="00F73301">
        <w:t>XIV. Significant Matters of the Company's Subsidiaries</w:t>
      </w:r>
      <w:bookmarkEnd w:id="82"/>
    </w:p>
    <w:p w14:paraId="7265173B" w14:textId="77777777" w:rsidR="006B66B7" w:rsidRPr="00F73301" w:rsidRDefault="002349C6" w:rsidP="0001208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2B3917BD" w14:textId="3905FA4C" w:rsidR="00273CFE" w:rsidRPr="00F73301" w:rsidRDefault="002349C6" w:rsidP="0001208F">
      <w:pPr>
        <w:pStyle w:val="a3"/>
        <w:adjustRightInd w:val="0"/>
        <w:snapToGrid w:val="0"/>
        <w:spacing w:beforeLines="50" w:before="156" w:beforeAutospacing="0" w:afterLines="50" w:after="156" w:afterAutospacing="0"/>
        <w:jc w:val="both"/>
        <w:divId w:val="648168732"/>
        <w:rPr>
          <w:rFonts w:ascii="Times New Roman" w:hAnsi="Times New Roman" w:cs="Times New Roman"/>
        </w:rPr>
      </w:pPr>
      <w:r w:rsidRPr="00F73301">
        <w:rPr>
          <w:rFonts w:ascii="Times New Roman" w:hAnsi="Times New Roman" w:cs="Times New Roman"/>
        </w:rPr>
        <w:t>1. In order to deeply engage in the international market, the Company established YJ Technology Japan Co., Ltd. (</w:t>
      </w:r>
      <w:proofErr w:type="spellStart"/>
      <w:r w:rsidRPr="00F73301">
        <w:rPr>
          <w:rFonts w:ascii="Times New Roman" w:hAnsi="Times New Roman" w:cs="Times New Roman"/>
        </w:rPr>
        <w:t>Yangjie</w:t>
      </w:r>
      <w:proofErr w:type="spellEnd"/>
      <w:r w:rsidRPr="00F73301">
        <w:rPr>
          <w:rFonts w:ascii="Times New Roman" w:hAnsi="Times New Roman" w:cs="Times New Roman"/>
        </w:rPr>
        <w:t xml:space="preserve"> Japan) in Japan. The registered capital of </w:t>
      </w:r>
      <w:proofErr w:type="spellStart"/>
      <w:r w:rsidRPr="00F73301">
        <w:rPr>
          <w:rFonts w:ascii="Times New Roman" w:hAnsi="Times New Roman" w:cs="Times New Roman"/>
        </w:rPr>
        <w:t>Yangjie</w:t>
      </w:r>
      <w:proofErr w:type="spellEnd"/>
      <w:r w:rsidRPr="00F73301">
        <w:rPr>
          <w:rFonts w:ascii="Times New Roman" w:hAnsi="Times New Roman" w:cs="Times New Roman"/>
        </w:rPr>
        <w:t xml:space="preserve"> Japan was JPY6 million, its business scope covers dispatching and consultancy services of technicians related to electronic components. Its registration was completed on March 13, 2023.</w:t>
      </w:r>
    </w:p>
    <w:p w14:paraId="48507751" w14:textId="35600CC0" w:rsidR="00273CFE" w:rsidRPr="00F73301" w:rsidRDefault="002349C6" w:rsidP="0001208F">
      <w:pPr>
        <w:pStyle w:val="a3"/>
        <w:adjustRightInd w:val="0"/>
        <w:snapToGrid w:val="0"/>
        <w:spacing w:beforeLines="50" w:before="156" w:beforeAutospacing="0" w:afterLines="50" w:after="156" w:afterAutospacing="0"/>
        <w:jc w:val="both"/>
        <w:divId w:val="648168732"/>
        <w:rPr>
          <w:rFonts w:ascii="Times New Roman" w:hAnsi="Times New Roman" w:cs="Times New Roman"/>
        </w:rPr>
      </w:pPr>
      <w:r w:rsidRPr="00F73301">
        <w:rPr>
          <w:rFonts w:ascii="Times New Roman" w:hAnsi="Times New Roman" w:cs="Times New Roman"/>
        </w:rPr>
        <w:t>2. In order to further optimize its global industrial layout, the Company established Micro Commercial Components Singapore Pte. Ltd. (MCC Singapore) in Singapore. The registered capital of MCC Singapore was USD1 million. Its place of registration is 987 Serangoon Road, Singapore (328147). Its registration was completed on March 30, 2023.</w:t>
      </w:r>
    </w:p>
    <w:p w14:paraId="51FE271B" w14:textId="40D6051B" w:rsidR="00273CFE" w:rsidRPr="00F73301" w:rsidRDefault="002349C6" w:rsidP="0001208F">
      <w:pPr>
        <w:adjustRightInd w:val="0"/>
        <w:snapToGrid w:val="0"/>
        <w:spacing w:beforeLines="50" w:before="156" w:afterLines="50" w:after="156"/>
        <w:jc w:val="both"/>
        <w:divId w:val="771778201"/>
        <w:rPr>
          <w:rFonts w:ascii="Times New Roman" w:hAnsi="Times New Roman" w:cs="Times New Roman"/>
          <w:sz w:val="24"/>
          <w:szCs w:val="24"/>
        </w:rPr>
      </w:pPr>
      <w:r w:rsidRPr="00F73301">
        <w:rPr>
          <w:rFonts w:ascii="Times New Roman" w:hAnsi="Times New Roman" w:cs="Times New Roman"/>
          <w:sz w:val="24"/>
          <w:szCs w:val="24"/>
        </w:rPr>
        <w:t xml:space="preserve">3. </w:t>
      </w:r>
      <w:proofErr w:type="spellStart"/>
      <w:r w:rsidRPr="00F73301">
        <w:rPr>
          <w:rFonts w:ascii="Times New Roman" w:hAnsi="Times New Roman" w:cs="Times New Roman"/>
          <w:sz w:val="24"/>
          <w:szCs w:val="24"/>
        </w:rPr>
        <w:t>Chuwei</w:t>
      </w:r>
      <w:proofErr w:type="spellEnd"/>
      <w:r w:rsidRPr="00F73301">
        <w:rPr>
          <w:rFonts w:ascii="Times New Roman" w:hAnsi="Times New Roman" w:cs="Times New Roman"/>
          <w:sz w:val="24"/>
          <w:szCs w:val="24"/>
        </w:rPr>
        <w:t xml:space="preserve"> Semiconductor held a shareholders' meeting on March 3, 2023, to agree that Hunan Hi-tech Investment Group would transfer its 30% equity interest in </w:t>
      </w:r>
      <w:proofErr w:type="spellStart"/>
      <w:r w:rsidRPr="00F73301">
        <w:rPr>
          <w:rFonts w:ascii="Times New Roman" w:hAnsi="Times New Roman" w:cs="Times New Roman"/>
          <w:sz w:val="24"/>
          <w:szCs w:val="24"/>
        </w:rPr>
        <w:t>Chuwei</w:t>
      </w:r>
      <w:proofErr w:type="spellEnd"/>
      <w:r w:rsidRPr="00F73301">
        <w:rPr>
          <w:rFonts w:ascii="Times New Roman" w:hAnsi="Times New Roman" w:cs="Times New Roman"/>
          <w:sz w:val="24"/>
          <w:szCs w:val="24"/>
        </w:rPr>
        <w:t xml:space="preserve"> Semiconductor to </w:t>
      </w:r>
      <w:proofErr w:type="spellStart"/>
      <w:r w:rsidRPr="00F73301">
        <w:rPr>
          <w:rFonts w:ascii="Times New Roman" w:hAnsi="Times New Roman" w:cs="Times New Roman"/>
          <w:sz w:val="24"/>
          <w:szCs w:val="24"/>
        </w:rPr>
        <w:t>Yangjie</w:t>
      </w:r>
      <w:proofErr w:type="spellEnd"/>
      <w:r w:rsidRPr="00F73301">
        <w:rPr>
          <w:rFonts w:ascii="Times New Roman" w:hAnsi="Times New Roman" w:cs="Times New Roman"/>
          <w:sz w:val="24"/>
          <w:szCs w:val="24"/>
        </w:rPr>
        <w:t xml:space="preserve"> </w:t>
      </w:r>
      <w:r w:rsidRPr="00F73301">
        <w:rPr>
          <w:rFonts w:ascii="Times New Roman" w:hAnsi="Times New Roman" w:cs="Times New Roman"/>
          <w:sz w:val="24"/>
          <w:szCs w:val="24"/>
        </w:rPr>
        <w:lastRenderedPageBreak/>
        <w:t xml:space="preserve">Technology, and agree that the members of the Board of Directors of </w:t>
      </w:r>
      <w:proofErr w:type="spellStart"/>
      <w:r w:rsidRPr="00F73301">
        <w:rPr>
          <w:rFonts w:ascii="Times New Roman" w:hAnsi="Times New Roman" w:cs="Times New Roman"/>
          <w:sz w:val="24"/>
          <w:szCs w:val="24"/>
        </w:rPr>
        <w:t>Chuwei</w:t>
      </w:r>
      <w:proofErr w:type="spellEnd"/>
      <w:r w:rsidRPr="00F73301">
        <w:rPr>
          <w:rFonts w:ascii="Times New Roman" w:hAnsi="Times New Roman" w:cs="Times New Roman"/>
          <w:sz w:val="24"/>
          <w:szCs w:val="24"/>
        </w:rPr>
        <w:t xml:space="preserve"> Semiconductor would be changed to Liang Qin, Dai Juan, </w:t>
      </w:r>
      <w:proofErr w:type="spellStart"/>
      <w:r w:rsidRPr="00F73301">
        <w:rPr>
          <w:rFonts w:ascii="Times New Roman" w:hAnsi="Times New Roman" w:cs="Times New Roman"/>
          <w:sz w:val="24"/>
          <w:szCs w:val="24"/>
        </w:rPr>
        <w:t>Qiu</w:t>
      </w:r>
      <w:proofErr w:type="spellEnd"/>
      <w:r w:rsidRPr="00F73301">
        <w:rPr>
          <w:rFonts w:ascii="Times New Roman" w:hAnsi="Times New Roman" w:cs="Times New Roman"/>
          <w:sz w:val="24"/>
          <w:szCs w:val="24"/>
        </w:rPr>
        <w:t xml:space="preserve"> </w:t>
      </w:r>
      <w:proofErr w:type="spellStart"/>
      <w:r w:rsidRPr="00F73301">
        <w:rPr>
          <w:rFonts w:ascii="Times New Roman" w:hAnsi="Times New Roman" w:cs="Times New Roman"/>
          <w:sz w:val="24"/>
          <w:szCs w:val="24"/>
        </w:rPr>
        <w:t>Songjie</w:t>
      </w:r>
      <w:proofErr w:type="spellEnd"/>
      <w:r w:rsidRPr="00F73301">
        <w:rPr>
          <w:rFonts w:ascii="Times New Roman" w:hAnsi="Times New Roman" w:cs="Times New Roman"/>
          <w:sz w:val="24"/>
          <w:szCs w:val="24"/>
        </w:rPr>
        <w:t xml:space="preserve">, Yi </w:t>
      </w:r>
      <w:proofErr w:type="spellStart"/>
      <w:r w:rsidRPr="00F73301">
        <w:rPr>
          <w:rFonts w:ascii="Times New Roman" w:hAnsi="Times New Roman" w:cs="Times New Roman"/>
          <w:sz w:val="24"/>
          <w:szCs w:val="24"/>
        </w:rPr>
        <w:t>Wenjie</w:t>
      </w:r>
      <w:proofErr w:type="spellEnd"/>
      <w:r w:rsidRPr="00F73301">
        <w:rPr>
          <w:rFonts w:ascii="Times New Roman" w:hAnsi="Times New Roman" w:cs="Times New Roman"/>
          <w:sz w:val="24"/>
          <w:szCs w:val="24"/>
        </w:rPr>
        <w:t xml:space="preserve">, and He Yi, and that the members of the Supervisory Committee would be changed to Liu </w:t>
      </w:r>
      <w:proofErr w:type="spellStart"/>
      <w:r w:rsidRPr="00F73301">
        <w:rPr>
          <w:rFonts w:ascii="Times New Roman" w:hAnsi="Times New Roman" w:cs="Times New Roman"/>
          <w:sz w:val="24"/>
          <w:szCs w:val="24"/>
        </w:rPr>
        <w:t>Danfeng</w:t>
      </w:r>
      <w:proofErr w:type="spellEnd"/>
      <w:r w:rsidRPr="00F73301">
        <w:rPr>
          <w:rFonts w:ascii="Times New Roman" w:hAnsi="Times New Roman" w:cs="Times New Roman"/>
          <w:sz w:val="24"/>
          <w:szCs w:val="24"/>
        </w:rPr>
        <w:t xml:space="preserve">, Hua Wei, and Long Zhang. </w:t>
      </w:r>
      <w:proofErr w:type="spellStart"/>
      <w:r w:rsidRPr="00F73301">
        <w:rPr>
          <w:rFonts w:ascii="Times New Roman" w:hAnsi="Times New Roman" w:cs="Times New Roman"/>
          <w:sz w:val="24"/>
          <w:szCs w:val="24"/>
        </w:rPr>
        <w:t>Chuwei</w:t>
      </w:r>
      <w:proofErr w:type="spellEnd"/>
      <w:r w:rsidRPr="00F73301">
        <w:rPr>
          <w:rFonts w:ascii="Times New Roman" w:hAnsi="Times New Roman" w:cs="Times New Roman"/>
          <w:sz w:val="24"/>
          <w:szCs w:val="24"/>
        </w:rPr>
        <w:t xml:space="preserve"> Semiconductor completed the registration of the relevant industrial and commercial changes on March 31, 2023.</w:t>
      </w:r>
    </w:p>
    <w:p w14:paraId="1E2F17FE" w14:textId="77777777" w:rsidR="006B66B7" w:rsidRPr="00F73301" w:rsidRDefault="002349C6" w:rsidP="00F73301">
      <w:pPr>
        <w:snapToGrid w:val="0"/>
        <w:spacing w:beforeLines="50" w:before="156" w:afterLines="50" w:after="156"/>
        <w:rPr>
          <w:rFonts w:ascii="Times New Roman" w:hAnsi="Times New Roman" w:cs="Times New Roman"/>
          <w:sz w:val="24"/>
          <w:szCs w:val="24"/>
        </w:rPr>
      </w:pPr>
      <w:r w:rsidRPr="00F73301">
        <w:rPr>
          <w:rFonts w:ascii="Times New Roman" w:hAnsi="Times New Roman" w:cs="Times New Roman"/>
          <w:sz w:val="24"/>
          <w:szCs w:val="24"/>
        </w:rPr>
        <w:br w:type="page"/>
      </w:r>
    </w:p>
    <w:p w14:paraId="0FB8354E" w14:textId="77777777" w:rsidR="006B66B7" w:rsidRPr="00F73301" w:rsidRDefault="002349C6" w:rsidP="008C49B7">
      <w:pPr>
        <w:pStyle w:val="headingh1"/>
      </w:pPr>
      <w:bookmarkStart w:id="83" w:name="_Toc988971"/>
      <w:r w:rsidRPr="00F73301">
        <w:lastRenderedPageBreak/>
        <w:t>Section VII Share Changes and Shareholder Status</w:t>
      </w:r>
      <w:bookmarkEnd w:id="83"/>
    </w:p>
    <w:p w14:paraId="28E1B67F" w14:textId="77777777" w:rsidR="006B66B7" w:rsidRPr="00F73301" w:rsidRDefault="002349C6" w:rsidP="008C49B7">
      <w:pPr>
        <w:pStyle w:val="2"/>
      </w:pPr>
      <w:bookmarkStart w:id="84" w:name="_Toc988972"/>
      <w:r w:rsidRPr="00F73301">
        <w:t>I. Share Changes</w:t>
      </w:r>
      <w:bookmarkEnd w:id="84"/>
    </w:p>
    <w:p w14:paraId="7622F2B6" w14:textId="77777777" w:rsidR="006B66B7" w:rsidRPr="00F73301" w:rsidRDefault="002349C6" w:rsidP="008C49B7">
      <w:pPr>
        <w:pStyle w:val="3"/>
      </w:pPr>
      <w:bookmarkStart w:id="85" w:name="_Toc988973"/>
      <w:r w:rsidRPr="00F73301">
        <w:t>1. Share changes</w:t>
      </w:r>
      <w:bookmarkEnd w:id="85"/>
    </w:p>
    <w:p w14:paraId="35C62262"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Share</w:t>
      </w:r>
    </w:p>
    <w:tbl>
      <w:tblPr>
        <w:tblW w:w="992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253"/>
        <w:gridCol w:w="964"/>
        <w:gridCol w:w="964"/>
        <w:gridCol w:w="964"/>
        <w:gridCol w:w="964"/>
        <w:gridCol w:w="964"/>
        <w:gridCol w:w="964"/>
        <w:gridCol w:w="964"/>
        <w:gridCol w:w="964"/>
        <w:gridCol w:w="964"/>
      </w:tblGrid>
      <w:tr w:rsidR="006B66B7" w:rsidRPr="008C49B7" w14:paraId="476323D7" w14:textId="77777777" w:rsidTr="00FC2420">
        <w:trPr>
          <w:jc w:val="center"/>
        </w:trPr>
        <w:tc>
          <w:tcPr>
            <w:tcW w:w="125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21E398" w14:textId="77777777" w:rsidR="006B66B7" w:rsidRPr="008C49B7" w:rsidRDefault="006B66B7" w:rsidP="008C49B7">
            <w:pPr>
              <w:snapToGrid w:val="0"/>
              <w:rPr>
                <w:rFonts w:ascii="Times New Roman" w:hAnsi="Times New Roman" w:cs="Times New Roman"/>
                <w:sz w:val="18"/>
                <w:szCs w:val="18"/>
              </w:rPr>
            </w:pP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824F77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Before the change</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D36616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Increase/decrease of the change (+, -)</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A42953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After the change</w:t>
            </w:r>
          </w:p>
        </w:tc>
      </w:tr>
      <w:tr w:rsidR="006B66B7" w:rsidRPr="008C49B7" w14:paraId="7E3ED823" w14:textId="77777777" w:rsidTr="00FC2420">
        <w:trPr>
          <w:jc w:val="center"/>
        </w:trPr>
        <w:tc>
          <w:tcPr>
            <w:tcW w:w="125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62C62C" w14:textId="77777777" w:rsidR="006B66B7" w:rsidRPr="008C49B7" w:rsidRDefault="006B66B7" w:rsidP="008C49B7">
            <w:pPr>
              <w:snapToGrid w:val="0"/>
              <w:rPr>
                <w:rFonts w:ascii="Times New Roman"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5596260"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Number</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11FAEED"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Percentage</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786A0D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New shares issued</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2D4999E"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Bonus issue</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116098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Shares converted from capital reserve</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577822A"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Others</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4C9591B"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Subtotal</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B6C2991"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Number</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F83617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Percentage</w:t>
            </w:r>
          </w:p>
        </w:tc>
      </w:tr>
      <w:tr w:rsidR="006B66B7" w:rsidRPr="008C49B7" w14:paraId="2543BD7F"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4BF6A29C"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 Shares Subject to Selling Restrictions</w:t>
            </w:r>
          </w:p>
        </w:tc>
        <w:tc>
          <w:tcPr>
            <w:tcW w:w="964" w:type="dxa"/>
            <w:tcBorders>
              <w:top w:val="single" w:sz="2" w:space="0" w:color="auto"/>
              <w:left w:val="single" w:sz="2" w:space="0" w:color="auto"/>
              <w:bottom w:val="single" w:sz="2" w:space="0" w:color="auto"/>
              <w:right w:val="single" w:sz="2" w:space="0" w:color="auto"/>
            </w:tcBorders>
            <w:vAlign w:val="center"/>
          </w:tcPr>
          <w:p w14:paraId="4FC92A1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1,050,302</w:t>
            </w:r>
          </w:p>
        </w:tc>
        <w:tc>
          <w:tcPr>
            <w:tcW w:w="964" w:type="dxa"/>
            <w:tcBorders>
              <w:top w:val="single" w:sz="2" w:space="0" w:color="auto"/>
              <w:left w:val="single" w:sz="2" w:space="0" w:color="auto"/>
              <w:bottom w:val="single" w:sz="2" w:space="0" w:color="auto"/>
              <w:right w:val="single" w:sz="2" w:space="0" w:color="auto"/>
            </w:tcBorders>
            <w:vAlign w:val="center"/>
          </w:tcPr>
          <w:p w14:paraId="7360920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0.20%</w:t>
            </w:r>
          </w:p>
        </w:tc>
        <w:tc>
          <w:tcPr>
            <w:tcW w:w="964" w:type="dxa"/>
            <w:tcBorders>
              <w:top w:val="single" w:sz="2" w:space="0" w:color="auto"/>
              <w:left w:val="single" w:sz="2" w:space="0" w:color="auto"/>
              <w:bottom w:val="single" w:sz="2" w:space="0" w:color="auto"/>
              <w:right w:val="single" w:sz="2" w:space="0" w:color="auto"/>
            </w:tcBorders>
            <w:vAlign w:val="center"/>
          </w:tcPr>
          <w:p w14:paraId="5ACE7F3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EF434A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993ECC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AEFD53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DD3F5B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786AA8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1,050,302</w:t>
            </w:r>
          </w:p>
        </w:tc>
        <w:tc>
          <w:tcPr>
            <w:tcW w:w="964" w:type="dxa"/>
            <w:tcBorders>
              <w:top w:val="single" w:sz="2" w:space="0" w:color="auto"/>
              <w:left w:val="single" w:sz="2" w:space="0" w:color="auto"/>
              <w:bottom w:val="single" w:sz="2" w:space="0" w:color="auto"/>
              <w:right w:val="single" w:sz="2" w:space="0" w:color="auto"/>
            </w:tcBorders>
            <w:vAlign w:val="center"/>
          </w:tcPr>
          <w:p w14:paraId="7448BB3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0.19%</w:t>
            </w:r>
          </w:p>
        </w:tc>
      </w:tr>
      <w:tr w:rsidR="006B66B7" w:rsidRPr="008C49B7" w14:paraId="5BE2A105"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32C97CBE" w14:textId="77777777" w:rsidR="006B66B7" w:rsidRPr="008C49B7" w:rsidRDefault="002349C6" w:rsidP="008C49B7">
            <w:pPr>
              <w:snapToGrid w:val="0"/>
              <w:ind w:firstLineChars="100" w:firstLine="180"/>
              <w:rPr>
                <w:rFonts w:ascii="Times New Roman" w:eastAsia="宋体" w:hAnsi="Times New Roman" w:cs="Times New Roman"/>
                <w:sz w:val="18"/>
                <w:szCs w:val="18"/>
              </w:rPr>
            </w:pPr>
            <w:r w:rsidRPr="008C49B7">
              <w:rPr>
                <w:rFonts w:ascii="Times New Roman" w:eastAsia="宋体" w:hAnsi="Times New Roman" w:cs="Times New Roman"/>
                <w:sz w:val="18"/>
                <w:szCs w:val="18"/>
              </w:rPr>
              <w:t>1. State-held shares</w:t>
            </w:r>
          </w:p>
        </w:tc>
        <w:tc>
          <w:tcPr>
            <w:tcW w:w="964" w:type="dxa"/>
            <w:tcBorders>
              <w:top w:val="single" w:sz="2" w:space="0" w:color="auto"/>
              <w:left w:val="single" w:sz="2" w:space="0" w:color="auto"/>
              <w:bottom w:val="single" w:sz="2" w:space="0" w:color="auto"/>
              <w:right w:val="single" w:sz="2" w:space="0" w:color="auto"/>
            </w:tcBorders>
            <w:vAlign w:val="center"/>
          </w:tcPr>
          <w:p w14:paraId="76C3431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BF0A5F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1A1ABC0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EAC629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64DF81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8346D8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E5A39E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66BD10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13F7E7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717A257C"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20483335" w14:textId="77777777" w:rsidR="006B66B7" w:rsidRPr="008C49B7" w:rsidRDefault="002349C6" w:rsidP="008C49B7">
            <w:pPr>
              <w:snapToGrid w:val="0"/>
              <w:ind w:firstLineChars="100" w:firstLine="180"/>
              <w:rPr>
                <w:rFonts w:ascii="Times New Roman" w:eastAsia="宋体" w:hAnsi="Times New Roman" w:cs="Times New Roman"/>
                <w:sz w:val="18"/>
                <w:szCs w:val="18"/>
              </w:rPr>
            </w:pPr>
            <w:r w:rsidRPr="008C49B7">
              <w:rPr>
                <w:rFonts w:ascii="Times New Roman" w:eastAsia="宋体" w:hAnsi="Times New Roman" w:cs="Times New Roman"/>
                <w:sz w:val="18"/>
                <w:szCs w:val="18"/>
              </w:rPr>
              <w:t>2. Shares held by state-owned legal person</w:t>
            </w:r>
          </w:p>
        </w:tc>
        <w:tc>
          <w:tcPr>
            <w:tcW w:w="964" w:type="dxa"/>
            <w:tcBorders>
              <w:top w:val="single" w:sz="2" w:space="0" w:color="auto"/>
              <w:left w:val="single" w:sz="2" w:space="0" w:color="auto"/>
              <w:bottom w:val="single" w:sz="2" w:space="0" w:color="auto"/>
              <w:right w:val="single" w:sz="2" w:space="0" w:color="auto"/>
            </w:tcBorders>
            <w:vAlign w:val="center"/>
          </w:tcPr>
          <w:p w14:paraId="0CE12B6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54BF72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3E544A2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2ACED7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F1DE1E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86FB98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12C3D0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92E84C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8A9499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23DE9D91"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75FD063F" w14:textId="77777777" w:rsidR="006B66B7" w:rsidRPr="008C49B7" w:rsidRDefault="002349C6" w:rsidP="008C49B7">
            <w:pPr>
              <w:snapToGrid w:val="0"/>
              <w:ind w:firstLineChars="100" w:firstLine="180"/>
              <w:rPr>
                <w:rFonts w:ascii="Times New Roman" w:eastAsia="宋体" w:hAnsi="Times New Roman" w:cs="Times New Roman"/>
                <w:sz w:val="18"/>
                <w:szCs w:val="18"/>
              </w:rPr>
            </w:pPr>
            <w:r w:rsidRPr="008C49B7">
              <w:rPr>
                <w:rFonts w:ascii="Times New Roman" w:eastAsia="宋体" w:hAnsi="Times New Roman" w:cs="Times New Roman"/>
                <w:sz w:val="18"/>
                <w:szCs w:val="18"/>
              </w:rPr>
              <w:t>3. Other domestically held shares</w:t>
            </w:r>
          </w:p>
        </w:tc>
        <w:tc>
          <w:tcPr>
            <w:tcW w:w="964" w:type="dxa"/>
            <w:tcBorders>
              <w:top w:val="single" w:sz="2" w:space="0" w:color="auto"/>
              <w:left w:val="single" w:sz="2" w:space="0" w:color="auto"/>
              <w:bottom w:val="single" w:sz="2" w:space="0" w:color="auto"/>
              <w:right w:val="single" w:sz="2" w:space="0" w:color="auto"/>
            </w:tcBorders>
            <w:vAlign w:val="center"/>
          </w:tcPr>
          <w:p w14:paraId="06E5970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1,050,302</w:t>
            </w:r>
          </w:p>
        </w:tc>
        <w:tc>
          <w:tcPr>
            <w:tcW w:w="964" w:type="dxa"/>
            <w:tcBorders>
              <w:top w:val="single" w:sz="2" w:space="0" w:color="auto"/>
              <w:left w:val="single" w:sz="2" w:space="0" w:color="auto"/>
              <w:bottom w:val="single" w:sz="2" w:space="0" w:color="auto"/>
              <w:right w:val="single" w:sz="2" w:space="0" w:color="auto"/>
            </w:tcBorders>
            <w:vAlign w:val="center"/>
          </w:tcPr>
          <w:p w14:paraId="30DE951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0.20%</w:t>
            </w:r>
          </w:p>
        </w:tc>
        <w:tc>
          <w:tcPr>
            <w:tcW w:w="964" w:type="dxa"/>
            <w:tcBorders>
              <w:top w:val="single" w:sz="2" w:space="0" w:color="auto"/>
              <w:left w:val="single" w:sz="2" w:space="0" w:color="auto"/>
              <w:bottom w:val="single" w:sz="2" w:space="0" w:color="auto"/>
              <w:right w:val="single" w:sz="2" w:space="0" w:color="auto"/>
            </w:tcBorders>
            <w:vAlign w:val="center"/>
          </w:tcPr>
          <w:p w14:paraId="6609A49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AFCE30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29EE5D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4E3BEC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01A73C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1D8FF9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1,050,302</w:t>
            </w:r>
          </w:p>
        </w:tc>
        <w:tc>
          <w:tcPr>
            <w:tcW w:w="964" w:type="dxa"/>
            <w:tcBorders>
              <w:top w:val="single" w:sz="2" w:space="0" w:color="auto"/>
              <w:left w:val="single" w:sz="2" w:space="0" w:color="auto"/>
              <w:bottom w:val="single" w:sz="2" w:space="0" w:color="auto"/>
              <w:right w:val="single" w:sz="2" w:space="0" w:color="auto"/>
            </w:tcBorders>
            <w:vAlign w:val="center"/>
          </w:tcPr>
          <w:p w14:paraId="0CD35E8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0.19%</w:t>
            </w:r>
          </w:p>
        </w:tc>
      </w:tr>
      <w:tr w:rsidR="006B66B7" w:rsidRPr="008C49B7" w14:paraId="064A92DC"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2E4F7774" w14:textId="77777777" w:rsidR="006B66B7" w:rsidRPr="008C49B7" w:rsidRDefault="002349C6" w:rsidP="008C49B7">
            <w:pPr>
              <w:snapToGrid w:val="0"/>
              <w:ind w:firstLineChars="200" w:firstLine="360"/>
              <w:rPr>
                <w:rFonts w:ascii="Times New Roman" w:eastAsia="宋体" w:hAnsi="Times New Roman" w:cs="Times New Roman"/>
                <w:sz w:val="18"/>
                <w:szCs w:val="18"/>
              </w:rPr>
            </w:pPr>
            <w:r w:rsidRPr="008C49B7">
              <w:rPr>
                <w:rFonts w:ascii="Times New Roman" w:eastAsia="宋体" w:hAnsi="Times New Roman" w:cs="Times New Roman"/>
                <w:sz w:val="18"/>
                <w:szCs w:val="18"/>
              </w:rPr>
              <w:t>Including: Shares held by domestic legal person</w:t>
            </w:r>
          </w:p>
        </w:tc>
        <w:tc>
          <w:tcPr>
            <w:tcW w:w="964" w:type="dxa"/>
            <w:tcBorders>
              <w:top w:val="single" w:sz="2" w:space="0" w:color="auto"/>
              <w:left w:val="single" w:sz="2" w:space="0" w:color="auto"/>
              <w:bottom w:val="single" w:sz="2" w:space="0" w:color="auto"/>
              <w:right w:val="single" w:sz="2" w:space="0" w:color="auto"/>
            </w:tcBorders>
            <w:vAlign w:val="center"/>
          </w:tcPr>
          <w:p w14:paraId="39A6645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F638D0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6927482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308A40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D88F3B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9FB5BA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AF8B04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190332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406DC9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402877A3"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75F0C641" w14:textId="77777777" w:rsidR="006B66B7" w:rsidRPr="008C49B7" w:rsidRDefault="002349C6" w:rsidP="008C49B7">
            <w:pPr>
              <w:snapToGrid w:val="0"/>
              <w:ind w:firstLineChars="200" w:firstLine="360"/>
              <w:rPr>
                <w:rFonts w:ascii="Times New Roman" w:eastAsia="宋体" w:hAnsi="Times New Roman" w:cs="Times New Roman"/>
                <w:sz w:val="18"/>
                <w:szCs w:val="18"/>
              </w:rPr>
            </w:pPr>
            <w:r w:rsidRPr="008C49B7">
              <w:rPr>
                <w:rFonts w:ascii="Times New Roman" w:eastAsia="宋体" w:hAnsi="Times New Roman" w:cs="Times New Roman"/>
                <w:sz w:val="18"/>
                <w:szCs w:val="18"/>
              </w:rPr>
              <w:t>Shares held by domestic natural person</w:t>
            </w:r>
          </w:p>
        </w:tc>
        <w:tc>
          <w:tcPr>
            <w:tcW w:w="964" w:type="dxa"/>
            <w:tcBorders>
              <w:top w:val="single" w:sz="2" w:space="0" w:color="auto"/>
              <w:left w:val="single" w:sz="2" w:space="0" w:color="auto"/>
              <w:bottom w:val="single" w:sz="2" w:space="0" w:color="auto"/>
              <w:right w:val="single" w:sz="2" w:space="0" w:color="auto"/>
            </w:tcBorders>
            <w:vAlign w:val="center"/>
          </w:tcPr>
          <w:p w14:paraId="30F29EA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1,050,302</w:t>
            </w:r>
          </w:p>
        </w:tc>
        <w:tc>
          <w:tcPr>
            <w:tcW w:w="964" w:type="dxa"/>
            <w:tcBorders>
              <w:top w:val="single" w:sz="2" w:space="0" w:color="auto"/>
              <w:left w:val="single" w:sz="2" w:space="0" w:color="auto"/>
              <w:bottom w:val="single" w:sz="2" w:space="0" w:color="auto"/>
              <w:right w:val="single" w:sz="2" w:space="0" w:color="auto"/>
            </w:tcBorders>
            <w:vAlign w:val="center"/>
          </w:tcPr>
          <w:p w14:paraId="66BC596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0.20%</w:t>
            </w:r>
          </w:p>
        </w:tc>
        <w:tc>
          <w:tcPr>
            <w:tcW w:w="964" w:type="dxa"/>
            <w:tcBorders>
              <w:top w:val="single" w:sz="2" w:space="0" w:color="auto"/>
              <w:left w:val="single" w:sz="2" w:space="0" w:color="auto"/>
              <w:bottom w:val="single" w:sz="2" w:space="0" w:color="auto"/>
              <w:right w:val="single" w:sz="2" w:space="0" w:color="auto"/>
            </w:tcBorders>
            <w:vAlign w:val="center"/>
          </w:tcPr>
          <w:p w14:paraId="62BFD41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43824E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8EBEA9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D93595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8D6C76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2ABA26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1,050,302</w:t>
            </w:r>
          </w:p>
        </w:tc>
        <w:tc>
          <w:tcPr>
            <w:tcW w:w="964" w:type="dxa"/>
            <w:tcBorders>
              <w:top w:val="single" w:sz="2" w:space="0" w:color="auto"/>
              <w:left w:val="single" w:sz="2" w:space="0" w:color="auto"/>
              <w:bottom w:val="single" w:sz="2" w:space="0" w:color="auto"/>
              <w:right w:val="single" w:sz="2" w:space="0" w:color="auto"/>
            </w:tcBorders>
            <w:vAlign w:val="center"/>
          </w:tcPr>
          <w:p w14:paraId="0D819B1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0.19%</w:t>
            </w:r>
          </w:p>
        </w:tc>
      </w:tr>
      <w:tr w:rsidR="006B66B7" w:rsidRPr="008C49B7" w14:paraId="748CE3C5"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6B82795C" w14:textId="77777777" w:rsidR="006B66B7" w:rsidRPr="008C49B7" w:rsidRDefault="002349C6" w:rsidP="008C49B7">
            <w:pPr>
              <w:snapToGrid w:val="0"/>
              <w:ind w:firstLineChars="100" w:firstLine="180"/>
              <w:rPr>
                <w:rFonts w:ascii="Times New Roman" w:eastAsia="宋体" w:hAnsi="Times New Roman" w:cs="Times New Roman"/>
                <w:sz w:val="18"/>
                <w:szCs w:val="18"/>
              </w:rPr>
            </w:pPr>
            <w:r w:rsidRPr="008C49B7">
              <w:rPr>
                <w:rFonts w:ascii="Times New Roman" w:eastAsia="宋体" w:hAnsi="Times New Roman" w:cs="Times New Roman"/>
                <w:sz w:val="18"/>
                <w:szCs w:val="18"/>
              </w:rPr>
              <w:t>4. Foreign-held shares</w:t>
            </w:r>
          </w:p>
        </w:tc>
        <w:tc>
          <w:tcPr>
            <w:tcW w:w="964" w:type="dxa"/>
            <w:tcBorders>
              <w:top w:val="single" w:sz="2" w:space="0" w:color="auto"/>
              <w:left w:val="single" w:sz="2" w:space="0" w:color="auto"/>
              <w:bottom w:val="single" w:sz="2" w:space="0" w:color="auto"/>
              <w:right w:val="single" w:sz="2" w:space="0" w:color="auto"/>
            </w:tcBorders>
            <w:vAlign w:val="center"/>
          </w:tcPr>
          <w:p w14:paraId="0776B3C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FDB04B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40501E1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C9F5B4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87CB2F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2EA8C3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B11F5B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B0B6DB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07D5E0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0A0D198F"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5C0AE35E" w14:textId="77777777" w:rsidR="006B66B7" w:rsidRPr="008C49B7" w:rsidRDefault="002349C6" w:rsidP="008C49B7">
            <w:pPr>
              <w:snapToGrid w:val="0"/>
              <w:ind w:firstLineChars="200" w:firstLine="360"/>
              <w:rPr>
                <w:rFonts w:ascii="Times New Roman" w:eastAsia="宋体" w:hAnsi="Times New Roman" w:cs="Times New Roman"/>
                <w:sz w:val="18"/>
                <w:szCs w:val="18"/>
              </w:rPr>
            </w:pPr>
            <w:r w:rsidRPr="008C49B7">
              <w:rPr>
                <w:rFonts w:ascii="Times New Roman" w:eastAsia="宋体" w:hAnsi="Times New Roman" w:cs="Times New Roman"/>
                <w:sz w:val="18"/>
                <w:szCs w:val="18"/>
              </w:rPr>
              <w:t>Including: Shares held by offshore legal person</w:t>
            </w:r>
          </w:p>
        </w:tc>
        <w:tc>
          <w:tcPr>
            <w:tcW w:w="964" w:type="dxa"/>
            <w:tcBorders>
              <w:top w:val="single" w:sz="2" w:space="0" w:color="auto"/>
              <w:left w:val="single" w:sz="2" w:space="0" w:color="auto"/>
              <w:bottom w:val="single" w:sz="2" w:space="0" w:color="auto"/>
              <w:right w:val="single" w:sz="2" w:space="0" w:color="auto"/>
            </w:tcBorders>
            <w:vAlign w:val="center"/>
          </w:tcPr>
          <w:p w14:paraId="28C16F1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FCF3B9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6C2EDEB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D22BC7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8A40A1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824531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495B7A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EB2A6D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6B7F3B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6450E508"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339A3C6C" w14:textId="77777777" w:rsidR="006B66B7" w:rsidRPr="008C49B7" w:rsidRDefault="002349C6" w:rsidP="008C49B7">
            <w:pPr>
              <w:snapToGrid w:val="0"/>
              <w:ind w:firstLineChars="200" w:firstLine="360"/>
              <w:rPr>
                <w:rFonts w:ascii="Times New Roman" w:eastAsia="宋体" w:hAnsi="Times New Roman" w:cs="Times New Roman"/>
                <w:sz w:val="18"/>
                <w:szCs w:val="18"/>
              </w:rPr>
            </w:pPr>
            <w:r w:rsidRPr="008C49B7">
              <w:rPr>
                <w:rFonts w:ascii="Times New Roman" w:eastAsia="宋体" w:hAnsi="Times New Roman" w:cs="Times New Roman"/>
                <w:sz w:val="18"/>
                <w:szCs w:val="18"/>
              </w:rPr>
              <w:t>Shares held by offshore natural person</w:t>
            </w:r>
          </w:p>
        </w:tc>
        <w:tc>
          <w:tcPr>
            <w:tcW w:w="964" w:type="dxa"/>
            <w:tcBorders>
              <w:top w:val="single" w:sz="2" w:space="0" w:color="auto"/>
              <w:left w:val="single" w:sz="2" w:space="0" w:color="auto"/>
              <w:bottom w:val="single" w:sz="2" w:space="0" w:color="auto"/>
              <w:right w:val="single" w:sz="2" w:space="0" w:color="auto"/>
            </w:tcBorders>
            <w:vAlign w:val="center"/>
          </w:tcPr>
          <w:p w14:paraId="3F0CBAE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66BD8B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526583F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B83E63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E234C6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B37F54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CC8513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BDFC6C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2DA85E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1CF4C31C"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0E6F617D"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II. Shares not Subject to Selling Restrictions</w:t>
            </w:r>
          </w:p>
        </w:tc>
        <w:tc>
          <w:tcPr>
            <w:tcW w:w="964" w:type="dxa"/>
            <w:tcBorders>
              <w:top w:val="single" w:sz="2" w:space="0" w:color="auto"/>
              <w:left w:val="single" w:sz="2" w:space="0" w:color="auto"/>
              <w:bottom w:val="single" w:sz="2" w:space="0" w:color="auto"/>
              <w:right w:val="single" w:sz="2" w:space="0" w:color="auto"/>
            </w:tcBorders>
            <w:vAlign w:val="center"/>
          </w:tcPr>
          <w:p w14:paraId="61FBBC5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511,722,485</w:t>
            </w:r>
          </w:p>
        </w:tc>
        <w:tc>
          <w:tcPr>
            <w:tcW w:w="964" w:type="dxa"/>
            <w:tcBorders>
              <w:top w:val="single" w:sz="2" w:space="0" w:color="auto"/>
              <w:left w:val="single" w:sz="2" w:space="0" w:color="auto"/>
              <w:bottom w:val="single" w:sz="2" w:space="0" w:color="auto"/>
              <w:right w:val="single" w:sz="2" w:space="0" w:color="auto"/>
            </w:tcBorders>
            <w:vAlign w:val="center"/>
          </w:tcPr>
          <w:p w14:paraId="117658B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99.80%</w:t>
            </w:r>
          </w:p>
        </w:tc>
        <w:tc>
          <w:tcPr>
            <w:tcW w:w="964" w:type="dxa"/>
            <w:tcBorders>
              <w:top w:val="single" w:sz="2" w:space="0" w:color="auto"/>
              <w:left w:val="single" w:sz="2" w:space="0" w:color="auto"/>
              <w:bottom w:val="single" w:sz="2" w:space="0" w:color="auto"/>
              <w:right w:val="single" w:sz="2" w:space="0" w:color="auto"/>
            </w:tcBorders>
            <w:vAlign w:val="center"/>
          </w:tcPr>
          <w:p w14:paraId="0435190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28,679,000</w:t>
            </w:r>
          </w:p>
        </w:tc>
        <w:tc>
          <w:tcPr>
            <w:tcW w:w="964" w:type="dxa"/>
            <w:tcBorders>
              <w:top w:val="single" w:sz="2" w:space="0" w:color="auto"/>
              <w:left w:val="single" w:sz="2" w:space="0" w:color="auto"/>
              <w:bottom w:val="single" w:sz="2" w:space="0" w:color="auto"/>
              <w:right w:val="single" w:sz="2" w:space="0" w:color="auto"/>
            </w:tcBorders>
            <w:vAlign w:val="center"/>
          </w:tcPr>
          <w:p w14:paraId="040EDBA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90D0D3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4C04994"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FD3636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28,679,000</w:t>
            </w:r>
          </w:p>
        </w:tc>
        <w:tc>
          <w:tcPr>
            <w:tcW w:w="964" w:type="dxa"/>
            <w:tcBorders>
              <w:top w:val="single" w:sz="2" w:space="0" w:color="auto"/>
              <w:left w:val="single" w:sz="2" w:space="0" w:color="auto"/>
              <w:bottom w:val="single" w:sz="2" w:space="0" w:color="auto"/>
              <w:right w:val="single" w:sz="2" w:space="0" w:color="auto"/>
            </w:tcBorders>
            <w:vAlign w:val="center"/>
          </w:tcPr>
          <w:p w14:paraId="5B98EF1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540,401,485</w:t>
            </w:r>
          </w:p>
        </w:tc>
        <w:tc>
          <w:tcPr>
            <w:tcW w:w="964" w:type="dxa"/>
            <w:tcBorders>
              <w:top w:val="single" w:sz="2" w:space="0" w:color="auto"/>
              <w:left w:val="single" w:sz="2" w:space="0" w:color="auto"/>
              <w:bottom w:val="single" w:sz="2" w:space="0" w:color="auto"/>
              <w:right w:val="single" w:sz="2" w:space="0" w:color="auto"/>
            </w:tcBorders>
            <w:vAlign w:val="center"/>
          </w:tcPr>
          <w:p w14:paraId="1519E1B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99.81%</w:t>
            </w:r>
          </w:p>
        </w:tc>
      </w:tr>
      <w:tr w:rsidR="006B66B7" w:rsidRPr="008C49B7" w14:paraId="6F9D0E35"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74EDC14A" w14:textId="77777777" w:rsidR="006B66B7" w:rsidRPr="008C49B7" w:rsidRDefault="002349C6" w:rsidP="008C49B7">
            <w:pPr>
              <w:snapToGrid w:val="0"/>
              <w:ind w:firstLineChars="100" w:firstLine="180"/>
              <w:rPr>
                <w:rFonts w:ascii="Times New Roman" w:eastAsia="宋体" w:hAnsi="Times New Roman" w:cs="Times New Roman"/>
                <w:sz w:val="18"/>
                <w:szCs w:val="18"/>
              </w:rPr>
            </w:pPr>
            <w:r w:rsidRPr="008C49B7">
              <w:rPr>
                <w:rFonts w:ascii="Times New Roman" w:eastAsia="宋体" w:hAnsi="Times New Roman" w:cs="Times New Roman"/>
                <w:sz w:val="18"/>
                <w:szCs w:val="18"/>
              </w:rPr>
              <w:t>1. RMB ordinary shares</w:t>
            </w:r>
          </w:p>
        </w:tc>
        <w:tc>
          <w:tcPr>
            <w:tcW w:w="964" w:type="dxa"/>
            <w:tcBorders>
              <w:top w:val="single" w:sz="2" w:space="0" w:color="auto"/>
              <w:left w:val="single" w:sz="2" w:space="0" w:color="auto"/>
              <w:bottom w:val="single" w:sz="2" w:space="0" w:color="auto"/>
              <w:right w:val="single" w:sz="2" w:space="0" w:color="auto"/>
            </w:tcBorders>
            <w:vAlign w:val="center"/>
          </w:tcPr>
          <w:p w14:paraId="601D35F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511,722,485</w:t>
            </w:r>
          </w:p>
        </w:tc>
        <w:tc>
          <w:tcPr>
            <w:tcW w:w="964" w:type="dxa"/>
            <w:tcBorders>
              <w:top w:val="single" w:sz="2" w:space="0" w:color="auto"/>
              <w:left w:val="single" w:sz="2" w:space="0" w:color="auto"/>
              <w:bottom w:val="single" w:sz="2" w:space="0" w:color="auto"/>
              <w:right w:val="single" w:sz="2" w:space="0" w:color="auto"/>
            </w:tcBorders>
            <w:vAlign w:val="center"/>
          </w:tcPr>
          <w:p w14:paraId="5BABDE6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99.80%</w:t>
            </w:r>
          </w:p>
        </w:tc>
        <w:tc>
          <w:tcPr>
            <w:tcW w:w="964" w:type="dxa"/>
            <w:tcBorders>
              <w:top w:val="single" w:sz="2" w:space="0" w:color="auto"/>
              <w:left w:val="single" w:sz="2" w:space="0" w:color="auto"/>
              <w:bottom w:val="single" w:sz="2" w:space="0" w:color="auto"/>
              <w:right w:val="single" w:sz="2" w:space="0" w:color="auto"/>
            </w:tcBorders>
            <w:vAlign w:val="center"/>
          </w:tcPr>
          <w:p w14:paraId="6B81076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28,679,000</w:t>
            </w:r>
          </w:p>
        </w:tc>
        <w:tc>
          <w:tcPr>
            <w:tcW w:w="964" w:type="dxa"/>
            <w:tcBorders>
              <w:top w:val="single" w:sz="2" w:space="0" w:color="auto"/>
              <w:left w:val="single" w:sz="2" w:space="0" w:color="auto"/>
              <w:bottom w:val="single" w:sz="2" w:space="0" w:color="auto"/>
              <w:right w:val="single" w:sz="2" w:space="0" w:color="auto"/>
            </w:tcBorders>
            <w:vAlign w:val="center"/>
          </w:tcPr>
          <w:p w14:paraId="5006451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B95B6F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998BDE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3BA2C2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28,679,000</w:t>
            </w:r>
          </w:p>
        </w:tc>
        <w:tc>
          <w:tcPr>
            <w:tcW w:w="964" w:type="dxa"/>
            <w:tcBorders>
              <w:top w:val="single" w:sz="2" w:space="0" w:color="auto"/>
              <w:left w:val="single" w:sz="2" w:space="0" w:color="auto"/>
              <w:bottom w:val="single" w:sz="2" w:space="0" w:color="auto"/>
              <w:right w:val="single" w:sz="2" w:space="0" w:color="auto"/>
            </w:tcBorders>
            <w:vAlign w:val="center"/>
          </w:tcPr>
          <w:p w14:paraId="283C707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540,401,485</w:t>
            </w:r>
          </w:p>
        </w:tc>
        <w:tc>
          <w:tcPr>
            <w:tcW w:w="964" w:type="dxa"/>
            <w:tcBorders>
              <w:top w:val="single" w:sz="2" w:space="0" w:color="auto"/>
              <w:left w:val="single" w:sz="2" w:space="0" w:color="auto"/>
              <w:bottom w:val="single" w:sz="2" w:space="0" w:color="auto"/>
              <w:right w:val="single" w:sz="2" w:space="0" w:color="auto"/>
            </w:tcBorders>
            <w:vAlign w:val="center"/>
          </w:tcPr>
          <w:p w14:paraId="31B45E9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99.81%</w:t>
            </w:r>
          </w:p>
        </w:tc>
      </w:tr>
      <w:tr w:rsidR="006B66B7" w:rsidRPr="008C49B7" w14:paraId="2E151618"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7736FB2A" w14:textId="77777777" w:rsidR="006B66B7" w:rsidRPr="008C49B7" w:rsidRDefault="002349C6" w:rsidP="008C49B7">
            <w:pPr>
              <w:snapToGrid w:val="0"/>
              <w:ind w:firstLineChars="100" w:firstLine="180"/>
              <w:rPr>
                <w:rFonts w:ascii="Times New Roman" w:eastAsia="宋体" w:hAnsi="Times New Roman" w:cs="Times New Roman"/>
                <w:sz w:val="18"/>
                <w:szCs w:val="18"/>
              </w:rPr>
            </w:pPr>
            <w:r w:rsidRPr="008C49B7">
              <w:rPr>
                <w:rFonts w:ascii="Times New Roman" w:eastAsia="宋体" w:hAnsi="Times New Roman" w:cs="Times New Roman"/>
                <w:sz w:val="18"/>
                <w:szCs w:val="18"/>
              </w:rPr>
              <w:t>2. Domestically listed foreign-invested shares</w:t>
            </w:r>
          </w:p>
        </w:tc>
        <w:tc>
          <w:tcPr>
            <w:tcW w:w="964" w:type="dxa"/>
            <w:tcBorders>
              <w:top w:val="single" w:sz="2" w:space="0" w:color="auto"/>
              <w:left w:val="single" w:sz="2" w:space="0" w:color="auto"/>
              <w:bottom w:val="single" w:sz="2" w:space="0" w:color="auto"/>
              <w:right w:val="single" w:sz="2" w:space="0" w:color="auto"/>
            </w:tcBorders>
            <w:vAlign w:val="center"/>
          </w:tcPr>
          <w:p w14:paraId="134E7A7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4BCD29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1AE8B16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BEA39C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3B8133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7C6D39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1B120A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33F633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1CF058E"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690A7BB9"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79FD53C8" w14:textId="77777777" w:rsidR="006B66B7" w:rsidRPr="008C49B7" w:rsidRDefault="002349C6" w:rsidP="008C49B7">
            <w:pPr>
              <w:snapToGrid w:val="0"/>
              <w:ind w:firstLineChars="100" w:firstLine="180"/>
              <w:rPr>
                <w:rFonts w:ascii="Times New Roman" w:eastAsia="宋体" w:hAnsi="Times New Roman" w:cs="Times New Roman"/>
                <w:sz w:val="18"/>
                <w:szCs w:val="18"/>
              </w:rPr>
            </w:pPr>
            <w:r w:rsidRPr="008C49B7">
              <w:rPr>
                <w:rFonts w:ascii="Times New Roman" w:eastAsia="宋体" w:hAnsi="Times New Roman" w:cs="Times New Roman"/>
                <w:sz w:val="18"/>
                <w:szCs w:val="18"/>
              </w:rPr>
              <w:t>3. Overseas listed foreign-invested shares</w:t>
            </w:r>
          </w:p>
        </w:tc>
        <w:tc>
          <w:tcPr>
            <w:tcW w:w="964" w:type="dxa"/>
            <w:tcBorders>
              <w:top w:val="single" w:sz="2" w:space="0" w:color="auto"/>
              <w:left w:val="single" w:sz="2" w:space="0" w:color="auto"/>
              <w:bottom w:val="single" w:sz="2" w:space="0" w:color="auto"/>
              <w:right w:val="single" w:sz="2" w:space="0" w:color="auto"/>
            </w:tcBorders>
            <w:vAlign w:val="center"/>
          </w:tcPr>
          <w:p w14:paraId="0684214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5FDAA4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3F7A984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D308288"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90C71B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D73A9A3"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93FAD7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AEF044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E84D5C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6DD4CEEB"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52396423" w14:textId="77777777" w:rsidR="006B66B7" w:rsidRPr="008C49B7" w:rsidRDefault="002349C6" w:rsidP="008C49B7">
            <w:pPr>
              <w:snapToGrid w:val="0"/>
              <w:ind w:firstLineChars="100" w:firstLine="180"/>
              <w:rPr>
                <w:rFonts w:ascii="Times New Roman" w:eastAsia="宋体" w:hAnsi="Times New Roman" w:cs="Times New Roman"/>
                <w:sz w:val="18"/>
                <w:szCs w:val="18"/>
              </w:rPr>
            </w:pPr>
            <w:r w:rsidRPr="008C49B7">
              <w:rPr>
                <w:rFonts w:ascii="Times New Roman" w:eastAsia="宋体" w:hAnsi="Times New Roman" w:cs="Times New Roman"/>
                <w:sz w:val="18"/>
                <w:szCs w:val="18"/>
              </w:rPr>
              <w:t>4. Others</w:t>
            </w:r>
          </w:p>
        </w:tc>
        <w:tc>
          <w:tcPr>
            <w:tcW w:w="964" w:type="dxa"/>
            <w:tcBorders>
              <w:top w:val="single" w:sz="2" w:space="0" w:color="auto"/>
              <w:left w:val="single" w:sz="2" w:space="0" w:color="auto"/>
              <w:bottom w:val="single" w:sz="2" w:space="0" w:color="auto"/>
              <w:right w:val="single" w:sz="2" w:space="0" w:color="auto"/>
            </w:tcBorders>
            <w:vAlign w:val="center"/>
          </w:tcPr>
          <w:p w14:paraId="7EC37D2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CA6788D" w14:textId="77777777" w:rsidR="006B66B7" w:rsidRPr="008C49B7" w:rsidRDefault="006B66B7" w:rsidP="008C49B7">
            <w:pPr>
              <w:snapToGrid w:val="0"/>
              <w:jc w:val="right"/>
              <w:rPr>
                <w:rFonts w:ascii="Times New Roman" w:eastAsia="宋体" w:hAnsi="Times New Roman" w:cs="Times New Roman"/>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96B7219"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A04D762"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6C7D48C"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B31C1C5"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EE38446"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95645E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DC3710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0.00%</w:t>
            </w:r>
          </w:p>
        </w:tc>
      </w:tr>
      <w:tr w:rsidR="006B66B7" w:rsidRPr="008C49B7" w14:paraId="53A69663" w14:textId="77777777" w:rsidTr="00FC2420">
        <w:trPr>
          <w:jc w:val="center"/>
        </w:trPr>
        <w:tc>
          <w:tcPr>
            <w:tcW w:w="1253" w:type="dxa"/>
            <w:tcBorders>
              <w:top w:val="single" w:sz="2" w:space="0" w:color="auto"/>
              <w:left w:val="single" w:sz="2" w:space="0" w:color="auto"/>
              <w:bottom w:val="single" w:sz="2" w:space="0" w:color="auto"/>
              <w:right w:val="single" w:sz="2" w:space="0" w:color="auto"/>
            </w:tcBorders>
            <w:shd w:val="clear" w:color="auto" w:fill="D3D3D3"/>
            <w:vAlign w:val="center"/>
          </w:tcPr>
          <w:p w14:paraId="18130D5A"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III. Total Shares</w:t>
            </w:r>
          </w:p>
        </w:tc>
        <w:tc>
          <w:tcPr>
            <w:tcW w:w="964" w:type="dxa"/>
            <w:tcBorders>
              <w:top w:val="single" w:sz="2" w:space="0" w:color="auto"/>
              <w:left w:val="single" w:sz="2" w:space="0" w:color="auto"/>
              <w:bottom w:val="single" w:sz="2" w:space="0" w:color="auto"/>
              <w:right w:val="single" w:sz="2" w:space="0" w:color="auto"/>
            </w:tcBorders>
            <w:vAlign w:val="center"/>
          </w:tcPr>
          <w:p w14:paraId="2DF3F277"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512,772,787</w:t>
            </w:r>
          </w:p>
        </w:tc>
        <w:tc>
          <w:tcPr>
            <w:tcW w:w="964" w:type="dxa"/>
            <w:tcBorders>
              <w:top w:val="single" w:sz="2" w:space="0" w:color="auto"/>
              <w:left w:val="single" w:sz="2" w:space="0" w:color="auto"/>
              <w:bottom w:val="single" w:sz="2" w:space="0" w:color="auto"/>
              <w:right w:val="single" w:sz="2" w:space="0" w:color="auto"/>
            </w:tcBorders>
            <w:vAlign w:val="center"/>
          </w:tcPr>
          <w:p w14:paraId="02A97EA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14:paraId="3B6B66DD"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28,679,000</w:t>
            </w:r>
          </w:p>
        </w:tc>
        <w:tc>
          <w:tcPr>
            <w:tcW w:w="964" w:type="dxa"/>
            <w:tcBorders>
              <w:top w:val="single" w:sz="2" w:space="0" w:color="auto"/>
              <w:left w:val="single" w:sz="2" w:space="0" w:color="auto"/>
              <w:bottom w:val="single" w:sz="2" w:space="0" w:color="auto"/>
              <w:right w:val="single" w:sz="2" w:space="0" w:color="auto"/>
            </w:tcBorders>
            <w:vAlign w:val="center"/>
          </w:tcPr>
          <w:p w14:paraId="2256029B"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8AEC861"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44A036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6729D20"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28,679,000</w:t>
            </w:r>
          </w:p>
        </w:tc>
        <w:tc>
          <w:tcPr>
            <w:tcW w:w="964" w:type="dxa"/>
            <w:tcBorders>
              <w:top w:val="single" w:sz="2" w:space="0" w:color="auto"/>
              <w:left w:val="single" w:sz="2" w:space="0" w:color="auto"/>
              <w:bottom w:val="single" w:sz="2" w:space="0" w:color="auto"/>
              <w:right w:val="single" w:sz="2" w:space="0" w:color="auto"/>
            </w:tcBorders>
            <w:vAlign w:val="center"/>
          </w:tcPr>
          <w:p w14:paraId="5602D2BA"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541,451,787</w:t>
            </w:r>
          </w:p>
        </w:tc>
        <w:tc>
          <w:tcPr>
            <w:tcW w:w="964" w:type="dxa"/>
            <w:tcBorders>
              <w:top w:val="single" w:sz="2" w:space="0" w:color="auto"/>
              <w:left w:val="single" w:sz="2" w:space="0" w:color="auto"/>
              <w:bottom w:val="single" w:sz="2" w:space="0" w:color="auto"/>
              <w:right w:val="single" w:sz="2" w:space="0" w:color="auto"/>
            </w:tcBorders>
            <w:vAlign w:val="center"/>
          </w:tcPr>
          <w:p w14:paraId="455B1E4F" w14:textId="77777777" w:rsidR="006B66B7" w:rsidRPr="008C49B7" w:rsidRDefault="002349C6" w:rsidP="008C49B7">
            <w:pPr>
              <w:snapToGrid w:val="0"/>
              <w:jc w:val="right"/>
              <w:rPr>
                <w:rFonts w:ascii="Times New Roman" w:eastAsia="宋体" w:hAnsi="Times New Roman" w:cs="Times New Roman"/>
                <w:sz w:val="18"/>
                <w:szCs w:val="18"/>
              </w:rPr>
            </w:pPr>
            <w:r w:rsidRPr="008C49B7">
              <w:rPr>
                <w:rFonts w:ascii="Times New Roman" w:eastAsia="宋体" w:hAnsi="Times New Roman" w:cs="Times New Roman"/>
                <w:sz w:val="18"/>
                <w:szCs w:val="18"/>
              </w:rPr>
              <w:t>100.00%</w:t>
            </w:r>
          </w:p>
        </w:tc>
      </w:tr>
    </w:tbl>
    <w:p w14:paraId="38E43E10"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Reason for share changes</w:t>
      </w:r>
    </w:p>
    <w:p w14:paraId="272DCD72"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232F5BE4" w14:textId="77777777" w:rsidR="00273CFE" w:rsidRPr="00F73301" w:rsidRDefault="002349C6" w:rsidP="00FC2420">
      <w:pPr>
        <w:pStyle w:val="a3"/>
        <w:snapToGrid w:val="0"/>
        <w:spacing w:beforeLines="50" w:before="156" w:beforeAutospacing="0" w:afterLines="50" w:after="156" w:afterAutospacing="0"/>
        <w:jc w:val="both"/>
        <w:divId w:val="1488670691"/>
        <w:rPr>
          <w:rFonts w:ascii="Times New Roman" w:hAnsi="Times New Roman" w:cs="Times New Roman"/>
        </w:rPr>
      </w:pPr>
      <w:r w:rsidRPr="00F73301">
        <w:rPr>
          <w:rFonts w:ascii="Times New Roman" w:hAnsi="Times New Roman" w:cs="Times New Roman"/>
        </w:rPr>
        <w:lastRenderedPageBreak/>
        <w:t xml:space="preserve">By virtue of the </w:t>
      </w:r>
      <w:r w:rsidRPr="00F73301">
        <w:rPr>
          <w:rFonts w:ascii="Times New Roman" w:hAnsi="Times New Roman" w:cs="Times New Roman"/>
          <w:i/>
          <w:iCs/>
        </w:rPr>
        <w:t xml:space="preserve">Reply on the Approval of the Initial Public Offering of Global Depositary Receipts and Listing on the SIX Swiss Exchange by Yangzhou </w:t>
      </w:r>
      <w:proofErr w:type="spellStart"/>
      <w:r w:rsidRPr="00F73301">
        <w:rPr>
          <w:rFonts w:ascii="Times New Roman" w:hAnsi="Times New Roman" w:cs="Times New Roman"/>
          <w:i/>
          <w:iCs/>
        </w:rPr>
        <w:t>Yangjie</w:t>
      </w:r>
      <w:proofErr w:type="spellEnd"/>
      <w:r w:rsidRPr="00F73301">
        <w:rPr>
          <w:rFonts w:ascii="Times New Roman" w:hAnsi="Times New Roman" w:cs="Times New Roman"/>
          <w:i/>
          <w:iCs/>
        </w:rPr>
        <w:t xml:space="preserve"> Electronic Technology Co., Ltd.</w:t>
      </w:r>
      <w:r w:rsidRPr="00F73301">
        <w:rPr>
          <w:rFonts w:ascii="Times New Roman" w:hAnsi="Times New Roman" w:cs="Times New Roman"/>
        </w:rPr>
        <w:t xml:space="preserve"> (ZH.J.X.K. [2023] No. 606) from the China Securities Regulatory Commission (hereinafter referred to as the "CSRC") and upon approval of SIX Exchange Regulation AG, the Company issued and listed 14,339,500 GDRs on the SIX Swiss Exchange in April 2023. Each GDR represented two A shares of the Company. The corresponding number of new basic A-shares was 28,679,000, which were listed on the Shenzhen Stock Exchange on April 18, 2023. Upon completion of the issue, the total share capital of the Company increased from 512,772,787 shares to 541,451,787 shares.</w:t>
      </w:r>
    </w:p>
    <w:p w14:paraId="6AE50C9F"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Authorization for share changes</w:t>
      </w:r>
    </w:p>
    <w:p w14:paraId="702224F2"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p w14:paraId="7453C2A3" w14:textId="2C780929" w:rsidR="00FC2420" w:rsidRDefault="005158F1" w:rsidP="00FC2420">
      <w:pPr>
        <w:pStyle w:val="a3"/>
        <w:snapToGrid w:val="0"/>
        <w:spacing w:beforeLines="50" w:before="156" w:beforeAutospacing="0" w:afterLines="50" w:after="156" w:afterAutospacing="0"/>
        <w:jc w:val="both"/>
        <w:divId w:val="1717124352"/>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2349C6" w:rsidRPr="00F73301">
        <w:rPr>
          <w:rFonts w:ascii="Times New Roman" w:hAnsi="Times New Roman" w:cs="Times New Roman"/>
        </w:rPr>
        <w:t>Internal decision-making procedures for the issue</w:t>
      </w:r>
    </w:p>
    <w:p w14:paraId="72757BBB" w14:textId="140437D3" w:rsidR="00FC2420" w:rsidRDefault="005158F1" w:rsidP="00FC2420">
      <w:pPr>
        <w:pStyle w:val="a3"/>
        <w:snapToGrid w:val="0"/>
        <w:spacing w:beforeLines="50" w:before="156" w:beforeAutospacing="0" w:afterLines="50" w:after="156" w:afterAutospacing="0"/>
        <w:jc w:val="both"/>
        <w:divId w:val="1717124352"/>
        <w:rPr>
          <w:rFonts w:ascii="Times New Roman" w:hAnsi="Times New Roman" w:cs="Times New Roman"/>
        </w:rPr>
      </w:pPr>
      <w:r>
        <w:rPr>
          <w:rFonts w:hint="eastAsia"/>
        </w:rPr>
        <w:t>①</w:t>
      </w:r>
      <w:r w:rsidR="002349C6" w:rsidRPr="00F73301">
        <w:rPr>
          <w:rFonts w:ascii="Times New Roman" w:hAnsi="Times New Roman" w:cs="Times New Roman"/>
        </w:rPr>
        <w:t xml:space="preserve"> On October 26, 2022, the Company held the 21st Meeting of the Fourth Board of Directors to deliberate on and approve relevant proposals, such as the </w:t>
      </w:r>
      <w:r w:rsidR="002349C6" w:rsidRPr="00F73301">
        <w:rPr>
          <w:rFonts w:ascii="Times New Roman" w:hAnsi="Times New Roman" w:cs="Times New Roman"/>
          <w:i/>
          <w:iCs/>
        </w:rPr>
        <w:t>Proposal for the Offering of GDRs by the Company, Its Listing on the SIX Swiss Exchange, and Its Conversion into a Limited Company by Shares Raising Funds Abroad</w:t>
      </w:r>
      <w:r w:rsidR="002349C6" w:rsidRPr="00F73301">
        <w:rPr>
          <w:rFonts w:ascii="Times New Roman" w:hAnsi="Times New Roman" w:cs="Times New Roman"/>
        </w:rPr>
        <w:t xml:space="preserve"> and the </w:t>
      </w:r>
      <w:r w:rsidR="002349C6" w:rsidRPr="00F73301">
        <w:rPr>
          <w:rFonts w:ascii="Times New Roman" w:hAnsi="Times New Roman" w:cs="Times New Roman"/>
          <w:i/>
          <w:iCs/>
        </w:rPr>
        <w:t>Proposal for the Program for the Offering of GDRs by the Company and Its Listing on the SIX Swiss Exchange</w:t>
      </w:r>
      <w:r w:rsidR="002349C6" w:rsidRPr="00F73301">
        <w:rPr>
          <w:rFonts w:ascii="Times New Roman" w:hAnsi="Times New Roman" w:cs="Times New Roman"/>
        </w:rPr>
        <w:t>.</w:t>
      </w:r>
    </w:p>
    <w:p w14:paraId="0E22801F" w14:textId="00DE608A" w:rsidR="00FC2420" w:rsidRDefault="005158F1" w:rsidP="00FC2420">
      <w:pPr>
        <w:pStyle w:val="a3"/>
        <w:snapToGrid w:val="0"/>
        <w:spacing w:beforeLines="50" w:before="156" w:beforeAutospacing="0" w:afterLines="50" w:after="156" w:afterAutospacing="0"/>
        <w:jc w:val="both"/>
        <w:divId w:val="1717124352"/>
        <w:rPr>
          <w:rFonts w:ascii="Times New Roman" w:hAnsi="Times New Roman" w:cs="Times New Roman"/>
        </w:rPr>
      </w:pPr>
      <w:r>
        <w:rPr>
          <w:rFonts w:hint="eastAsia"/>
        </w:rPr>
        <w:t>②</w:t>
      </w:r>
      <w:r w:rsidR="002349C6" w:rsidRPr="00F73301">
        <w:rPr>
          <w:rFonts w:ascii="Times New Roman" w:hAnsi="Times New Roman" w:cs="Times New Roman"/>
        </w:rPr>
        <w:t xml:space="preserve">On November 18, 2022, the Company held the Second Extraordinary Shareholders' Meeting of 2022 to deliberate on and approve relevant proposals, such as the </w:t>
      </w:r>
      <w:r w:rsidR="002349C6" w:rsidRPr="00F73301">
        <w:rPr>
          <w:rFonts w:ascii="Times New Roman" w:hAnsi="Times New Roman" w:cs="Times New Roman"/>
          <w:i/>
          <w:iCs/>
        </w:rPr>
        <w:t>Proposal for the Offering of GDRs by the Compan</w:t>
      </w:r>
      <w:r w:rsidR="002349C6" w:rsidRPr="00F73301">
        <w:rPr>
          <w:rFonts w:ascii="Times New Roman" w:hAnsi="Times New Roman" w:cs="Times New Roman"/>
        </w:rPr>
        <w:t>y</w:t>
      </w:r>
      <w:r w:rsidR="002349C6" w:rsidRPr="00F73301">
        <w:rPr>
          <w:rFonts w:ascii="Times New Roman" w:hAnsi="Times New Roman" w:cs="Times New Roman"/>
          <w:i/>
          <w:iCs/>
        </w:rPr>
        <w:t>, Its Listing on the SIX Swiss Exchange, and Its Conversion into a Limited Company by Shares Raising Funds Abroad</w:t>
      </w:r>
      <w:r w:rsidR="002349C6" w:rsidRPr="00F73301">
        <w:rPr>
          <w:rFonts w:ascii="Times New Roman" w:hAnsi="Times New Roman" w:cs="Times New Roman"/>
        </w:rPr>
        <w:t xml:space="preserve"> and the </w:t>
      </w:r>
      <w:r w:rsidR="002349C6" w:rsidRPr="00F73301">
        <w:rPr>
          <w:rFonts w:ascii="Times New Roman" w:hAnsi="Times New Roman" w:cs="Times New Roman"/>
          <w:i/>
          <w:iCs/>
        </w:rPr>
        <w:t>Proposal for the Program for the Offering of GDRs by the Company and Its Listing on the SIX Swiss Exchange</w:t>
      </w:r>
      <w:r w:rsidR="002349C6" w:rsidRPr="00F73301">
        <w:rPr>
          <w:rFonts w:ascii="Times New Roman" w:hAnsi="Times New Roman" w:cs="Times New Roman"/>
        </w:rPr>
        <w:t>.</w:t>
      </w:r>
    </w:p>
    <w:p w14:paraId="75AD602D" w14:textId="6E2A3B2A" w:rsidR="00FC2420" w:rsidRDefault="005158F1" w:rsidP="00FC2420">
      <w:pPr>
        <w:pStyle w:val="a3"/>
        <w:snapToGrid w:val="0"/>
        <w:spacing w:beforeLines="50" w:before="156" w:beforeAutospacing="0" w:afterLines="50" w:after="156" w:afterAutospacing="0"/>
        <w:jc w:val="both"/>
        <w:divId w:val="1717124352"/>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002349C6" w:rsidRPr="00F73301">
        <w:rPr>
          <w:rFonts w:ascii="Times New Roman" w:hAnsi="Times New Roman" w:cs="Times New Roman"/>
        </w:rPr>
        <w:t>External approval procedure for the issue</w:t>
      </w:r>
    </w:p>
    <w:p w14:paraId="603E0A1D" w14:textId="652C9A77" w:rsidR="00FC2420" w:rsidRDefault="005158F1" w:rsidP="00FC2420">
      <w:pPr>
        <w:pStyle w:val="a3"/>
        <w:snapToGrid w:val="0"/>
        <w:spacing w:beforeLines="50" w:before="156" w:beforeAutospacing="0" w:afterLines="50" w:after="156" w:afterAutospacing="0"/>
        <w:jc w:val="both"/>
        <w:divId w:val="1717124352"/>
        <w:rPr>
          <w:rFonts w:ascii="Times New Roman" w:hAnsi="Times New Roman" w:cs="Times New Roman"/>
        </w:rPr>
      </w:pPr>
      <w:r>
        <w:rPr>
          <w:rFonts w:hint="eastAsia"/>
        </w:rPr>
        <w:t>①</w:t>
      </w:r>
      <w:r w:rsidR="002349C6" w:rsidRPr="00F73301">
        <w:rPr>
          <w:rFonts w:ascii="Times New Roman" w:hAnsi="Times New Roman" w:cs="Times New Roman"/>
        </w:rPr>
        <w:t xml:space="preserve">The Company has obtained the approval of the CSRC in respect of the issue. For details, see the </w:t>
      </w:r>
      <w:r w:rsidR="002349C6" w:rsidRPr="00F73301">
        <w:rPr>
          <w:rFonts w:ascii="Times New Roman" w:hAnsi="Times New Roman" w:cs="Times New Roman"/>
          <w:i/>
          <w:iCs/>
        </w:rPr>
        <w:t>Announcement on Obtaining the Approval of the China Securities Regulatory Commission (CSRC) for the Offering of GDRs and Its Listing on the SIX Swiss Exchange</w:t>
      </w:r>
      <w:r w:rsidR="002349C6" w:rsidRPr="00F73301">
        <w:rPr>
          <w:rFonts w:ascii="Times New Roman" w:hAnsi="Times New Roman" w:cs="Times New Roman"/>
        </w:rPr>
        <w:t xml:space="preserve"> (Announcement No.: 2023-012) disclosed by the Company on March 22, 2023.</w:t>
      </w:r>
    </w:p>
    <w:p w14:paraId="68F05B69" w14:textId="7B2EB54C" w:rsidR="00273CFE" w:rsidRPr="00F73301" w:rsidRDefault="005158F1" w:rsidP="00FC2420">
      <w:pPr>
        <w:pStyle w:val="a3"/>
        <w:snapToGrid w:val="0"/>
        <w:spacing w:beforeLines="50" w:before="156" w:beforeAutospacing="0" w:afterLines="50" w:after="156" w:afterAutospacing="0"/>
        <w:jc w:val="both"/>
        <w:divId w:val="1717124352"/>
        <w:rPr>
          <w:rFonts w:ascii="Times New Roman" w:hAnsi="Times New Roman" w:cs="Times New Roman"/>
        </w:rPr>
      </w:pPr>
      <w:r>
        <w:rPr>
          <w:rFonts w:hint="eastAsia"/>
        </w:rPr>
        <w:t>②</w:t>
      </w:r>
      <w:r w:rsidR="002349C6" w:rsidRPr="00F73301">
        <w:rPr>
          <w:rFonts w:ascii="Times New Roman" w:hAnsi="Times New Roman" w:cs="Times New Roman"/>
        </w:rPr>
        <w:t xml:space="preserve">The Company has obtained the approval of SIX Exchange Regulation AG for the issue, and the approval of the Prospectus Office of SIX Exchange Regulation AG for the prospectus. For details, see the </w:t>
      </w:r>
      <w:r w:rsidR="002349C6" w:rsidRPr="00F73301">
        <w:rPr>
          <w:rFonts w:ascii="Times New Roman" w:hAnsi="Times New Roman" w:cs="Times New Roman"/>
          <w:i/>
          <w:iCs/>
        </w:rPr>
        <w:t>Announcement on the Conditional Approval of the Offering of GDRs and Its Listing on the SIX Swiss Exchange by SIX Exchange Regulation AG</w:t>
      </w:r>
      <w:r w:rsidR="002349C6" w:rsidRPr="00F73301">
        <w:rPr>
          <w:rFonts w:ascii="Times New Roman" w:hAnsi="Times New Roman" w:cs="Times New Roman"/>
        </w:rPr>
        <w:t xml:space="preserve"> (Announcement No.: 2023-002) disclosed by the Company on designated media on January 30, 2023, as well as the </w:t>
      </w:r>
      <w:r w:rsidR="002349C6" w:rsidRPr="00F73301">
        <w:rPr>
          <w:rFonts w:ascii="Times New Roman" w:hAnsi="Times New Roman" w:cs="Times New Roman"/>
          <w:i/>
          <w:iCs/>
        </w:rPr>
        <w:t>Announcement on the Approval of the Prospectus Office of SIX Exchange Regulation AG for the Determination of the Price Range and Prospectus of GDRs to Be Issued</w:t>
      </w:r>
      <w:r w:rsidR="002349C6" w:rsidRPr="00F73301">
        <w:rPr>
          <w:rFonts w:ascii="Times New Roman" w:hAnsi="Times New Roman" w:cs="Times New Roman"/>
        </w:rPr>
        <w:t xml:space="preserve"> (Announcement No.: 2023-020) disclosed by the Company on designated media on April 12, 2023. </w:t>
      </w:r>
    </w:p>
    <w:p w14:paraId="67EFC2F4"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Transfer of changed shares</w:t>
      </w:r>
    </w:p>
    <w:p w14:paraId="7416F57C" w14:textId="2908F6E9"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FD49700"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Progress of implementation on share repurchase</w:t>
      </w:r>
    </w:p>
    <w:p w14:paraId="09B1A5B5" w14:textId="35725633"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7F2EC7E6"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Progress of implementation on reducing the holding of repurchased shares through call auction</w:t>
      </w:r>
    </w:p>
    <w:p w14:paraId="40B7B6C5" w14:textId="6DCBBCEE"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62EB72EA"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Impact of share changes on financial indicators such as primary earnings per share, earnings per share </w:t>
      </w:r>
      <w:r w:rsidRPr="00F73301">
        <w:rPr>
          <w:rFonts w:ascii="Times New Roman" w:eastAsia="宋体" w:hAnsi="Times New Roman" w:cs="Times New Roman"/>
          <w:sz w:val="24"/>
          <w:szCs w:val="24"/>
        </w:rPr>
        <w:lastRenderedPageBreak/>
        <w:t>diluted, and net asset value per share owned by ordinary shareholders of the Company for the most recent year and the most recent period</w:t>
      </w:r>
    </w:p>
    <w:p w14:paraId="7DA4628E"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tbl>
      <w:tblPr>
        <w:tblW w:w="5000" w:type="pct"/>
        <w:jc w:val="center"/>
        <w:tblCellMar>
          <w:left w:w="57" w:type="dxa"/>
          <w:right w:w="57" w:type="dxa"/>
        </w:tblCellMar>
        <w:tblLook w:val="04A0" w:firstRow="1" w:lastRow="0" w:firstColumn="1" w:lastColumn="0" w:noHBand="0" w:noVBand="1"/>
      </w:tblPr>
      <w:tblGrid>
        <w:gridCol w:w="3613"/>
        <w:gridCol w:w="1543"/>
        <w:gridCol w:w="1459"/>
        <w:gridCol w:w="1543"/>
        <w:gridCol w:w="1459"/>
      </w:tblGrid>
      <w:tr w:rsidR="00273CFE" w:rsidRPr="008C49B7" w14:paraId="5C814146" w14:textId="77777777" w:rsidTr="00FC2420">
        <w:trPr>
          <w:divId w:val="473105396"/>
          <w:jc w:val="center"/>
        </w:trPr>
        <w:tc>
          <w:tcPr>
            <w:tcW w:w="1535" w:type="pct"/>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65E2D7"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Item</w:t>
            </w:r>
          </w:p>
        </w:tc>
        <w:tc>
          <w:tcPr>
            <w:tcW w:w="1732" w:type="pct"/>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DBC1252"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The Reporting Period</w:t>
            </w:r>
          </w:p>
        </w:tc>
        <w:tc>
          <w:tcPr>
            <w:tcW w:w="1733" w:type="pct"/>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317A0D1"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2022</w:t>
            </w:r>
          </w:p>
        </w:tc>
      </w:tr>
      <w:tr w:rsidR="00273CFE" w:rsidRPr="008C49B7" w14:paraId="7F8078A1" w14:textId="77777777" w:rsidTr="00FC2420">
        <w:trPr>
          <w:divId w:val="473105396"/>
          <w:jc w:val="center"/>
        </w:trPr>
        <w:tc>
          <w:tcPr>
            <w:tcW w:w="1535" w:type="pct"/>
            <w:vMerge/>
            <w:tcBorders>
              <w:top w:val="single" w:sz="8" w:space="0" w:color="auto"/>
              <w:left w:val="single" w:sz="8" w:space="0" w:color="auto"/>
              <w:bottom w:val="single" w:sz="8" w:space="0" w:color="auto"/>
              <w:right w:val="single" w:sz="8" w:space="0" w:color="auto"/>
            </w:tcBorders>
            <w:vAlign w:val="center"/>
            <w:hideMark/>
          </w:tcPr>
          <w:p w14:paraId="65B201FB" w14:textId="77777777" w:rsidR="00273CFE" w:rsidRPr="008C49B7" w:rsidRDefault="00273CFE" w:rsidP="008C49B7">
            <w:pPr>
              <w:snapToGrid w:val="0"/>
              <w:rPr>
                <w:rFonts w:ascii="Times New Roman" w:eastAsia="宋体" w:hAnsi="Times New Roman" w:cs="Times New Roman"/>
                <w:sz w:val="18"/>
                <w:szCs w:val="18"/>
              </w:rPr>
            </w:pPr>
          </w:p>
        </w:tc>
        <w:tc>
          <w:tcPr>
            <w:tcW w:w="86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02D512"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sz w:val="18"/>
                <w:szCs w:val="18"/>
              </w:rPr>
              <w:t>Before the share change</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B4FA0A"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sz w:val="18"/>
                <w:szCs w:val="18"/>
              </w:rPr>
              <w:t>After the share change</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E93E0E"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sz w:val="18"/>
                <w:szCs w:val="18"/>
              </w:rPr>
              <w:t>Before the share change</w:t>
            </w:r>
          </w:p>
        </w:tc>
        <w:tc>
          <w:tcPr>
            <w:tcW w:w="86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FE72A2"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After the share change</w:t>
            </w:r>
          </w:p>
        </w:tc>
      </w:tr>
      <w:tr w:rsidR="00273CFE" w:rsidRPr="008C49B7" w14:paraId="43B00FC5" w14:textId="77777777" w:rsidTr="00FC2420">
        <w:trPr>
          <w:divId w:val="473105396"/>
          <w:jc w:val="center"/>
        </w:trPr>
        <w:tc>
          <w:tcPr>
            <w:tcW w:w="15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A0B923" w14:textId="77777777" w:rsidR="00273CFE" w:rsidRPr="008C49B7" w:rsidRDefault="002349C6" w:rsidP="008C49B7">
            <w:pPr>
              <w:pStyle w:val="a3"/>
              <w:snapToGrid w:val="0"/>
              <w:spacing w:before="0" w:beforeAutospacing="0" w:after="0" w:afterAutospacing="0"/>
              <w:jc w:val="both"/>
              <w:rPr>
                <w:rFonts w:ascii="Times New Roman" w:hAnsi="Times New Roman" w:cs="Times New Roman"/>
                <w:sz w:val="18"/>
                <w:szCs w:val="18"/>
              </w:rPr>
            </w:pPr>
            <w:r w:rsidRPr="008C49B7">
              <w:rPr>
                <w:rFonts w:ascii="Times New Roman" w:hAnsi="Times New Roman" w:cs="Times New Roman"/>
                <w:color w:val="000000"/>
                <w:sz w:val="18"/>
                <w:szCs w:val="18"/>
              </w:rPr>
              <w:t>EPS-basic (RMB/share)</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EB6F45"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0.80</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189823"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0.79</w:t>
            </w: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14A1C"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 xml:space="preserve">2.07 </w:t>
            </w:r>
          </w:p>
        </w:tc>
        <w:tc>
          <w:tcPr>
            <w:tcW w:w="86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D4F461"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 xml:space="preserve">2.07 </w:t>
            </w:r>
          </w:p>
        </w:tc>
      </w:tr>
      <w:tr w:rsidR="00273CFE" w:rsidRPr="008C49B7" w14:paraId="3091EAFD" w14:textId="77777777" w:rsidTr="00FC2420">
        <w:trPr>
          <w:divId w:val="473105396"/>
          <w:jc w:val="center"/>
        </w:trPr>
        <w:tc>
          <w:tcPr>
            <w:tcW w:w="15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59CCEF" w14:textId="77777777" w:rsidR="00273CFE" w:rsidRPr="008C49B7" w:rsidRDefault="002349C6" w:rsidP="008C49B7">
            <w:pPr>
              <w:pStyle w:val="a3"/>
              <w:snapToGrid w:val="0"/>
              <w:spacing w:before="0" w:beforeAutospacing="0" w:after="0" w:afterAutospacing="0"/>
              <w:jc w:val="both"/>
              <w:rPr>
                <w:rFonts w:ascii="Times New Roman" w:hAnsi="Times New Roman" w:cs="Times New Roman"/>
                <w:sz w:val="18"/>
                <w:szCs w:val="18"/>
              </w:rPr>
            </w:pPr>
            <w:r w:rsidRPr="008C49B7">
              <w:rPr>
                <w:rFonts w:ascii="Times New Roman" w:hAnsi="Times New Roman" w:cs="Times New Roman"/>
                <w:color w:val="000000"/>
                <w:sz w:val="18"/>
                <w:szCs w:val="18"/>
              </w:rPr>
              <w:t>EPS-diluted (RMB/share)</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17DAE6"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0.80</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355682"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0.79</w:t>
            </w: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4B8D5"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 xml:space="preserve">2.07 </w:t>
            </w:r>
          </w:p>
        </w:tc>
        <w:tc>
          <w:tcPr>
            <w:tcW w:w="86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383BD"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 xml:space="preserve">2.07 </w:t>
            </w:r>
          </w:p>
        </w:tc>
      </w:tr>
      <w:tr w:rsidR="00273CFE" w:rsidRPr="008C49B7" w14:paraId="39E94430" w14:textId="77777777" w:rsidTr="00FC2420">
        <w:trPr>
          <w:divId w:val="473105396"/>
          <w:jc w:val="center"/>
        </w:trPr>
        <w:tc>
          <w:tcPr>
            <w:tcW w:w="1535"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F0CA18"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Item</w:t>
            </w:r>
          </w:p>
        </w:tc>
        <w:tc>
          <w:tcPr>
            <w:tcW w:w="1732"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85E0EB"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The Reporting Period</w:t>
            </w:r>
          </w:p>
        </w:tc>
        <w:tc>
          <w:tcPr>
            <w:tcW w:w="1733"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128E48"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December 31, 2022</w:t>
            </w:r>
          </w:p>
        </w:tc>
      </w:tr>
      <w:tr w:rsidR="00273CFE" w:rsidRPr="008C49B7" w14:paraId="0B39F74F" w14:textId="77777777" w:rsidTr="00FC2420">
        <w:trPr>
          <w:divId w:val="473105396"/>
          <w:jc w:val="center"/>
        </w:trPr>
        <w:tc>
          <w:tcPr>
            <w:tcW w:w="1535" w:type="pct"/>
            <w:vMerge/>
            <w:tcBorders>
              <w:top w:val="nil"/>
              <w:left w:val="single" w:sz="8" w:space="0" w:color="auto"/>
              <w:bottom w:val="single" w:sz="8" w:space="0" w:color="auto"/>
              <w:right w:val="single" w:sz="8" w:space="0" w:color="auto"/>
            </w:tcBorders>
            <w:vAlign w:val="center"/>
            <w:hideMark/>
          </w:tcPr>
          <w:p w14:paraId="44E9ABB8" w14:textId="77777777" w:rsidR="00273CFE" w:rsidRPr="008C49B7" w:rsidRDefault="00273CFE" w:rsidP="008C49B7">
            <w:pPr>
              <w:snapToGrid w:val="0"/>
              <w:rPr>
                <w:rFonts w:ascii="Times New Roman" w:eastAsia="宋体" w:hAnsi="Times New Roman" w:cs="Times New Roman"/>
                <w:sz w:val="18"/>
                <w:szCs w:val="18"/>
              </w:rPr>
            </w:pPr>
          </w:p>
        </w:tc>
        <w:tc>
          <w:tcPr>
            <w:tcW w:w="86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6D9A38"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Before the share change</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C23129"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After the share change</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E4AB10"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Before the share change</w:t>
            </w:r>
          </w:p>
        </w:tc>
        <w:tc>
          <w:tcPr>
            <w:tcW w:w="86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83755A"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After the share change</w:t>
            </w:r>
          </w:p>
        </w:tc>
      </w:tr>
      <w:tr w:rsidR="00273CFE" w:rsidRPr="008C49B7" w14:paraId="4423A61D" w14:textId="77777777" w:rsidTr="00FC2420">
        <w:trPr>
          <w:divId w:val="473105396"/>
          <w:jc w:val="center"/>
        </w:trPr>
        <w:tc>
          <w:tcPr>
            <w:tcW w:w="15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D13D9B" w14:textId="77777777" w:rsidR="00273CFE" w:rsidRPr="008C49B7" w:rsidRDefault="002349C6" w:rsidP="008C49B7">
            <w:pPr>
              <w:pStyle w:val="a3"/>
              <w:snapToGrid w:val="0"/>
              <w:spacing w:before="0" w:beforeAutospacing="0" w:after="0" w:afterAutospacing="0"/>
              <w:jc w:val="both"/>
              <w:rPr>
                <w:rFonts w:ascii="Times New Roman" w:hAnsi="Times New Roman" w:cs="Times New Roman"/>
                <w:sz w:val="18"/>
                <w:szCs w:val="18"/>
              </w:rPr>
            </w:pPr>
            <w:r w:rsidRPr="008C49B7">
              <w:rPr>
                <w:rFonts w:ascii="Times New Roman" w:hAnsi="Times New Roman" w:cs="Times New Roman"/>
                <w:color w:val="000000"/>
                <w:sz w:val="18"/>
                <w:szCs w:val="18"/>
              </w:rPr>
              <w:t>Net assets per share attributable to the listed company (RMB)</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354E14"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12.3157</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014F40"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14.3713</w:t>
            </w:r>
          </w:p>
        </w:tc>
        <w:tc>
          <w:tcPr>
            <w:tcW w:w="86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4A1901"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11.9708</w:t>
            </w:r>
          </w:p>
        </w:tc>
        <w:tc>
          <w:tcPr>
            <w:tcW w:w="86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ADEB2A" w14:textId="77777777" w:rsidR="00273CFE" w:rsidRPr="008C49B7" w:rsidRDefault="002349C6" w:rsidP="008C49B7">
            <w:pPr>
              <w:pStyle w:val="a3"/>
              <w:snapToGrid w:val="0"/>
              <w:spacing w:before="0" w:beforeAutospacing="0" w:after="0" w:afterAutospacing="0"/>
              <w:jc w:val="center"/>
              <w:rPr>
                <w:rFonts w:ascii="Times New Roman" w:hAnsi="Times New Roman" w:cs="Times New Roman"/>
                <w:sz w:val="18"/>
                <w:szCs w:val="18"/>
              </w:rPr>
            </w:pPr>
            <w:r w:rsidRPr="008C49B7">
              <w:rPr>
                <w:rFonts w:ascii="Times New Roman" w:hAnsi="Times New Roman" w:cs="Times New Roman"/>
                <w:color w:val="000000"/>
                <w:sz w:val="18"/>
                <w:szCs w:val="18"/>
              </w:rPr>
              <w:t>12.0003</w:t>
            </w:r>
          </w:p>
        </w:tc>
      </w:tr>
    </w:tbl>
    <w:p w14:paraId="26A88A1E" w14:textId="77777777" w:rsidR="00273CFE" w:rsidRPr="00F73301" w:rsidRDefault="00273CFE" w:rsidP="00FC2420">
      <w:pPr>
        <w:snapToGrid w:val="0"/>
        <w:spacing w:beforeLines="50" w:before="156" w:afterLines="50" w:after="156"/>
        <w:jc w:val="both"/>
        <w:divId w:val="473105396"/>
        <w:rPr>
          <w:rFonts w:ascii="Times New Roman" w:hAnsi="Times New Roman" w:cs="Times New Roman"/>
          <w:sz w:val="24"/>
          <w:szCs w:val="24"/>
        </w:rPr>
      </w:pPr>
    </w:p>
    <w:p w14:paraId="2AC763BC"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matters to be disclosed either as deemed necessary by the Company or as required by the securities regulatory authorities</w:t>
      </w:r>
    </w:p>
    <w:p w14:paraId="3E49FE09" w14:textId="2BE72CE1"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37A377D6" w14:textId="77777777" w:rsidR="006B66B7" w:rsidRPr="00F73301" w:rsidRDefault="002349C6" w:rsidP="00FC2420">
      <w:pPr>
        <w:pStyle w:val="3"/>
      </w:pPr>
      <w:bookmarkStart w:id="86" w:name="_Toc988974"/>
      <w:r w:rsidRPr="00F73301">
        <w:t>2. Changes of restricted shares</w:t>
      </w:r>
      <w:bookmarkEnd w:id="86"/>
    </w:p>
    <w:p w14:paraId="15391B0C" w14:textId="7F0CD9ED"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4ACF47B7" w14:textId="77777777" w:rsidR="006B66B7" w:rsidRPr="00F73301" w:rsidRDefault="002349C6" w:rsidP="00FC2420">
      <w:pPr>
        <w:pStyle w:val="2"/>
      </w:pPr>
      <w:bookmarkStart w:id="87" w:name="_Toc988975"/>
      <w:r w:rsidRPr="00F73301">
        <w:t>II. Details of Securities Issuance and Listing</w:t>
      </w:r>
      <w:bookmarkEnd w:id="87"/>
    </w:p>
    <w:p w14:paraId="0CFF25B4"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N/A</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1071"/>
        <w:gridCol w:w="1071"/>
        <w:gridCol w:w="1071"/>
        <w:gridCol w:w="1071"/>
        <w:gridCol w:w="1071"/>
        <w:gridCol w:w="1147"/>
        <w:gridCol w:w="995"/>
      </w:tblGrid>
      <w:tr w:rsidR="006B66B7" w:rsidRPr="008C49B7" w14:paraId="2457100C" w14:textId="77777777" w:rsidTr="00FC2420">
        <w:trPr>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3562549"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Name of the stock and its derivative securities</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E1328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Date of issue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C5BD95A"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Issue price (or interest rate)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AAE4502"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Number of shares issued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A9A4C8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IPO date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C776323"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Number of shares approved for trading on the market</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B230C1C"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Final trading date</w:t>
            </w:r>
          </w:p>
        </w:tc>
        <w:tc>
          <w:tcPr>
            <w:tcW w:w="1147" w:type="dxa"/>
            <w:tcBorders>
              <w:top w:val="single" w:sz="2" w:space="0" w:color="auto"/>
              <w:left w:val="single" w:sz="2" w:space="0" w:color="auto"/>
              <w:bottom w:val="single" w:sz="2" w:space="0" w:color="auto"/>
              <w:right w:val="single" w:sz="2" w:space="0" w:color="auto"/>
            </w:tcBorders>
            <w:shd w:val="clear" w:color="auto" w:fill="D3D3D3"/>
            <w:vAlign w:val="center"/>
          </w:tcPr>
          <w:p w14:paraId="2A945235"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Disclosure index</w:t>
            </w:r>
          </w:p>
        </w:tc>
        <w:tc>
          <w:tcPr>
            <w:tcW w:w="995" w:type="dxa"/>
            <w:tcBorders>
              <w:top w:val="single" w:sz="2" w:space="0" w:color="auto"/>
              <w:left w:val="single" w:sz="2" w:space="0" w:color="auto"/>
              <w:bottom w:val="single" w:sz="2" w:space="0" w:color="auto"/>
              <w:right w:val="single" w:sz="2" w:space="0" w:color="auto"/>
            </w:tcBorders>
            <w:shd w:val="clear" w:color="auto" w:fill="D3D3D3"/>
            <w:vAlign w:val="center"/>
          </w:tcPr>
          <w:p w14:paraId="17229266" w14:textId="77777777" w:rsidR="006B66B7" w:rsidRPr="008C49B7" w:rsidRDefault="002349C6" w:rsidP="008C49B7">
            <w:pPr>
              <w:snapToGrid w:val="0"/>
              <w:jc w:val="center"/>
              <w:rPr>
                <w:rFonts w:ascii="Times New Roman" w:eastAsia="宋体" w:hAnsi="Times New Roman" w:cs="Times New Roman"/>
                <w:sz w:val="18"/>
                <w:szCs w:val="18"/>
              </w:rPr>
            </w:pPr>
            <w:r w:rsidRPr="008C49B7">
              <w:rPr>
                <w:rFonts w:ascii="Times New Roman" w:eastAsia="宋体" w:hAnsi="Times New Roman" w:cs="Times New Roman"/>
                <w:sz w:val="18"/>
                <w:szCs w:val="18"/>
              </w:rPr>
              <w:t>Date of disclosure</w:t>
            </w:r>
          </w:p>
        </w:tc>
      </w:tr>
      <w:tr w:rsidR="006B66B7" w:rsidRPr="008C49B7" w14:paraId="5A619DC5" w14:textId="77777777" w:rsidTr="0001208F">
        <w:trPr>
          <w:jc w:val="center"/>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3B0F70A8"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Shares</w:t>
            </w:r>
          </w:p>
        </w:tc>
      </w:tr>
      <w:tr w:rsidR="006B66B7" w:rsidRPr="008C49B7" w14:paraId="71B79A3F" w14:textId="77777777" w:rsidTr="00FC2420">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6DEE6601"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Global depositary receipt</w:t>
            </w:r>
          </w:p>
        </w:tc>
        <w:tc>
          <w:tcPr>
            <w:tcW w:w="1071" w:type="dxa"/>
            <w:tcBorders>
              <w:top w:val="single" w:sz="2" w:space="0" w:color="auto"/>
              <w:left w:val="single" w:sz="2" w:space="0" w:color="auto"/>
              <w:bottom w:val="single" w:sz="2" w:space="0" w:color="auto"/>
              <w:right w:val="single" w:sz="2" w:space="0" w:color="auto"/>
            </w:tcBorders>
            <w:vAlign w:val="center"/>
          </w:tcPr>
          <w:p w14:paraId="6DCC3397"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April 12, 2023</w:t>
            </w:r>
          </w:p>
        </w:tc>
        <w:tc>
          <w:tcPr>
            <w:tcW w:w="1071" w:type="dxa"/>
            <w:tcBorders>
              <w:top w:val="single" w:sz="2" w:space="0" w:color="auto"/>
              <w:left w:val="single" w:sz="2" w:space="0" w:color="auto"/>
              <w:bottom w:val="single" w:sz="2" w:space="0" w:color="auto"/>
              <w:right w:val="single" w:sz="2" w:space="0" w:color="auto"/>
            </w:tcBorders>
            <w:vAlign w:val="center"/>
          </w:tcPr>
          <w:p w14:paraId="4DE4122E" w14:textId="49EE1E4B"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USD</w:t>
            </w:r>
            <w:r w:rsidR="003D4A86">
              <w:rPr>
                <w:rFonts w:ascii="Times New Roman" w:eastAsia="宋体" w:hAnsi="Times New Roman" w:cs="Times New Roman"/>
                <w:sz w:val="18"/>
                <w:szCs w:val="18"/>
              </w:rPr>
              <w:t>7.5</w:t>
            </w:r>
            <w:r w:rsidRPr="008C49B7">
              <w:rPr>
                <w:rFonts w:ascii="Times New Roman" w:eastAsia="宋体" w:hAnsi="Times New Roman" w:cs="Times New Roman"/>
                <w:sz w:val="18"/>
                <w:szCs w:val="18"/>
              </w:rPr>
              <w:t>0/share</w:t>
            </w:r>
          </w:p>
        </w:tc>
        <w:tc>
          <w:tcPr>
            <w:tcW w:w="1071" w:type="dxa"/>
            <w:tcBorders>
              <w:top w:val="single" w:sz="2" w:space="0" w:color="auto"/>
              <w:left w:val="single" w:sz="2" w:space="0" w:color="auto"/>
              <w:bottom w:val="single" w:sz="2" w:space="0" w:color="auto"/>
              <w:right w:val="single" w:sz="2" w:space="0" w:color="auto"/>
            </w:tcBorders>
            <w:vAlign w:val="center"/>
          </w:tcPr>
          <w:p w14:paraId="419A3EF6" w14:textId="4F0CFC7C" w:rsidR="006B66B7" w:rsidRPr="008C49B7" w:rsidRDefault="003D4A86" w:rsidP="008C49B7">
            <w:pPr>
              <w:snapToGrid w:val="0"/>
              <w:jc w:val="right"/>
              <w:rPr>
                <w:rFonts w:ascii="Times New Roman" w:eastAsia="宋体" w:hAnsi="Times New Roman" w:cs="Times New Roman"/>
                <w:sz w:val="18"/>
                <w:szCs w:val="18"/>
              </w:rPr>
            </w:pPr>
            <w:r>
              <w:rPr>
                <w:rFonts w:ascii="Times New Roman" w:eastAsia="宋体" w:hAnsi="Times New Roman" w:cs="Times New Roman"/>
                <w:sz w:val="18"/>
                <w:szCs w:val="18"/>
              </w:rPr>
              <w:t>28,679,000</w:t>
            </w:r>
          </w:p>
        </w:tc>
        <w:tc>
          <w:tcPr>
            <w:tcW w:w="1071" w:type="dxa"/>
            <w:tcBorders>
              <w:top w:val="single" w:sz="2" w:space="0" w:color="auto"/>
              <w:left w:val="single" w:sz="2" w:space="0" w:color="auto"/>
              <w:bottom w:val="single" w:sz="2" w:space="0" w:color="auto"/>
              <w:right w:val="single" w:sz="2" w:space="0" w:color="auto"/>
            </w:tcBorders>
            <w:vAlign w:val="center"/>
          </w:tcPr>
          <w:p w14:paraId="556E2B7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April 18, 2023</w:t>
            </w:r>
          </w:p>
        </w:tc>
        <w:tc>
          <w:tcPr>
            <w:tcW w:w="1071" w:type="dxa"/>
            <w:tcBorders>
              <w:top w:val="single" w:sz="2" w:space="0" w:color="auto"/>
              <w:left w:val="single" w:sz="2" w:space="0" w:color="auto"/>
              <w:bottom w:val="single" w:sz="2" w:space="0" w:color="auto"/>
              <w:right w:val="single" w:sz="2" w:space="0" w:color="auto"/>
            </w:tcBorders>
            <w:vAlign w:val="center"/>
          </w:tcPr>
          <w:p w14:paraId="7E85AA93" w14:textId="403F07B3" w:rsidR="006B66B7" w:rsidRPr="008C49B7" w:rsidRDefault="003D4A86" w:rsidP="008C49B7">
            <w:pPr>
              <w:snapToGrid w:val="0"/>
              <w:jc w:val="right"/>
              <w:rPr>
                <w:rFonts w:ascii="Times New Roman" w:eastAsia="宋体" w:hAnsi="Times New Roman" w:cs="Times New Roman"/>
                <w:sz w:val="18"/>
                <w:szCs w:val="18"/>
              </w:rPr>
            </w:pPr>
            <w:r>
              <w:rPr>
                <w:rFonts w:ascii="Times New Roman" w:eastAsia="宋体" w:hAnsi="Times New Roman" w:cs="Times New Roman"/>
                <w:sz w:val="18"/>
                <w:szCs w:val="18"/>
              </w:rPr>
              <w:t>28,679,000</w:t>
            </w:r>
          </w:p>
        </w:tc>
        <w:tc>
          <w:tcPr>
            <w:tcW w:w="1071" w:type="dxa"/>
            <w:tcBorders>
              <w:top w:val="single" w:sz="2" w:space="0" w:color="auto"/>
              <w:left w:val="single" w:sz="2" w:space="0" w:color="auto"/>
              <w:bottom w:val="single" w:sz="2" w:space="0" w:color="auto"/>
              <w:right w:val="single" w:sz="2" w:space="0" w:color="auto"/>
            </w:tcBorders>
            <w:vAlign w:val="center"/>
          </w:tcPr>
          <w:p w14:paraId="68EDB466" w14:textId="77777777" w:rsidR="006B66B7" w:rsidRPr="008C49B7" w:rsidRDefault="006B66B7" w:rsidP="008C49B7">
            <w:pPr>
              <w:snapToGrid w:val="0"/>
              <w:rPr>
                <w:rFonts w:ascii="Times New Roman" w:eastAsia="宋体" w:hAnsi="Times New Roman" w:cs="Times New Roman"/>
                <w:sz w:val="18"/>
                <w:szCs w:val="18"/>
              </w:rPr>
            </w:pPr>
          </w:p>
        </w:tc>
        <w:tc>
          <w:tcPr>
            <w:tcW w:w="1147" w:type="dxa"/>
            <w:tcBorders>
              <w:top w:val="single" w:sz="2" w:space="0" w:color="auto"/>
              <w:left w:val="single" w:sz="2" w:space="0" w:color="auto"/>
              <w:bottom w:val="single" w:sz="2" w:space="0" w:color="auto"/>
              <w:right w:val="single" w:sz="2" w:space="0" w:color="auto"/>
            </w:tcBorders>
            <w:vAlign w:val="center"/>
          </w:tcPr>
          <w:p w14:paraId="022E9595" w14:textId="4D173206"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 xml:space="preserve">For details, see the </w:t>
            </w:r>
            <w:r w:rsidRPr="008C49B7">
              <w:rPr>
                <w:rFonts w:ascii="Times New Roman" w:eastAsia="宋体" w:hAnsi="Times New Roman" w:cs="Times New Roman"/>
                <w:i/>
                <w:iCs/>
                <w:sz w:val="18"/>
                <w:szCs w:val="18"/>
              </w:rPr>
              <w:t xml:space="preserve">Announcement of Yangzhou </w:t>
            </w:r>
            <w:proofErr w:type="spellStart"/>
            <w:r w:rsidRPr="008C49B7">
              <w:rPr>
                <w:rFonts w:ascii="Times New Roman" w:eastAsia="宋体" w:hAnsi="Times New Roman" w:cs="Times New Roman"/>
                <w:i/>
                <w:iCs/>
                <w:sz w:val="18"/>
                <w:szCs w:val="18"/>
              </w:rPr>
              <w:t>Yangjie</w:t>
            </w:r>
            <w:proofErr w:type="spellEnd"/>
            <w:r w:rsidRPr="008C49B7">
              <w:rPr>
                <w:rFonts w:ascii="Times New Roman" w:eastAsia="宋体" w:hAnsi="Times New Roman" w:cs="Times New Roman"/>
                <w:i/>
                <w:iCs/>
                <w:sz w:val="18"/>
                <w:szCs w:val="18"/>
              </w:rPr>
              <w:t xml:space="preserve"> Electronic Technology Co., Ltd. on the Offering of GDRs and Its Listing on the SIX Swiss Exchange</w:t>
            </w:r>
            <w:r w:rsidRPr="008C49B7">
              <w:rPr>
                <w:rFonts w:ascii="Times New Roman" w:eastAsia="宋体" w:hAnsi="Times New Roman" w:cs="Times New Roman"/>
                <w:sz w:val="18"/>
                <w:szCs w:val="18"/>
              </w:rPr>
              <w:t xml:space="preserve"> (Announcement No.: 2023-</w:t>
            </w:r>
            <w:r w:rsidR="003D4A86" w:rsidRPr="008C49B7">
              <w:rPr>
                <w:rFonts w:ascii="Times New Roman" w:eastAsia="宋体" w:hAnsi="Times New Roman" w:cs="Times New Roman"/>
                <w:sz w:val="18"/>
                <w:szCs w:val="18"/>
              </w:rPr>
              <w:t>0</w:t>
            </w:r>
            <w:r w:rsidR="003D4A86">
              <w:rPr>
                <w:rFonts w:ascii="Times New Roman" w:eastAsia="宋体" w:hAnsi="Times New Roman" w:cs="Times New Roman"/>
                <w:sz w:val="18"/>
                <w:szCs w:val="18"/>
              </w:rPr>
              <w:t>26</w:t>
            </w:r>
            <w:r w:rsidRPr="008C49B7">
              <w:rPr>
                <w:rFonts w:ascii="Times New Roman" w:eastAsia="宋体" w:hAnsi="Times New Roman" w:cs="Times New Roman"/>
                <w:sz w:val="18"/>
                <w:szCs w:val="18"/>
              </w:rPr>
              <w:t xml:space="preserve">) published by the Company on </w:t>
            </w:r>
            <w:hyperlink r:id="rId11" w:history="1">
              <w:r w:rsidR="003D4A86" w:rsidRPr="003D6D83">
                <w:rPr>
                  <w:rStyle w:val="a4"/>
                  <w:rFonts w:ascii="Times New Roman" w:eastAsia="宋体" w:hAnsi="Times New Roman" w:cs="Times New Roman"/>
                  <w:sz w:val="18"/>
                  <w:szCs w:val="18"/>
                </w:rPr>
                <w:t>www.cninfo.com.cn</w:t>
              </w:r>
            </w:hyperlink>
            <w:r w:rsidRPr="008C49B7">
              <w:rPr>
                <w:rFonts w:ascii="Times New Roman" w:eastAsia="宋体" w:hAnsi="Times New Roman" w:cs="Times New Roman"/>
                <w:sz w:val="18"/>
                <w:szCs w:val="18"/>
              </w:rPr>
              <w:t>.</w:t>
            </w:r>
            <w:r w:rsidR="003D4A86">
              <w:rPr>
                <w:rFonts w:ascii="Times New Roman" w:eastAsia="宋体" w:hAnsi="Times New Roman" w:cs="Times New Roman"/>
                <w:sz w:val="18"/>
                <w:szCs w:val="18"/>
              </w:rPr>
              <w:t xml:space="preserve"> </w:t>
            </w:r>
            <w:r w:rsidR="003D4A86">
              <w:rPr>
                <w:rFonts w:ascii="Times New Roman" w:eastAsia="宋体" w:hAnsi="Times New Roman" w:cs="Times New Roman" w:hint="eastAsia"/>
                <w:sz w:val="18"/>
                <w:szCs w:val="18"/>
              </w:rPr>
              <w:t>on</w:t>
            </w:r>
            <w:r w:rsidR="003D4A86">
              <w:rPr>
                <w:rFonts w:ascii="Times New Roman" w:eastAsia="宋体" w:hAnsi="Times New Roman" w:cs="Times New Roman"/>
                <w:sz w:val="18"/>
                <w:szCs w:val="18"/>
              </w:rPr>
              <w:t xml:space="preserve"> </w:t>
            </w:r>
            <w:r w:rsidR="003D4A86">
              <w:rPr>
                <w:rFonts w:ascii="Times New Roman" w:eastAsia="宋体" w:hAnsi="Times New Roman" w:cs="Times New Roman" w:hint="eastAsia"/>
                <w:sz w:val="18"/>
                <w:szCs w:val="18"/>
              </w:rPr>
              <w:t>April</w:t>
            </w:r>
            <w:r w:rsidR="003D4A86">
              <w:rPr>
                <w:rFonts w:ascii="Times New Roman" w:eastAsia="宋体" w:hAnsi="Times New Roman" w:cs="Times New Roman"/>
                <w:sz w:val="18"/>
                <w:szCs w:val="18"/>
              </w:rPr>
              <w:t xml:space="preserve"> 19</w:t>
            </w:r>
            <w:r w:rsidR="003D4A86">
              <w:rPr>
                <w:rFonts w:ascii="Times New Roman" w:eastAsia="宋体" w:hAnsi="Times New Roman" w:cs="Times New Roman" w:hint="eastAsia"/>
                <w:sz w:val="18"/>
                <w:szCs w:val="18"/>
              </w:rPr>
              <w:t>,</w:t>
            </w:r>
            <w:r w:rsidR="003D4A86">
              <w:rPr>
                <w:rFonts w:ascii="Times New Roman" w:eastAsia="宋体" w:hAnsi="Times New Roman" w:cs="Times New Roman"/>
                <w:sz w:val="18"/>
                <w:szCs w:val="18"/>
              </w:rPr>
              <w:t xml:space="preserve"> 2023.</w:t>
            </w:r>
          </w:p>
        </w:tc>
        <w:tc>
          <w:tcPr>
            <w:tcW w:w="995" w:type="dxa"/>
            <w:tcBorders>
              <w:top w:val="single" w:sz="2" w:space="0" w:color="auto"/>
              <w:left w:val="single" w:sz="2" w:space="0" w:color="auto"/>
              <w:bottom w:val="single" w:sz="2" w:space="0" w:color="auto"/>
              <w:right w:val="single" w:sz="2" w:space="0" w:color="auto"/>
            </w:tcBorders>
            <w:vAlign w:val="center"/>
          </w:tcPr>
          <w:p w14:paraId="502D3784"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April 19, 2023</w:t>
            </w:r>
          </w:p>
        </w:tc>
      </w:tr>
      <w:tr w:rsidR="006B66B7" w:rsidRPr="008C49B7" w14:paraId="7E4DEF59" w14:textId="77777777" w:rsidTr="0001208F">
        <w:trPr>
          <w:jc w:val="center"/>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2BA544D2"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Convertible corporate bonds, separately tradable convertible corporate bonds, corporate debt securities</w:t>
            </w:r>
          </w:p>
        </w:tc>
      </w:tr>
      <w:tr w:rsidR="006B66B7" w:rsidRPr="008C49B7" w14:paraId="5F9EFB2C" w14:textId="77777777" w:rsidTr="0001208F">
        <w:trPr>
          <w:jc w:val="center"/>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0EE418FB" w14:textId="77777777" w:rsidR="006B66B7" w:rsidRPr="008C49B7" w:rsidRDefault="002349C6" w:rsidP="008C49B7">
            <w:pPr>
              <w:snapToGrid w:val="0"/>
              <w:rPr>
                <w:rFonts w:ascii="Times New Roman" w:eastAsia="宋体" w:hAnsi="Times New Roman" w:cs="Times New Roman"/>
                <w:sz w:val="18"/>
                <w:szCs w:val="18"/>
              </w:rPr>
            </w:pPr>
            <w:r w:rsidRPr="008C49B7">
              <w:rPr>
                <w:rFonts w:ascii="Times New Roman" w:eastAsia="宋体" w:hAnsi="Times New Roman" w:cs="Times New Roman"/>
                <w:sz w:val="18"/>
                <w:szCs w:val="18"/>
              </w:rPr>
              <w:t>Other derivative securities</w:t>
            </w:r>
          </w:p>
        </w:tc>
      </w:tr>
    </w:tbl>
    <w:p w14:paraId="7116A458"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Description of securities issued during the Reporting Period</w:t>
      </w:r>
    </w:p>
    <w:p w14:paraId="0CABAA40" w14:textId="77777777" w:rsidR="00273CFE" w:rsidRPr="00F73301" w:rsidRDefault="002349C6" w:rsidP="00FC2420">
      <w:pPr>
        <w:pStyle w:val="a3"/>
        <w:snapToGrid w:val="0"/>
        <w:spacing w:beforeLines="50" w:before="156" w:beforeAutospacing="0" w:afterLines="50" w:after="156" w:afterAutospacing="0"/>
        <w:jc w:val="both"/>
        <w:divId w:val="596210652"/>
        <w:rPr>
          <w:rFonts w:ascii="Times New Roman" w:hAnsi="Times New Roman" w:cs="Times New Roman"/>
        </w:rPr>
      </w:pPr>
      <w:r w:rsidRPr="00F73301">
        <w:rPr>
          <w:rFonts w:ascii="Times New Roman" w:hAnsi="Times New Roman" w:cs="Times New Roman"/>
        </w:rPr>
        <w:lastRenderedPageBreak/>
        <w:t>For details, see "1. Share changes" in "I. Share Changes" in this chapter.</w:t>
      </w:r>
    </w:p>
    <w:p w14:paraId="30AF0A7B" w14:textId="77777777" w:rsidR="006B66B7" w:rsidRPr="00F73301" w:rsidRDefault="002349C6" w:rsidP="008C49B7">
      <w:pPr>
        <w:pStyle w:val="2"/>
      </w:pPr>
      <w:bookmarkStart w:id="88" w:name="_Toc988976"/>
      <w:r w:rsidRPr="00F73301">
        <w:t>III. Number of the Company's Shareholders and Their Shareholdings</w:t>
      </w:r>
      <w:bookmarkEnd w:id="88"/>
    </w:p>
    <w:p w14:paraId="4631D11F" w14:textId="77777777" w:rsidR="006B66B7" w:rsidRPr="00F73301" w:rsidRDefault="002349C6"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Share</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75"/>
        <w:gridCol w:w="876"/>
        <w:gridCol w:w="876"/>
        <w:gridCol w:w="877"/>
        <w:gridCol w:w="876"/>
        <w:gridCol w:w="877"/>
        <w:gridCol w:w="876"/>
        <w:gridCol w:w="877"/>
        <w:gridCol w:w="876"/>
        <w:gridCol w:w="1753"/>
      </w:tblGrid>
      <w:tr w:rsidR="006B66B7" w:rsidRPr="00FC2420" w14:paraId="4FE1EE66"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0307432"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Number of ordinary shareholders at the end of the Reporting Period</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5DE66526"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62,905</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AC34B7B"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Number of preferred shareholders with restored voting rights at the end of the Reporting Period (if any) (see Note 8)</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61338C6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19DC8F3"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 xml:space="preserve">Total number of shareholders holding special voting shares (if any) </w:t>
            </w:r>
          </w:p>
        </w:tc>
        <w:tc>
          <w:tcPr>
            <w:tcW w:w="1753" w:type="dxa"/>
            <w:tcBorders>
              <w:top w:val="single" w:sz="2" w:space="0" w:color="auto"/>
              <w:left w:val="single" w:sz="2" w:space="0" w:color="auto"/>
              <w:bottom w:val="single" w:sz="2" w:space="0" w:color="auto"/>
              <w:right w:val="single" w:sz="2" w:space="0" w:color="auto"/>
            </w:tcBorders>
            <w:vAlign w:val="center"/>
          </w:tcPr>
          <w:p w14:paraId="6D32C5FA"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r>
      <w:tr w:rsidR="006B66B7" w:rsidRPr="00FC2420" w14:paraId="36A4B0D9" w14:textId="77777777" w:rsidTr="0001208F">
        <w:trPr>
          <w:jc w:val="center"/>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14:paraId="29838C28"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Ordinary shareholders holding more than 5% of ordinary shares or shareholding of the top 10 shareholders</w:t>
            </w:r>
          </w:p>
        </w:tc>
      </w:tr>
      <w:tr w:rsidR="006B66B7" w:rsidRPr="00FC2420" w14:paraId="43E994EC" w14:textId="77777777" w:rsidTr="0001208F">
        <w:trPr>
          <w:jc w:val="center"/>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7215843"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Name of shareholder</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543DD9B"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Nature of shareholder</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993FEE"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Shareholding ratio (%)</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363EE9"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Number of shares held at the end of the Reporting Period</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186C5A"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Change in shareholdings during the Reporting Period</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018E57"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Number of shares held subject to selling restrictions</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BE6AAF"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Number of shares held not subject to selling restrictions</w:t>
            </w:r>
          </w:p>
        </w:tc>
        <w:tc>
          <w:tcPr>
            <w:tcW w:w="350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F0F9590"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Pledged, marked, or frozen</w:t>
            </w:r>
          </w:p>
        </w:tc>
      </w:tr>
      <w:tr w:rsidR="006B66B7" w:rsidRPr="00FC2420" w14:paraId="3BD6ABF7" w14:textId="77777777" w:rsidTr="0001208F">
        <w:trPr>
          <w:jc w:val="center"/>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02F2E1" w14:textId="77777777" w:rsidR="006B66B7" w:rsidRPr="00FC2420" w:rsidRDefault="006B66B7" w:rsidP="008C49B7">
            <w:pPr>
              <w:snapToGrid w:val="0"/>
              <w:rPr>
                <w:rFonts w:ascii="Times New Roman" w:hAnsi="Times New Roman" w:cs="Times New Roman"/>
                <w:sz w:val="16"/>
                <w:szCs w:val="16"/>
              </w:rPr>
            </w:pP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2C9713" w14:textId="77777777" w:rsidR="006B66B7" w:rsidRPr="00FC2420" w:rsidRDefault="006B66B7" w:rsidP="008C49B7">
            <w:pPr>
              <w:snapToGrid w:val="0"/>
              <w:rPr>
                <w:rFonts w:ascii="Times New Roman" w:hAnsi="Times New Roman" w:cs="Times New Roman"/>
                <w:sz w:val="16"/>
                <w:szCs w:val="16"/>
              </w:rPr>
            </w:pP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0AC9F1F" w14:textId="77777777" w:rsidR="006B66B7" w:rsidRPr="00FC2420" w:rsidRDefault="006B66B7" w:rsidP="008C49B7">
            <w:pPr>
              <w:snapToGrid w:val="0"/>
              <w:rPr>
                <w:rFonts w:ascii="Times New Roman" w:hAnsi="Times New Roman" w:cs="Times New Roman"/>
                <w:sz w:val="16"/>
                <w:szCs w:val="16"/>
              </w:rPr>
            </w:pP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6165B2" w14:textId="77777777" w:rsidR="006B66B7" w:rsidRPr="00FC2420" w:rsidRDefault="006B66B7" w:rsidP="008C49B7">
            <w:pPr>
              <w:snapToGrid w:val="0"/>
              <w:rPr>
                <w:rFonts w:ascii="Times New Roman" w:hAnsi="Times New Roman" w:cs="Times New Roman"/>
                <w:sz w:val="16"/>
                <w:szCs w:val="16"/>
              </w:rPr>
            </w:pP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88713D7" w14:textId="77777777" w:rsidR="006B66B7" w:rsidRPr="00FC2420" w:rsidRDefault="006B66B7" w:rsidP="008C49B7">
            <w:pPr>
              <w:snapToGrid w:val="0"/>
              <w:rPr>
                <w:rFonts w:ascii="Times New Roman" w:hAnsi="Times New Roman" w:cs="Times New Roman"/>
                <w:sz w:val="16"/>
                <w:szCs w:val="16"/>
              </w:rPr>
            </w:pP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10DF19" w14:textId="77777777" w:rsidR="006B66B7" w:rsidRPr="00FC2420" w:rsidRDefault="006B66B7" w:rsidP="008C49B7">
            <w:pPr>
              <w:snapToGrid w:val="0"/>
              <w:rPr>
                <w:rFonts w:ascii="Times New Roman" w:hAnsi="Times New Roman" w:cs="Times New Roman"/>
                <w:sz w:val="16"/>
                <w:szCs w:val="16"/>
              </w:rPr>
            </w:pP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F4B7A34" w14:textId="77777777" w:rsidR="006B66B7" w:rsidRPr="00FC2420" w:rsidRDefault="006B66B7" w:rsidP="008C49B7">
            <w:pPr>
              <w:snapToGrid w:val="0"/>
              <w:rPr>
                <w:rFonts w:ascii="Times New Roman" w:hAnsi="Times New Roman" w:cs="Times New Roman"/>
                <w:sz w:val="16"/>
                <w:szCs w:val="16"/>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D9BF89B"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Status of shares</w:t>
            </w:r>
          </w:p>
        </w:tc>
        <w:tc>
          <w:tcPr>
            <w:tcW w:w="1753" w:type="dxa"/>
            <w:tcBorders>
              <w:top w:val="single" w:sz="2" w:space="0" w:color="auto"/>
              <w:left w:val="single" w:sz="2" w:space="0" w:color="auto"/>
              <w:bottom w:val="single" w:sz="2" w:space="0" w:color="auto"/>
              <w:right w:val="single" w:sz="2" w:space="0" w:color="auto"/>
            </w:tcBorders>
            <w:shd w:val="clear" w:color="auto" w:fill="D3D3D3"/>
            <w:vAlign w:val="center"/>
          </w:tcPr>
          <w:p w14:paraId="039D1260"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Number</w:t>
            </w:r>
          </w:p>
        </w:tc>
      </w:tr>
      <w:tr w:rsidR="006B66B7" w:rsidRPr="00FC2420" w14:paraId="679B0409"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358FFA53"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 xml:space="preserve">Jiangsu </w:t>
            </w:r>
            <w:proofErr w:type="spellStart"/>
            <w:r w:rsidRPr="00FC2420">
              <w:rPr>
                <w:rFonts w:ascii="Times New Roman" w:eastAsia="宋体" w:hAnsi="Times New Roman" w:cs="Times New Roman"/>
                <w:sz w:val="16"/>
                <w:szCs w:val="16"/>
              </w:rPr>
              <w:t>Yangjie</w:t>
            </w:r>
            <w:proofErr w:type="spellEnd"/>
            <w:r w:rsidRPr="00FC2420">
              <w:rPr>
                <w:rFonts w:ascii="Times New Roman" w:eastAsia="宋体" w:hAnsi="Times New Roman" w:cs="Times New Roman"/>
                <w:sz w:val="16"/>
                <w:szCs w:val="16"/>
              </w:rPr>
              <w:t xml:space="preserve"> Investment Co., Ltd.</w:t>
            </w:r>
          </w:p>
        </w:tc>
        <w:tc>
          <w:tcPr>
            <w:tcW w:w="876" w:type="dxa"/>
            <w:tcBorders>
              <w:top w:val="single" w:sz="2" w:space="0" w:color="auto"/>
              <w:left w:val="single" w:sz="2" w:space="0" w:color="auto"/>
              <w:bottom w:val="single" w:sz="2" w:space="0" w:color="auto"/>
              <w:right w:val="single" w:sz="2" w:space="0" w:color="auto"/>
            </w:tcBorders>
            <w:vAlign w:val="center"/>
          </w:tcPr>
          <w:p w14:paraId="6F830297"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Domestic non-state-owned legal person</w:t>
            </w:r>
          </w:p>
        </w:tc>
        <w:tc>
          <w:tcPr>
            <w:tcW w:w="876" w:type="dxa"/>
            <w:tcBorders>
              <w:top w:val="single" w:sz="2" w:space="0" w:color="auto"/>
              <w:left w:val="single" w:sz="2" w:space="0" w:color="auto"/>
              <w:bottom w:val="single" w:sz="2" w:space="0" w:color="auto"/>
              <w:right w:val="single" w:sz="2" w:space="0" w:color="auto"/>
            </w:tcBorders>
            <w:vAlign w:val="center"/>
          </w:tcPr>
          <w:p w14:paraId="10073CCA"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35.38%</w:t>
            </w:r>
          </w:p>
        </w:tc>
        <w:tc>
          <w:tcPr>
            <w:tcW w:w="876" w:type="dxa"/>
            <w:tcBorders>
              <w:top w:val="single" w:sz="2" w:space="0" w:color="auto"/>
              <w:left w:val="single" w:sz="2" w:space="0" w:color="auto"/>
              <w:bottom w:val="single" w:sz="2" w:space="0" w:color="auto"/>
              <w:right w:val="single" w:sz="2" w:space="0" w:color="auto"/>
            </w:tcBorders>
            <w:vAlign w:val="center"/>
          </w:tcPr>
          <w:p w14:paraId="00B3D473"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191,572,400.00</w:t>
            </w:r>
          </w:p>
        </w:tc>
        <w:tc>
          <w:tcPr>
            <w:tcW w:w="876" w:type="dxa"/>
            <w:tcBorders>
              <w:top w:val="single" w:sz="2" w:space="0" w:color="auto"/>
              <w:left w:val="single" w:sz="2" w:space="0" w:color="auto"/>
              <w:bottom w:val="single" w:sz="2" w:space="0" w:color="auto"/>
              <w:right w:val="single" w:sz="2" w:space="0" w:color="auto"/>
            </w:tcBorders>
            <w:vAlign w:val="center"/>
          </w:tcPr>
          <w:p w14:paraId="0DE9E2B3"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60AA92DE"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0AD1299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191,572,400.00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1534C32C"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Pledged</w:t>
            </w:r>
          </w:p>
        </w:tc>
        <w:tc>
          <w:tcPr>
            <w:tcW w:w="1753" w:type="dxa"/>
            <w:tcBorders>
              <w:top w:val="single" w:sz="2" w:space="0" w:color="auto"/>
              <w:left w:val="single" w:sz="2" w:space="0" w:color="auto"/>
              <w:bottom w:val="single" w:sz="2" w:space="0" w:color="auto"/>
              <w:right w:val="single" w:sz="2" w:space="0" w:color="auto"/>
            </w:tcBorders>
            <w:vAlign w:val="center"/>
          </w:tcPr>
          <w:p w14:paraId="24302F80"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18,550,000.00</w:t>
            </w:r>
          </w:p>
        </w:tc>
      </w:tr>
      <w:tr w:rsidR="006B66B7" w:rsidRPr="00FC2420" w14:paraId="637BF59C"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40F6B27F" w14:textId="77777777" w:rsidR="006B66B7" w:rsidRPr="00FC2420" w:rsidRDefault="002349C6" w:rsidP="008C49B7">
            <w:pPr>
              <w:snapToGrid w:val="0"/>
              <w:rPr>
                <w:rFonts w:ascii="Times New Roman" w:eastAsia="宋体" w:hAnsi="Times New Roman" w:cs="Times New Roman"/>
                <w:sz w:val="16"/>
                <w:szCs w:val="16"/>
              </w:rPr>
            </w:pPr>
            <w:proofErr w:type="spellStart"/>
            <w:r w:rsidRPr="00FC2420">
              <w:rPr>
                <w:rFonts w:ascii="Times New Roman" w:eastAsia="宋体" w:hAnsi="Times New Roman" w:cs="Times New Roman"/>
                <w:sz w:val="16"/>
                <w:szCs w:val="16"/>
              </w:rPr>
              <w:t>Jianshui</w:t>
            </w:r>
            <w:proofErr w:type="spellEnd"/>
            <w:r w:rsidRPr="00FC2420">
              <w:rPr>
                <w:rFonts w:ascii="Times New Roman" w:eastAsia="宋体" w:hAnsi="Times New Roman" w:cs="Times New Roman"/>
                <w:sz w:val="16"/>
                <w:szCs w:val="16"/>
              </w:rPr>
              <w:t xml:space="preserve"> County </w:t>
            </w:r>
            <w:proofErr w:type="spellStart"/>
            <w:r w:rsidRPr="00FC2420">
              <w:rPr>
                <w:rFonts w:ascii="Times New Roman" w:eastAsia="宋体" w:hAnsi="Times New Roman" w:cs="Times New Roman"/>
                <w:sz w:val="16"/>
                <w:szCs w:val="16"/>
              </w:rPr>
              <w:t>Jiejie</w:t>
            </w:r>
            <w:proofErr w:type="spellEnd"/>
            <w:r w:rsidRPr="00FC2420">
              <w:rPr>
                <w:rFonts w:ascii="Times New Roman" w:eastAsia="宋体" w:hAnsi="Times New Roman" w:cs="Times New Roman"/>
                <w:sz w:val="16"/>
                <w:szCs w:val="16"/>
              </w:rPr>
              <w:t xml:space="preserve"> Enterprise Management Co., Ltd.</w:t>
            </w:r>
          </w:p>
        </w:tc>
        <w:tc>
          <w:tcPr>
            <w:tcW w:w="876" w:type="dxa"/>
            <w:tcBorders>
              <w:top w:val="single" w:sz="2" w:space="0" w:color="auto"/>
              <w:left w:val="single" w:sz="2" w:space="0" w:color="auto"/>
              <w:bottom w:val="single" w:sz="2" w:space="0" w:color="auto"/>
              <w:right w:val="single" w:sz="2" w:space="0" w:color="auto"/>
            </w:tcBorders>
            <w:vAlign w:val="center"/>
          </w:tcPr>
          <w:p w14:paraId="532A9B2F"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Domestic non-state-owned legal person</w:t>
            </w:r>
          </w:p>
        </w:tc>
        <w:tc>
          <w:tcPr>
            <w:tcW w:w="876" w:type="dxa"/>
            <w:tcBorders>
              <w:top w:val="single" w:sz="2" w:space="0" w:color="auto"/>
              <w:left w:val="single" w:sz="2" w:space="0" w:color="auto"/>
              <w:bottom w:val="single" w:sz="2" w:space="0" w:color="auto"/>
              <w:right w:val="single" w:sz="2" w:space="0" w:color="auto"/>
            </w:tcBorders>
            <w:vAlign w:val="center"/>
          </w:tcPr>
          <w:p w14:paraId="24904D3E"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11.77%</w:t>
            </w:r>
          </w:p>
        </w:tc>
        <w:tc>
          <w:tcPr>
            <w:tcW w:w="876" w:type="dxa"/>
            <w:tcBorders>
              <w:top w:val="single" w:sz="2" w:space="0" w:color="auto"/>
              <w:left w:val="single" w:sz="2" w:space="0" w:color="auto"/>
              <w:bottom w:val="single" w:sz="2" w:space="0" w:color="auto"/>
              <w:right w:val="single" w:sz="2" w:space="0" w:color="auto"/>
            </w:tcBorders>
            <w:vAlign w:val="center"/>
          </w:tcPr>
          <w:p w14:paraId="4EEFFDF8"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63,723,520.00</w:t>
            </w:r>
          </w:p>
        </w:tc>
        <w:tc>
          <w:tcPr>
            <w:tcW w:w="876" w:type="dxa"/>
            <w:tcBorders>
              <w:top w:val="single" w:sz="2" w:space="0" w:color="auto"/>
              <w:left w:val="single" w:sz="2" w:space="0" w:color="auto"/>
              <w:bottom w:val="single" w:sz="2" w:space="0" w:color="auto"/>
              <w:right w:val="single" w:sz="2" w:space="0" w:color="auto"/>
            </w:tcBorders>
            <w:vAlign w:val="center"/>
          </w:tcPr>
          <w:p w14:paraId="67EEE0A4"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522CF3B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218E3176"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63,723,520.00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670C3303" w14:textId="77777777" w:rsidR="006B66B7" w:rsidRPr="00FC2420" w:rsidRDefault="006B66B7" w:rsidP="008C49B7">
            <w:pPr>
              <w:snapToGrid w:val="0"/>
              <w:rPr>
                <w:rFonts w:ascii="Times New Roman" w:eastAsia="宋体" w:hAnsi="Times New Roman" w:cs="Times New Roman"/>
                <w:sz w:val="16"/>
                <w:szCs w:val="16"/>
              </w:rPr>
            </w:pPr>
          </w:p>
        </w:tc>
        <w:tc>
          <w:tcPr>
            <w:tcW w:w="1753" w:type="dxa"/>
            <w:tcBorders>
              <w:top w:val="single" w:sz="2" w:space="0" w:color="auto"/>
              <w:left w:val="single" w:sz="2" w:space="0" w:color="auto"/>
              <w:bottom w:val="single" w:sz="2" w:space="0" w:color="auto"/>
              <w:right w:val="single" w:sz="2" w:space="0" w:color="auto"/>
            </w:tcBorders>
            <w:vAlign w:val="center"/>
          </w:tcPr>
          <w:p w14:paraId="5A0DEE4D" w14:textId="77777777" w:rsidR="006B66B7" w:rsidRPr="00FC2420" w:rsidRDefault="006B66B7" w:rsidP="008C49B7">
            <w:pPr>
              <w:snapToGrid w:val="0"/>
              <w:jc w:val="right"/>
              <w:rPr>
                <w:rFonts w:ascii="Times New Roman" w:eastAsia="宋体" w:hAnsi="Times New Roman" w:cs="Times New Roman"/>
                <w:sz w:val="16"/>
                <w:szCs w:val="16"/>
              </w:rPr>
            </w:pPr>
          </w:p>
        </w:tc>
      </w:tr>
      <w:tr w:rsidR="006B66B7" w:rsidRPr="00FC2420" w14:paraId="0D1A0E6E"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258A4242"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Citibank, National Association</w:t>
            </w:r>
          </w:p>
        </w:tc>
        <w:tc>
          <w:tcPr>
            <w:tcW w:w="876" w:type="dxa"/>
            <w:tcBorders>
              <w:top w:val="single" w:sz="2" w:space="0" w:color="auto"/>
              <w:left w:val="single" w:sz="2" w:space="0" w:color="auto"/>
              <w:bottom w:val="single" w:sz="2" w:space="0" w:color="auto"/>
              <w:right w:val="single" w:sz="2" w:space="0" w:color="auto"/>
            </w:tcBorders>
            <w:vAlign w:val="center"/>
          </w:tcPr>
          <w:p w14:paraId="441C969F"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Overseas legal person</w:t>
            </w:r>
          </w:p>
        </w:tc>
        <w:tc>
          <w:tcPr>
            <w:tcW w:w="876" w:type="dxa"/>
            <w:tcBorders>
              <w:top w:val="single" w:sz="2" w:space="0" w:color="auto"/>
              <w:left w:val="single" w:sz="2" w:space="0" w:color="auto"/>
              <w:bottom w:val="single" w:sz="2" w:space="0" w:color="auto"/>
              <w:right w:val="single" w:sz="2" w:space="0" w:color="auto"/>
            </w:tcBorders>
            <w:vAlign w:val="center"/>
          </w:tcPr>
          <w:p w14:paraId="17CB37E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5.30%</w:t>
            </w:r>
          </w:p>
        </w:tc>
        <w:tc>
          <w:tcPr>
            <w:tcW w:w="876" w:type="dxa"/>
            <w:tcBorders>
              <w:top w:val="single" w:sz="2" w:space="0" w:color="auto"/>
              <w:left w:val="single" w:sz="2" w:space="0" w:color="auto"/>
              <w:bottom w:val="single" w:sz="2" w:space="0" w:color="auto"/>
              <w:right w:val="single" w:sz="2" w:space="0" w:color="auto"/>
            </w:tcBorders>
            <w:vAlign w:val="center"/>
          </w:tcPr>
          <w:p w14:paraId="6A2BEF68"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28,679,000.00</w:t>
            </w:r>
          </w:p>
        </w:tc>
        <w:tc>
          <w:tcPr>
            <w:tcW w:w="876" w:type="dxa"/>
            <w:tcBorders>
              <w:top w:val="single" w:sz="2" w:space="0" w:color="auto"/>
              <w:left w:val="single" w:sz="2" w:space="0" w:color="auto"/>
              <w:bottom w:val="single" w:sz="2" w:space="0" w:color="auto"/>
              <w:right w:val="single" w:sz="2" w:space="0" w:color="auto"/>
            </w:tcBorders>
            <w:vAlign w:val="center"/>
          </w:tcPr>
          <w:p w14:paraId="328C50DC"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4C06C6DC"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3B07D5F1"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28,679,000.00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36A7473B" w14:textId="77777777" w:rsidR="006B66B7" w:rsidRPr="00FC2420" w:rsidRDefault="006B66B7" w:rsidP="008C49B7">
            <w:pPr>
              <w:snapToGrid w:val="0"/>
              <w:rPr>
                <w:rFonts w:ascii="Times New Roman" w:eastAsia="宋体" w:hAnsi="Times New Roman" w:cs="Times New Roman"/>
                <w:sz w:val="16"/>
                <w:szCs w:val="16"/>
              </w:rPr>
            </w:pPr>
          </w:p>
        </w:tc>
        <w:tc>
          <w:tcPr>
            <w:tcW w:w="1753" w:type="dxa"/>
            <w:tcBorders>
              <w:top w:val="single" w:sz="2" w:space="0" w:color="auto"/>
              <w:left w:val="single" w:sz="2" w:space="0" w:color="auto"/>
              <w:bottom w:val="single" w:sz="2" w:space="0" w:color="auto"/>
              <w:right w:val="single" w:sz="2" w:space="0" w:color="auto"/>
            </w:tcBorders>
            <w:vAlign w:val="center"/>
          </w:tcPr>
          <w:p w14:paraId="4A64839E" w14:textId="77777777" w:rsidR="006B66B7" w:rsidRPr="00FC2420" w:rsidRDefault="006B66B7" w:rsidP="008C49B7">
            <w:pPr>
              <w:snapToGrid w:val="0"/>
              <w:jc w:val="right"/>
              <w:rPr>
                <w:rFonts w:ascii="Times New Roman" w:eastAsia="宋体" w:hAnsi="Times New Roman" w:cs="Times New Roman"/>
                <w:sz w:val="16"/>
                <w:szCs w:val="16"/>
              </w:rPr>
            </w:pPr>
          </w:p>
        </w:tc>
      </w:tr>
      <w:tr w:rsidR="006B66B7" w:rsidRPr="00FC2420" w14:paraId="4D942B02"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3BA8571F"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Hong Kong Securities Clearing Company Ltd. (HKSCC)</w:t>
            </w:r>
          </w:p>
        </w:tc>
        <w:tc>
          <w:tcPr>
            <w:tcW w:w="876" w:type="dxa"/>
            <w:tcBorders>
              <w:top w:val="single" w:sz="2" w:space="0" w:color="auto"/>
              <w:left w:val="single" w:sz="2" w:space="0" w:color="auto"/>
              <w:bottom w:val="single" w:sz="2" w:space="0" w:color="auto"/>
              <w:right w:val="single" w:sz="2" w:space="0" w:color="auto"/>
            </w:tcBorders>
            <w:vAlign w:val="center"/>
          </w:tcPr>
          <w:p w14:paraId="44230CD7" w14:textId="747AF5F3" w:rsidR="006B66B7" w:rsidRPr="00FC2420" w:rsidRDefault="003D4A8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Overseas legal person</w:t>
            </w:r>
          </w:p>
        </w:tc>
        <w:tc>
          <w:tcPr>
            <w:tcW w:w="876" w:type="dxa"/>
            <w:tcBorders>
              <w:top w:val="single" w:sz="2" w:space="0" w:color="auto"/>
              <w:left w:val="single" w:sz="2" w:space="0" w:color="auto"/>
              <w:bottom w:val="single" w:sz="2" w:space="0" w:color="auto"/>
              <w:right w:val="single" w:sz="2" w:space="0" w:color="auto"/>
            </w:tcBorders>
            <w:vAlign w:val="center"/>
          </w:tcPr>
          <w:p w14:paraId="0FB06003"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2.07%</w:t>
            </w:r>
          </w:p>
        </w:tc>
        <w:tc>
          <w:tcPr>
            <w:tcW w:w="876" w:type="dxa"/>
            <w:tcBorders>
              <w:top w:val="single" w:sz="2" w:space="0" w:color="auto"/>
              <w:left w:val="single" w:sz="2" w:space="0" w:color="auto"/>
              <w:bottom w:val="single" w:sz="2" w:space="0" w:color="auto"/>
              <w:right w:val="single" w:sz="2" w:space="0" w:color="auto"/>
            </w:tcBorders>
            <w:vAlign w:val="center"/>
          </w:tcPr>
          <w:p w14:paraId="7C6006A3"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11,232,326.00</w:t>
            </w:r>
          </w:p>
        </w:tc>
        <w:tc>
          <w:tcPr>
            <w:tcW w:w="876" w:type="dxa"/>
            <w:tcBorders>
              <w:top w:val="single" w:sz="2" w:space="0" w:color="auto"/>
              <w:left w:val="single" w:sz="2" w:space="0" w:color="auto"/>
              <w:bottom w:val="single" w:sz="2" w:space="0" w:color="auto"/>
              <w:right w:val="single" w:sz="2" w:space="0" w:color="auto"/>
            </w:tcBorders>
            <w:vAlign w:val="center"/>
          </w:tcPr>
          <w:p w14:paraId="0AEB9A39"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0B882BB1"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0200D482"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11,232,326.00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74E54355" w14:textId="77777777" w:rsidR="006B66B7" w:rsidRPr="00FC2420" w:rsidRDefault="006B66B7" w:rsidP="008C49B7">
            <w:pPr>
              <w:snapToGrid w:val="0"/>
              <w:rPr>
                <w:rFonts w:ascii="Times New Roman" w:eastAsia="宋体" w:hAnsi="Times New Roman" w:cs="Times New Roman"/>
                <w:sz w:val="16"/>
                <w:szCs w:val="16"/>
              </w:rPr>
            </w:pPr>
          </w:p>
        </w:tc>
        <w:tc>
          <w:tcPr>
            <w:tcW w:w="1753" w:type="dxa"/>
            <w:tcBorders>
              <w:top w:val="single" w:sz="2" w:space="0" w:color="auto"/>
              <w:left w:val="single" w:sz="2" w:space="0" w:color="auto"/>
              <w:bottom w:val="single" w:sz="2" w:space="0" w:color="auto"/>
              <w:right w:val="single" w:sz="2" w:space="0" w:color="auto"/>
            </w:tcBorders>
            <w:vAlign w:val="center"/>
          </w:tcPr>
          <w:p w14:paraId="1A55185B" w14:textId="77777777" w:rsidR="006B66B7" w:rsidRPr="00FC2420" w:rsidRDefault="006B66B7" w:rsidP="008C49B7">
            <w:pPr>
              <w:snapToGrid w:val="0"/>
              <w:jc w:val="right"/>
              <w:rPr>
                <w:rFonts w:ascii="Times New Roman" w:eastAsia="宋体" w:hAnsi="Times New Roman" w:cs="Times New Roman"/>
                <w:sz w:val="16"/>
                <w:szCs w:val="16"/>
              </w:rPr>
            </w:pPr>
          </w:p>
        </w:tc>
      </w:tr>
      <w:tr w:rsidR="006B66B7" w:rsidRPr="00FC2420" w14:paraId="78B96A82"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4842BE4C"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 xml:space="preserve">Agricultural Bank of China Limited - </w:t>
            </w:r>
            <w:proofErr w:type="spellStart"/>
            <w:r w:rsidRPr="00FC2420">
              <w:rPr>
                <w:rFonts w:ascii="Times New Roman" w:eastAsia="宋体" w:hAnsi="Times New Roman" w:cs="Times New Roman"/>
                <w:sz w:val="16"/>
                <w:szCs w:val="16"/>
              </w:rPr>
              <w:t>Guotai</w:t>
            </w:r>
            <w:proofErr w:type="spellEnd"/>
            <w:r w:rsidRPr="00FC2420">
              <w:rPr>
                <w:rFonts w:ascii="Times New Roman" w:eastAsia="宋体" w:hAnsi="Times New Roman" w:cs="Times New Roman"/>
                <w:sz w:val="16"/>
                <w:szCs w:val="16"/>
              </w:rPr>
              <w:t xml:space="preserve"> Smart Car Equity Investment Fund</w:t>
            </w:r>
          </w:p>
        </w:tc>
        <w:tc>
          <w:tcPr>
            <w:tcW w:w="876" w:type="dxa"/>
            <w:tcBorders>
              <w:top w:val="single" w:sz="2" w:space="0" w:color="auto"/>
              <w:left w:val="single" w:sz="2" w:space="0" w:color="auto"/>
              <w:bottom w:val="single" w:sz="2" w:space="0" w:color="auto"/>
              <w:right w:val="single" w:sz="2" w:space="0" w:color="auto"/>
            </w:tcBorders>
            <w:vAlign w:val="center"/>
          </w:tcPr>
          <w:p w14:paraId="438B49E4" w14:textId="5F5D92D9" w:rsidR="006B66B7" w:rsidRPr="00FC2420" w:rsidRDefault="003D4A86" w:rsidP="008C49B7">
            <w:pPr>
              <w:snapToGrid w:val="0"/>
              <w:rPr>
                <w:rFonts w:ascii="Times New Roman" w:eastAsia="宋体" w:hAnsi="Times New Roman" w:cs="Times New Roman"/>
                <w:sz w:val="16"/>
                <w:szCs w:val="16"/>
              </w:rPr>
            </w:pPr>
            <w:r>
              <w:rPr>
                <w:rFonts w:ascii="Times New Roman" w:eastAsia="宋体" w:hAnsi="Times New Roman" w:cs="Times New Roman" w:hint="eastAsia"/>
                <w:sz w:val="16"/>
                <w:szCs w:val="16"/>
              </w:rPr>
              <w:t>O</w:t>
            </w:r>
            <w:r>
              <w:rPr>
                <w:rFonts w:ascii="Times New Roman" w:eastAsia="宋体" w:hAnsi="Times New Roman" w:cs="Times New Roman"/>
                <w:sz w:val="16"/>
                <w:szCs w:val="16"/>
              </w:rPr>
              <w:t>thers</w:t>
            </w:r>
          </w:p>
        </w:tc>
        <w:tc>
          <w:tcPr>
            <w:tcW w:w="876" w:type="dxa"/>
            <w:tcBorders>
              <w:top w:val="single" w:sz="2" w:space="0" w:color="auto"/>
              <w:left w:val="single" w:sz="2" w:space="0" w:color="auto"/>
              <w:bottom w:val="single" w:sz="2" w:space="0" w:color="auto"/>
              <w:right w:val="single" w:sz="2" w:space="0" w:color="auto"/>
            </w:tcBorders>
            <w:vAlign w:val="center"/>
          </w:tcPr>
          <w:p w14:paraId="519E995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0.98%</w:t>
            </w:r>
          </w:p>
        </w:tc>
        <w:tc>
          <w:tcPr>
            <w:tcW w:w="876" w:type="dxa"/>
            <w:tcBorders>
              <w:top w:val="single" w:sz="2" w:space="0" w:color="auto"/>
              <w:left w:val="single" w:sz="2" w:space="0" w:color="auto"/>
              <w:bottom w:val="single" w:sz="2" w:space="0" w:color="auto"/>
              <w:right w:val="single" w:sz="2" w:space="0" w:color="auto"/>
            </w:tcBorders>
            <w:vAlign w:val="center"/>
          </w:tcPr>
          <w:p w14:paraId="4C6CFBC3"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5,290,431.00</w:t>
            </w:r>
          </w:p>
        </w:tc>
        <w:tc>
          <w:tcPr>
            <w:tcW w:w="876" w:type="dxa"/>
            <w:tcBorders>
              <w:top w:val="single" w:sz="2" w:space="0" w:color="auto"/>
              <w:left w:val="single" w:sz="2" w:space="0" w:color="auto"/>
              <w:bottom w:val="single" w:sz="2" w:space="0" w:color="auto"/>
              <w:right w:val="single" w:sz="2" w:space="0" w:color="auto"/>
            </w:tcBorders>
            <w:vAlign w:val="center"/>
          </w:tcPr>
          <w:p w14:paraId="0C03564A"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7711FE51"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0856546D"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5,290,431.00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72F19BC2" w14:textId="77777777" w:rsidR="006B66B7" w:rsidRPr="00FC2420" w:rsidRDefault="006B66B7" w:rsidP="008C49B7">
            <w:pPr>
              <w:snapToGrid w:val="0"/>
              <w:rPr>
                <w:rFonts w:ascii="Times New Roman" w:eastAsia="宋体" w:hAnsi="Times New Roman" w:cs="Times New Roman"/>
                <w:sz w:val="16"/>
                <w:szCs w:val="16"/>
              </w:rPr>
            </w:pPr>
          </w:p>
        </w:tc>
        <w:tc>
          <w:tcPr>
            <w:tcW w:w="1753" w:type="dxa"/>
            <w:tcBorders>
              <w:top w:val="single" w:sz="2" w:space="0" w:color="auto"/>
              <w:left w:val="single" w:sz="2" w:space="0" w:color="auto"/>
              <w:bottom w:val="single" w:sz="2" w:space="0" w:color="auto"/>
              <w:right w:val="single" w:sz="2" w:space="0" w:color="auto"/>
            </w:tcBorders>
            <w:vAlign w:val="center"/>
          </w:tcPr>
          <w:p w14:paraId="39F14A3A" w14:textId="77777777" w:rsidR="006B66B7" w:rsidRPr="00FC2420" w:rsidRDefault="006B66B7" w:rsidP="008C49B7">
            <w:pPr>
              <w:snapToGrid w:val="0"/>
              <w:jc w:val="right"/>
              <w:rPr>
                <w:rFonts w:ascii="Times New Roman" w:eastAsia="宋体" w:hAnsi="Times New Roman" w:cs="Times New Roman"/>
                <w:sz w:val="16"/>
                <w:szCs w:val="16"/>
              </w:rPr>
            </w:pPr>
          </w:p>
        </w:tc>
      </w:tr>
      <w:tr w:rsidR="006B66B7" w:rsidRPr="00FC2420" w14:paraId="31CE3978"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7C37FC74"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Wang Yan</w:t>
            </w:r>
          </w:p>
        </w:tc>
        <w:tc>
          <w:tcPr>
            <w:tcW w:w="876" w:type="dxa"/>
            <w:tcBorders>
              <w:top w:val="single" w:sz="2" w:space="0" w:color="auto"/>
              <w:left w:val="single" w:sz="2" w:space="0" w:color="auto"/>
              <w:bottom w:val="single" w:sz="2" w:space="0" w:color="auto"/>
              <w:right w:val="single" w:sz="2" w:space="0" w:color="auto"/>
            </w:tcBorders>
            <w:vAlign w:val="center"/>
          </w:tcPr>
          <w:p w14:paraId="0ADCD878" w14:textId="784A9F42" w:rsidR="006B66B7" w:rsidRPr="00FC2420" w:rsidRDefault="003D4A86" w:rsidP="008C49B7">
            <w:pPr>
              <w:snapToGrid w:val="0"/>
              <w:rPr>
                <w:rFonts w:ascii="Times New Roman" w:eastAsia="宋体" w:hAnsi="Times New Roman" w:cs="Times New Roman"/>
                <w:sz w:val="16"/>
                <w:szCs w:val="16"/>
              </w:rPr>
            </w:pPr>
            <w:r>
              <w:rPr>
                <w:rFonts w:ascii="Times New Roman" w:eastAsia="宋体" w:hAnsi="Times New Roman" w:cs="Times New Roman" w:hint="eastAsia"/>
                <w:sz w:val="16"/>
                <w:szCs w:val="16"/>
              </w:rPr>
              <w:t>D</w:t>
            </w:r>
            <w:r>
              <w:rPr>
                <w:rFonts w:ascii="Times New Roman" w:eastAsia="宋体" w:hAnsi="Times New Roman" w:cs="Times New Roman"/>
                <w:sz w:val="16"/>
                <w:szCs w:val="16"/>
              </w:rPr>
              <w:t>omestic natural person</w:t>
            </w:r>
          </w:p>
        </w:tc>
        <w:tc>
          <w:tcPr>
            <w:tcW w:w="876" w:type="dxa"/>
            <w:tcBorders>
              <w:top w:val="single" w:sz="2" w:space="0" w:color="auto"/>
              <w:left w:val="single" w:sz="2" w:space="0" w:color="auto"/>
              <w:bottom w:val="single" w:sz="2" w:space="0" w:color="auto"/>
              <w:right w:val="single" w:sz="2" w:space="0" w:color="auto"/>
            </w:tcBorders>
            <w:vAlign w:val="center"/>
          </w:tcPr>
          <w:p w14:paraId="55691D7A"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0.70%</w:t>
            </w:r>
          </w:p>
        </w:tc>
        <w:tc>
          <w:tcPr>
            <w:tcW w:w="876" w:type="dxa"/>
            <w:tcBorders>
              <w:top w:val="single" w:sz="2" w:space="0" w:color="auto"/>
              <w:left w:val="single" w:sz="2" w:space="0" w:color="auto"/>
              <w:bottom w:val="single" w:sz="2" w:space="0" w:color="auto"/>
              <w:right w:val="single" w:sz="2" w:space="0" w:color="auto"/>
            </w:tcBorders>
            <w:vAlign w:val="center"/>
          </w:tcPr>
          <w:p w14:paraId="3C9CBFC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3,766,000.00</w:t>
            </w:r>
          </w:p>
        </w:tc>
        <w:tc>
          <w:tcPr>
            <w:tcW w:w="876" w:type="dxa"/>
            <w:tcBorders>
              <w:top w:val="single" w:sz="2" w:space="0" w:color="auto"/>
              <w:left w:val="single" w:sz="2" w:space="0" w:color="auto"/>
              <w:bottom w:val="single" w:sz="2" w:space="0" w:color="auto"/>
              <w:right w:val="single" w:sz="2" w:space="0" w:color="auto"/>
            </w:tcBorders>
            <w:vAlign w:val="center"/>
          </w:tcPr>
          <w:p w14:paraId="64759200"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0D6EF500"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74B9C329"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3,766,000.00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1580E4A6" w14:textId="77777777" w:rsidR="006B66B7" w:rsidRPr="00FC2420" w:rsidRDefault="006B66B7" w:rsidP="008C49B7">
            <w:pPr>
              <w:snapToGrid w:val="0"/>
              <w:rPr>
                <w:rFonts w:ascii="Times New Roman" w:eastAsia="宋体" w:hAnsi="Times New Roman" w:cs="Times New Roman"/>
                <w:sz w:val="16"/>
                <w:szCs w:val="16"/>
              </w:rPr>
            </w:pPr>
          </w:p>
        </w:tc>
        <w:tc>
          <w:tcPr>
            <w:tcW w:w="1753" w:type="dxa"/>
            <w:tcBorders>
              <w:top w:val="single" w:sz="2" w:space="0" w:color="auto"/>
              <w:left w:val="single" w:sz="2" w:space="0" w:color="auto"/>
              <w:bottom w:val="single" w:sz="2" w:space="0" w:color="auto"/>
              <w:right w:val="single" w:sz="2" w:space="0" w:color="auto"/>
            </w:tcBorders>
            <w:vAlign w:val="center"/>
          </w:tcPr>
          <w:p w14:paraId="0CD06563" w14:textId="77777777" w:rsidR="006B66B7" w:rsidRPr="00FC2420" w:rsidRDefault="006B66B7" w:rsidP="008C49B7">
            <w:pPr>
              <w:snapToGrid w:val="0"/>
              <w:jc w:val="right"/>
              <w:rPr>
                <w:rFonts w:ascii="Times New Roman" w:eastAsia="宋体" w:hAnsi="Times New Roman" w:cs="Times New Roman"/>
                <w:sz w:val="16"/>
                <w:szCs w:val="16"/>
              </w:rPr>
            </w:pPr>
          </w:p>
        </w:tc>
      </w:tr>
      <w:tr w:rsidR="006B66B7" w:rsidRPr="00FC2420" w14:paraId="082F011C"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4F7F7467" w14:textId="77777777" w:rsidR="006B66B7" w:rsidRPr="00FC2420" w:rsidRDefault="002349C6" w:rsidP="008C49B7">
            <w:pPr>
              <w:snapToGrid w:val="0"/>
              <w:rPr>
                <w:rFonts w:ascii="Times New Roman" w:eastAsia="宋体" w:hAnsi="Times New Roman" w:cs="Times New Roman"/>
                <w:sz w:val="16"/>
                <w:szCs w:val="16"/>
              </w:rPr>
            </w:pPr>
            <w:proofErr w:type="spellStart"/>
            <w:r w:rsidRPr="00FC2420">
              <w:rPr>
                <w:rFonts w:ascii="Times New Roman" w:eastAsia="宋体" w:hAnsi="Times New Roman" w:cs="Times New Roman"/>
                <w:sz w:val="16"/>
                <w:szCs w:val="16"/>
              </w:rPr>
              <w:t>Huaxia</w:t>
            </w:r>
            <w:proofErr w:type="spellEnd"/>
            <w:r w:rsidRPr="00FC2420">
              <w:rPr>
                <w:rFonts w:ascii="Times New Roman" w:eastAsia="宋体" w:hAnsi="Times New Roman" w:cs="Times New Roman"/>
                <w:sz w:val="16"/>
                <w:szCs w:val="16"/>
              </w:rPr>
              <w:t xml:space="preserve"> Life Insurance Co., Ltd. - Own Funds</w:t>
            </w:r>
          </w:p>
        </w:tc>
        <w:tc>
          <w:tcPr>
            <w:tcW w:w="876" w:type="dxa"/>
            <w:tcBorders>
              <w:top w:val="single" w:sz="2" w:space="0" w:color="auto"/>
              <w:left w:val="single" w:sz="2" w:space="0" w:color="auto"/>
              <w:bottom w:val="single" w:sz="2" w:space="0" w:color="auto"/>
              <w:right w:val="single" w:sz="2" w:space="0" w:color="auto"/>
            </w:tcBorders>
            <w:vAlign w:val="center"/>
          </w:tcPr>
          <w:p w14:paraId="67A17C04" w14:textId="17ACECED" w:rsidR="006B66B7" w:rsidRPr="00FC2420" w:rsidRDefault="003D4A86" w:rsidP="008C49B7">
            <w:pPr>
              <w:snapToGrid w:val="0"/>
              <w:rPr>
                <w:rFonts w:ascii="Times New Roman" w:eastAsia="宋体" w:hAnsi="Times New Roman" w:cs="Times New Roman"/>
                <w:sz w:val="16"/>
                <w:szCs w:val="16"/>
              </w:rPr>
            </w:pPr>
            <w:r>
              <w:rPr>
                <w:rFonts w:ascii="Times New Roman" w:eastAsia="宋体" w:hAnsi="Times New Roman" w:cs="Times New Roman" w:hint="eastAsia"/>
                <w:sz w:val="16"/>
                <w:szCs w:val="16"/>
              </w:rPr>
              <w:t>O</w:t>
            </w:r>
            <w:r>
              <w:rPr>
                <w:rFonts w:ascii="Times New Roman" w:eastAsia="宋体" w:hAnsi="Times New Roman" w:cs="Times New Roman"/>
                <w:sz w:val="16"/>
                <w:szCs w:val="16"/>
              </w:rPr>
              <w:t>thers</w:t>
            </w:r>
          </w:p>
        </w:tc>
        <w:tc>
          <w:tcPr>
            <w:tcW w:w="876" w:type="dxa"/>
            <w:tcBorders>
              <w:top w:val="single" w:sz="2" w:space="0" w:color="auto"/>
              <w:left w:val="single" w:sz="2" w:space="0" w:color="auto"/>
              <w:bottom w:val="single" w:sz="2" w:space="0" w:color="auto"/>
              <w:right w:val="single" w:sz="2" w:space="0" w:color="auto"/>
            </w:tcBorders>
            <w:vAlign w:val="center"/>
          </w:tcPr>
          <w:p w14:paraId="391F952C"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0.65%</w:t>
            </w:r>
          </w:p>
        </w:tc>
        <w:tc>
          <w:tcPr>
            <w:tcW w:w="876" w:type="dxa"/>
            <w:tcBorders>
              <w:top w:val="single" w:sz="2" w:space="0" w:color="auto"/>
              <w:left w:val="single" w:sz="2" w:space="0" w:color="auto"/>
              <w:bottom w:val="single" w:sz="2" w:space="0" w:color="auto"/>
              <w:right w:val="single" w:sz="2" w:space="0" w:color="auto"/>
            </w:tcBorders>
            <w:vAlign w:val="center"/>
          </w:tcPr>
          <w:p w14:paraId="0BAA8C29"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3,533,563.00</w:t>
            </w:r>
          </w:p>
        </w:tc>
        <w:tc>
          <w:tcPr>
            <w:tcW w:w="876" w:type="dxa"/>
            <w:tcBorders>
              <w:top w:val="single" w:sz="2" w:space="0" w:color="auto"/>
              <w:left w:val="single" w:sz="2" w:space="0" w:color="auto"/>
              <w:bottom w:val="single" w:sz="2" w:space="0" w:color="auto"/>
              <w:right w:val="single" w:sz="2" w:space="0" w:color="auto"/>
            </w:tcBorders>
            <w:vAlign w:val="center"/>
          </w:tcPr>
          <w:p w14:paraId="28CFA5D6"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4119CB46"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15980FAE"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3,533,563.00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059E321F" w14:textId="77777777" w:rsidR="006B66B7" w:rsidRPr="00FC2420" w:rsidRDefault="006B66B7" w:rsidP="008C49B7">
            <w:pPr>
              <w:snapToGrid w:val="0"/>
              <w:rPr>
                <w:rFonts w:ascii="Times New Roman" w:eastAsia="宋体" w:hAnsi="Times New Roman" w:cs="Times New Roman"/>
                <w:sz w:val="16"/>
                <w:szCs w:val="16"/>
              </w:rPr>
            </w:pPr>
          </w:p>
        </w:tc>
        <w:tc>
          <w:tcPr>
            <w:tcW w:w="1753" w:type="dxa"/>
            <w:tcBorders>
              <w:top w:val="single" w:sz="2" w:space="0" w:color="auto"/>
              <w:left w:val="single" w:sz="2" w:space="0" w:color="auto"/>
              <w:bottom w:val="single" w:sz="2" w:space="0" w:color="auto"/>
              <w:right w:val="single" w:sz="2" w:space="0" w:color="auto"/>
            </w:tcBorders>
            <w:vAlign w:val="center"/>
          </w:tcPr>
          <w:p w14:paraId="20F593AC" w14:textId="77777777" w:rsidR="006B66B7" w:rsidRPr="00FC2420" w:rsidRDefault="006B66B7" w:rsidP="008C49B7">
            <w:pPr>
              <w:snapToGrid w:val="0"/>
              <w:jc w:val="right"/>
              <w:rPr>
                <w:rFonts w:ascii="Times New Roman" w:eastAsia="宋体" w:hAnsi="Times New Roman" w:cs="Times New Roman"/>
                <w:sz w:val="16"/>
                <w:szCs w:val="16"/>
              </w:rPr>
            </w:pPr>
          </w:p>
        </w:tc>
      </w:tr>
      <w:tr w:rsidR="006B66B7" w:rsidRPr="00FC2420" w14:paraId="5B2410BD"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0E4A3790" w14:textId="77777777" w:rsidR="006B66B7" w:rsidRPr="00FC2420" w:rsidRDefault="002349C6" w:rsidP="008C49B7">
            <w:pPr>
              <w:snapToGrid w:val="0"/>
              <w:rPr>
                <w:rFonts w:ascii="Times New Roman" w:eastAsia="宋体" w:hAnsi="Times New Roman" w:cs="Times New Roman"/>
                <w:sz w:val="16"/>
                <w:szCs w:val="16"/>
              </w:rPr>
            </w:pPr>
            <w:proofErr w:type="spellStart"/>
            <w:r w:rsidRPr="00FC2420">
              <w:rPr>
                <w:rFonts w:ascii="Times New Roman" w:eastAsia="宋体" w:hAnsi="Times New Roman" w:cs="Times New Roman"/>
                <w:sz w:val="16"/>
                <w:szCs w:val="16"/>
              </w:rPr>
              <w:t>Guotai</w:t>
            </w:r>
            <w:proofErr w:type="spellEnd"/>
            <w:r w:rsidRPr="00FC2420">
              <w:rPr>
                <w:rFonts w:ascii="Times New Roman" w:eastAsia="宋体" w:hAnsi="Times New Roman" w:cs="Times New Roman"/>
                <w:sz w:val="16"/>
                <w:szCs w:val="16"/>
              </w:rPr>
              <w:t xml:space="preserve"> </w:t>
            </w:r>
            <w:proofErr w:type="spellStart"/>
            <w:r w:rsidRPr="00FC2420">
              <w:rPr>
                <w:rFonts w:ascii="Times New Roman" w:eastAsia="宋体" w:hAnsi="Times New Roman" w:cs="Times New Roman"/>
                <w:sz w:val="16"/>
                <w:szCs w:val="16"/>
              </w:rPr>
              <w:t>Junan</w:t>
            </w:r>
            <w:proofErr w:type="spellEnd"/>
            <w:r w:rsidRPr="00FC2420">
              <w:rPr>
                <w:rFonts w:ascii="Times New Roman" w:eastAsia="宋体" w:hAnsi="Times New Roman" w:cs="Times New Roman"/>
                <w:sz w:val="16"/>
                <w:szCs w:val="16"/>
              </w:rPr>
              <w:t xml:space="preserve"> Securities Co., Ltd. - CPIC CSI Industry Top Index Semiconductor Product and Equipment Exchange Traded Fund</w:t>
            </w:r>
          </w:p>
        </w:tc>
        <w:tc>
          <w:tcPr>
            <w:tcW w:w="876" w:type="dxa"/>
            <w:tcBorders>
              <w:top w:val="single" w:sz="2" w:space="0" w:color="auto"/>
              <w:left w:val="single" w:sz="2" w:space="0" w:color="auto"/>
              <w:bottom w:val="single" w:sz="2" w:space="0" w:color="auto"/>
              <w:right w:val="single" w:sz="2" w:space="0" w:color="auto"/>
            </w:tcBorders>
            <w:vAlign w:val="center"/>
          </w:tcPr>
          <w:p w14:paraId="50423F1E" w14:textId="492AE8D5" w:rsidR="006B66B7" w:rsidRPr="00FC2420" w:rsidRDefault="003D4A86" w:rsidP="008C49B7">
            <w:pPr>
              <w:snapToGrid w:val="0"/>
              <w:rPr>
                <w:rFonts w:ascii="Times New Roman" w:eastAsia="宋体" w:hAnsi="Times New Roman" w:cs="Times New Roman"/>
                <w:sz w:val="16"/>
                <w:szCs w:val="16"/>
              </w:rPr>
            </w:pPr>
            <w:r>
              <w:rPr>
                <w:rFonts w:ascii="Times New Roman" w:eastAsia="宋体" w:hAnsi="Times New Roman" w:cs="Times New Roman"/>
                <w:sz w:val="16"/>
                <w:szCs w:val="16"/>
              </w:rPr>
              <w:t>Others</w:t>
            </w:r>
          </w:p>
        </w:tc>
        <w:tc>
          <w:tcPr>
            <w:tcW w:w="876" w:type="dxa"/>
            <w:tcBorders>
              <w:top w:val="single" w:sz="2" w:space="0" w:color="auto"/>
              <w:left w:val="single" w:sz="2" w:space="0" w:color="auto"/>
              <w:bottom w:val="single" w:sz="2" w:space="0" w:color="auto"/>
              <w:right w:val="single" w:sz="2" w:space="0" w:color="auto"/>
            </w:tcBorders>
            <w:vAlign w:val="center"/>
          </w:tcPr>
          <w:p w14:paraId="187C3765"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0.64%</w:t>
            </w:r>
          </w:p>
        </w:tc>
        <w:tc>
          <w:tcPr>
            <w:tcW w:w="876" w:type="dxa"/>
            <w:tcBorders>
              <w:top w:val="single" w:sz="2" w:space="0" w:color="auto"/>
              <w:left w:val="single" w:sz="2" w:space="0" w:color="auto"/>
              <w:bottom w:val="single" w:sz="2" w:space="0" w:color="auto"/>
              <w:right w:val="single" w:sz="2" w:space="0" w:color="auto"/>
            </w:tcBorders>
            <w:vAlign w:val="center"/>
          </w:tcPr>
          <w:p w14:paraId="7065DAD5"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3,490,661.00</w:t>
            </w:r>
          </w:p>
        </w:tc>
        <w:tc>
          <w:tcPr>
            <w:tcW w:w="876" w:type="dxa"/>
            <w:tcBorders>
              <w:top w:val="single" w:sz="2" w:space="0" w:color="auto"/>
              <w:left w:val="single" w:sz="2" w:space="0" w:color="auto"/>
              <w:bottom w:val="single" w:sz="2" w:space="0" w:color="auto"/>
              <w:right w:val="single" w:sz="2" w:space="0" w:color="auto"/>
            </w:tcBorders>
            <w:vAlign w:val="center"/>
          </w:tcPr>
          <w:p w14:paraId="0E88FF9D"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38C2E29B"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277C3378"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3,490,661.00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62CF504B" w14:textId="77777777" w:rsidR="006B66B7" w:rsidRPr="00FC2420" w:rsidRDefault="006B66B7" w:rsidP="008C49B7">
            <w:pPr>
              <w:snapToGrid w:val="0"/>
              <w:rPr>
                <w:rFonts w:ascii="Times New Roman" w:eastAsia="宋体" w:hAnsi="Times New Roman" w:cs="Times New Roman"/>
                <w:sz w:val="16"/>
                <w:szCs w:val="16"/>
              </w:rPr>
            </w:pPr>
          </w:p>
        </w:tc>
        <w:tc>
          <w:tcPr>
            <w:tcW w:w="1753" w:type="dxa"/>
            <w:tcBorders>
              <w:top w:val="single" w:sz="2" w:space="0" w:color="auto"/>
              <w:left w:val="single" w:sz="2" w:space="0" w:color="auto"/>
              <w:bottom w:val="single" w:sz="2" w:space="0" w:color="auto"/>
              <w:right w:val="single" w:sz="2" w:space="0" w:color="auto"/>
            </w:tcBorders>
            <w:vAlign w:val="center"/>
          </w:tcPr>
          <w:p w14:paraId="464834F2" w14:textId="77777777" w:rsidR="006B66B7" w:rsidRPr="00FC2420" w:rsidRDefault="006B66B7" w:rsidP="008C49B7">
            <w:pPr>
              <w:snapToGrid w:val="0"/>
              <w:jc w:val="right"/>
              <w:rPr>
                <w:rFonts w:ascii="Times New Roman" w:eastAsia="宋体" w:hAnsi="Times New Roman" w:cs="Times New Roman"/>
                <w:sz w:val="16"/>
                <w:szCs w:val="16"/>
              </w:rPr>
            </w:pPr>
          </w:p>
        </w:tc>
      </w:tr>
      <w:tr w:rsidR="006B66B7" w:rsidRPr="00FC2420" w14:paraId="11140F6E"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11A300EC"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 xml:space="preserve">Bank of </w:t>
            </w:r>
            <w:r w:rsidRPr="00FC2420">
              <w:rPr>
                <w:rFonts w:ascii="Times New Roman" w:eastAsia="宋体" w:hAnsi="Times New Roman" w:cs="Times New Roman"/>
                <w:sz w:val="16"/>
                <w:szCs w:val="16"/>
              </w:rPr>
              <w:lastRenderedPageBreak/>
              <w:t>China Limited–</w:t>
            </w:r>
            <w:proofErr w:type="spellStart"/>
            <w:r w:rsidRPr="00FC2420">
              <w:rPr>
                <w:rFonts w:ascii="Times New Roman" w:eastAsia="宋体" w:hAnsi="Times New Roman" w:cs="Times New Roman"/>
                <w:sz w:val="16"/>
                <w:szCs w:val="16"/>
              </w:rPr>
              <w:t>Guotai</w:t>
            </w:r>
            <w:proofErr w:type="spellEnd"/>
            <w:r w:rsidRPr="00FC2420">
              <w:rPr>
                <w:rFonts w:ascii="Times New Roman" w:eastAsia="宋体" w:hAnsi="Times New Roman" w:cs="Times New Roman"/>
                <w:sz w:val="16"/>
                <w:szCs w:val="16"/>
              </w:rPr>
              <w:t xml:space="preserve"> CES Semiconductor Chip Industry Exchange Traded Fund (ETF)</w:t>
            </w:r>
          </w:p>
        </w:tc>
        <w:tc>
          <w:tcPr>
            <w:tcW w:w="876" w:type="dxa"/>
            <w:tcBorders>
              <w:top w:val="single" w:sz="2" w:space="0" w:color="auto"/>
              <w:left w:val="single" w:sz="2" w:space="0" w:color="auto"/>
              <w:bottom w:val="single" w:sz="2" w:space="0" w:color="auto"/>
              <w:right w:val="single" w:sz="2" w:space="0" w:color="auto"/>
            </w:tcBorders>
            <w:vAlign w:val="center"/>
          </w:tcPr>
          <w:p w14:paraId="3567248B" w14:textId="37A0F0D5" w:rsidR="006B66B7" w:rsidRPr="00FC2420" w:rsidRDefault="003D4A86" w:rsidP="008C49B7">
            <w:pPr>
              <w:snapToGrid w:val="0"/>
              <w:rPr>
                <w:rFonts w:ascii="Times New Roman" w:eastAsia="宋体" w:hAnsi="Times New Roman" w:cs="Times New Roman"/>
                <w:sz w:val="16"/>
                <w:szCs w:val="16"/>
              </w:rPr>
            </w:pPr>
            <w:r>
              <w:rPr>
                <w:rFonts w:ascii="Times New Roman" w:eastAsia="宋体" w:hAnsi="Times New Roman" w:cs="Times New Roman" w:hint="eastAsia"/>
                <w:sz w:val="16"/>
                <w:szCs w:val="16"/>
              </w:rPr>
              <w:lastRenderedPageBreak/>
              <w:t>O</w:t>
            </w:r>
            <w:r>
              <w:rPr>
                <w:rFonts w:ascii="Times New Roman" w:eastAsia="宋体" w:hAnsi="Times New Roman" w:cs="Times New Roman"/>
                <w:sz w:val="16"/>
                <w:szCs w:val="16"/>
              </w:rPr>
              <w:t>thers</w:t>
            </w:r>
          </w:p>
        </w:tc>
        <w:tc>
          <w:tcPr>
            <w:tcW w:w="876" w:type="dxa"/>
            <w:tcBorders>
              <w:top w:val="single" w:sz="2" w:space="0" w:color="auto"/>
              <w:left w:val="single" w:sz="2" w:space="0" w:color="auto"/>
              <w:bottom w:val="single" w:sz="2" w:space="0" w:color="auto"/>
              <w:right w:val="single" w:sz="2" w:space="0" w:color="auto"/>
            </w:tcBorders>
            <w:vAlign w:val="center"/>
          </w:tcPr>
          <w:p w14:paraId="50F1B4EC"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0.58%</w:t>
            </w:r>
          </w:p>
        </w:tc>
        <w:tc>
          <w:tcPr>
            <w:tcW w:w="876" w:type="dxa"/>
            <w:tcBorders>
              <w:top w:val="single" w:sz="2" w:space="0" w:color="auto"/>
              <w:left w:val="single" w:sz="2" w:space="0" w:color="auto"/>
              <w:bottom w:val="single" w:sz="2" w:space="0" w:color="auto"/>
              <w:right w:val="single" w:sz="2" w:space="0" w:color="auto"/>
            </w:tcBorders>
            <w:vAlign w:val="center"/>
          </w:tcPr>
          <w:p w14:paraId="63B6A610"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3,156,431.0</w:t>
            </w:r>
            <w:r w:rsidRPr="00FC2420">
              <w:rPr>
                <w:rFonts w:ascii="Times New Roman" w:eastAsia="宋体" w:hAnsi="Times New Roman" w:cs="Times New Roman"/>
                <w:sz w:val="16"/>
                <w:szCs w:val="16"/>
              </w:rPr>
              <w:lastRenderedPageBreak/>
              <w:t>0</w:t>
            </w:r>
          </w:p>
        </w:tc>
        <w:tc>
          <w:tcPr>
            <w:tcW w:w="876" w:type="dxa"/>
            <w:tcBorders>
              <w:top w:val="single" w:sz="2" w:space="0" w:color="auto"/>
              <w:left w:val="single" w:sz="2" w:space="0" w:color="auto"/>
              <w:bottom w:val="single" w:sz="2" w:space="0" w:color="auto"/>
              <w:right w:val="single" w:sz="2" w:space="0" w:color="auto"/>
            </w:tcBorders>
            <w:vAlign w:val="center"/>
          </w:tcPr>
          <w:p w14:paraId="710D95F7"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313F22FC"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5E2DF9EF"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3,156,431.0</w:t>
            </w:r>
            <w:r w:rsidRPr="00FC2420">
              <w:rPr>
                <w:rFonts w:ascii="Times New Roman" w:eastAsia="宋体" w:hAnsi="Times New Roman" w:cs="Times New Roman"/>
                <w:sz w:val="16"/>
                <w:szCs w:val="16"/>
              </w:rPr>
              <w:lastRenderedPageBreak/>
              <w:t>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24DA1E3E" w14:textId="77777777" w:rsidR="006B66B7" w:rsidRPr="00FC2420" w:rsidRDefault="006B66B7" w:rsidP="008C49B7">
            <w:pPr>
              <w:snapToGrid w:val="0"/>
              <w:rPr>
                <w:rFonts w:ascii="Times New Roman" w:eastAsia="宋体" w:hAnsi="Times New Roman" w:cs="Times New Roman"/>
                <w:sz w:val="16"/>
                <w:szCs w:val="16"/>
              </w:rPr>
            </w:pPr>
          </w:p>
        </w:tc>
        <w:tc>
          <w:tcPr>
            <w:tcW w:w="1753" w:type="dxa"/>
            <w:tcBorders>
              <w:top w:val="single" w:sz="2" w:space="0" w:color="auto"/>
              <w:left w:val="single" w:sz="2" w:space="0" w:color="auto"/>
              <w:bottom w:val="single" w:sz="2" w:space="0" w:color="auto"/>
              <w:right w:val="single" w:sz="2" w:space="0" w:color="auto"/>
            </w:tcBorders>
            <w:vAlign w:val="center"/>
          </w:tcPr>
          <w:p w14:paraId="5EC6F0E3" w14:textId="77777777" w:rsidR="006B66B7" w:rsidRPr="00FC2420" w:rsidRDefault="006B66B7" w:rsidP="008C49B7">
            <w:pPr>
              <w:snapToGrid w:val="0"/>
              <w:jc w:val="right"/>
              <w:rPr>
                <w:rFonts w:ascii="Times New Roman" w:eastAsia="宋体" w:hAnsi="Times New Roman" w:cs="Times New Roman"/>
                <w:sz w:val="16"/>
                <w:szCs w:val="16"/>
              </w:rPr>
            </w:pPr>
          </w:p>
        </w:tc>
      </w:tr>
      <w:tr w:rsidR="006B66B7" w:rsidRPr="00FC2420" w14:paraId="243922E6"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49A0B611"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Industrial and Commercial Bank of China Limited–E Fund Growth Enterprise Market (GEM) Exchange Traded Fund (ETF)</w:t>
            </w:r>
          </w:p>
          <w:p w14:paraId="3575927A"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7A812629" w14:textId="7AFC00FF" w:rsidR="006B66B7" w:rsidRPr="00FC2420" w:rsidRDefault="003D4A86" w:rsidP="008C49B7">
            <w:pPr>
              <w:snapToGrid w:val="0"/>
              <w:rPr>
                <w:rFonts w:ascii="Times New Roman" w:eastAsia="宋体" w:hAnsi="Times New Roman" w:cs="Times New Roman"/>
                <w:sz w:val="16"/>
                <w:szCs w:val="16"/>
              </w:rPr>
            </w:pPr>
            <w:r>
              <w:rPr>
                <w:rFonts w:ascii="Times New Roman" w:eastAsia="宋体" w:hAnsi="Times New Roman" w:cs="Times New Roman" w:hint="eastAsia"/>
                <w:sz w:val="16"/>
                <w:szCs w:val="16"/>
              </w:rPr>
              <w:t>O</w:t>
            </w:r>
            <w:r>
              <w:rPr>
                <w:rFonts w:ascii="Times New Roman" w:eastAsia="宋体" w:hAnsi="Times New Roman" w:cs="Times New Roman"/>
                <w:sz w:val="16"/>
                <w:szCs w:val="16"/>
              </w:rPr>
              <w:t>thers</w:t>
            </w:r>
          </w:p>
        </w:tc>
        <w:tc>
          <w:tcPr>
            <w:tcW w:w="876" w:type="dxa"/>
            <w:tcBorders>
              <w:top w:val="single" w:sz="2" w:space="0" w:color="auto"/>
              <w:left w:val="single" w:sz="2" w:space="0" w:color="auto"/>
              <w:bottom w:val="single" w:sz="2" w:space="0" w:color="auto"/>
              <w:right w:val="single" w:sz="2" w:space="0" w:color="auto"/>
            </w:tcBorders>
            <w:vAlign w:val="center"/>
          </w:tcPr>
          <w:p w14:paraId="47A1FCEA"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0.54%</w:t>
            </w:r>
          </w:p>
        </w:tc>
        <w:tc>
          <w:tcPr>
            <w:tcW w:w="876" w:type="dxa"/>
            <w:tcBorders>
              <w:top w:val="single" w:sz="2" w:space="0" w:color="auto"/>
              <w:left w:val="single" w:sz="2" w:space="0" w:color="auto"/>
              <w:bottom w:val="single" w:sz="2" w:space="0" w:color="auto"/>
              <w:right w:val="single" w:sz="2" w:space="0" w:color="auto"/>
            </w:tcBorders>
            <w:vAlign w:val="center"/>
          </w:tcPr>
          <w:p w14:paraId="2C7066F7"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2,926,329.00</w:t>
            </w:r>
          </w:p>
        </w:tc>
        <w:tc>
          <w:tcPr>
            <w:tcW w:w="876" w:type="dxa"/>
            <w:tcBorders>
              <w:top w:val="single" w:sz="2" w:space="0" w:color="auto"/>
              <w:left w:val="single" w:sz="2" w:space="0" w:color="auto"/>
              <w:bottom w:val="single" w:sz="2" w:space="0" w:color="auto"/>
              <w:right w:val="single" w:sz="2" w:space="0" w:color="auto"/>
            </w:tcBorders>
            <w:vAlign w:val="center"/>
          </w:tcPr>
          <w:p w14:paraId="6F2ACFEB" w14:textId="77777777" w:rsidR="006B66B7" w:rsidRPr="00FC2420" w:rsidRDefault="006B66B7" w:rsidP="008C49B7">
            <w:pPr>
              <w:snapToGrid w:val="0"/>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5877616E"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0</w:t>
            </w:r>
          </w:p>
        </w:tc>
        <w:tc>
          <w:tcPr>
            <w:tcW w:w="876" w:type="dxa"/>
            <w:tcBorders>
              <w:top w:val="single" w:sz="2" w:space="0" w:color="auto"/>
              <w:left w:val="single" w:sz="2" w:space="0" w:color="auto"/>
              <w:bottom w:val="single" w:sz="2" w:space="0" w:color="auto"/>
              <w:right w:val="single" w:sz="2" w:space="0" w:color="auto"/>
            </w:tcBorders>
            <w:vAlign w:val="center"/>
          </w:tcPr>
          <w:p w14:paraId="76E1AAED"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2,926,329.00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4A672A80" w14:textId="77777777" w:rsidR="006B66B7" w:rsidRPr="00FC2420" w:rsidRDefault="006B66B7" w:rsidP="008C49B7">
            <w:pPr>
              <w:snapToGrid w:val="0"/>
              <w:rPr>
                <w:rFonts w:ascii="Times New Roman" w:eastAsia="宋体" w:hAnsi="Times New Roman" w:cs="Times New Roman"/>
                <w:sz w:val="16"/>
                <w:szCs w:val="16"/>
              </w:rPr>
            </w:pPr>
          </w:p>
        </w:tc>
        <w:tc>
          <w:tcPr>
            <w:tcW w:w="1753" w:type="dxa"/>
            <w:tcBorders>
              <w:top w:val="single" w:sz="2" w:space="0" w:color="auto"/>
              <w:left w:val="single" w:sz="2" w:space="0" w:color="auto"/>
              <w:bottom w:val="single" w:sz="2" w:space="0" w:color="auto"/>
              <w:right w:val="single" w:sz="2" w:space="0" w:color="auto"/>
            </w:tcBorders>
            <w:vAlign w:val="center"/>
          </w:tcPr>
          <w:p w14:paraId="72D6599F" w14:textId="77777777" w:rsidR="006B66B7" w:rsidRPr="00FC2420" w:rsidRDefault="006B66B7" w:rsidP="008C49B7">
            <w:pPr>
              <w:snapToGrid w:val="0"/>
              <w:jc w:val="right"/>
              <w:rPr>
                <w:rFonts w:ascii="Times New Roman" w:eastAsia="宋体" w:hAnsi="Times New Roman" w:cs="Times New Roman"/>
                <w:sz w:val="16"/>
                <w:szCs w:val="16"/>
              </w:rPr>
            </w:pPr>
          </w:p>
        </w:tc>
      </w:tr>
      <w:tr w:rsidR="006B66B7" w:rsidRPr="00FC2420" w14:paraId="5C4873C8"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EFC8807"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A strategic investor or ordinary legal person becomes the top 10 shareholders due to rights issue (if any) (see Note 3)</w:t>
            </w:r>
          </w:p>
        </w:tc>
        <w:tc>
          <w:tcPr>
            <w:tcW w:w="7886" w:type="dxa"/>
            <w:gridSpan w:val="8"/>
            <w:tcBorders>
              <w:top w:val="single" w:sz="2" w:space="0" w:color="auto"/>
              <w:left w:val="single" w:sz="2" w:space="0" w:color="auto"/>
              <w:bottom w:val="single" w:sz="2" w:space="0" w:color="auto"/>
              <w:right w:val="single" w:sz="2" w:space="0" w:color="auto"/>
            </w:tcBorders>
            <w:vAlign w:val="center"/>
          </w:tcPr>
          <w:p w14:paraId="78FB5067"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N/A</w:t>
            </w:r>
          </w:p>
        </w:tc>
      </w:tr>
      <w:tr w:rsidR="006B66B7" w:rsidRPr="00FC2420" w14:paraId="7EC86B5A"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28E9CF1"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Explanation on connected relationship or concerted action of the aforesaid shareholders</w:t>
            </w:r>
          </w:p>
        </w:tc>
        <w:tc>
          <w:tcPr>
            <w:tcW w:w="7886" w:type="dxa"/>
            <w:gridSpan w:val="8"/>
            <w:tcBorders>
              <w:top w:val="single" w:sz="2" w:space="0" w:color="auto"/>
              <w:left w:val="single" w:sz="2" w:space="0" w:color="auto"/>
              <w:bottom w:val="single" w:sz="2" w:space="0" w:color="auto"/>
              <w:right w:val="single" w:sz="2" w:space="0" w:color="auto"/>
            </w:tcBorders>
            <w:vAlign w:val="center"/>
          </w:tcPr>
          <w:p w14:paraId="1427A8DD"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 xml:space="preserve">1. Ms. Liang Qin is the de facto controller of both Jiangsu </w:t>
            </w:r>
            <w:proofErr w:type="spellStart"/>
            <w:r w:rsidRPr="00FC2420">
              <w:rPr>
                <w:rFonts w:ascii="Times New Roman" w:eastAsia="宋体" w:hAnsi="Times New Roman" w:cs="Times New Roman"/>
                <w:sz w:val="16"/>
                <w:szCs w:val="16"/>
              </w:rPr>
              <w:t>Yangjie</w:t>
            </w:r>
            <w:proofErr w:type="spellEnd"/>
            <w:r w:rsidRPr="00FC2420">
              <w:rPr>
                <w:rFonts w:ascii="Times New Roman" w:eastAsia="宋体" w:hAnsi="Times New Roman" w:cs="Times New Roman"/>
                <w:sz w:val="16"/>
                <w:szCs w:val="16"/>
              </w:rPr>
              <w:t xml:space="preserve"> Investment Co., Ltd. and </w:t>
            </w:r>
            <w:proofErr w:type="spellStart"/>
            <w:r w:rsidRPr="00FC2420">
              <w:rPr>
                <w:rFonts w:ascii="Times New Roman" w:eastAsia="宋体" w:hAnsi="Times New Roman" w:cs="Times New Roman"/>
                <w:sz w:val="16"/>
                <w:szCs w:val="16"/>
              </w:rPr>
              <w:t>Jianshui</w:t>
            </w:r>
            <w:proofErr w:type="spellEnd"/>
            <w:r w:rsidRPr="00FC2420">
              <w:rPr>
                <w:rFonts w:ascii="Times New Roman" w:eastAsia="宋体" w:hAnsi="Times New Roman" w:cs="Times New Roman"/>
                <w:sz w:val="16"/>
                <w:szCs w:val="16"/>
              </w:rPr>
              <w:t xml:space="preserve"> County </w:t>
            </w:r>
            <w:proofErr w:type="spellStart"/>
            <w:r w:rsidRPr="00FC2420">
              <w:rPr>
                <w:rFonts w:ascii="Times New Roman" w:eastAsia="宋体" w:hAnsi="Times New Roman" w:cs="Times New Roman"/>
                <w:sz w:val="16"/>
                <w:szCs w:val="16"/>
              </w:rPr>
              <w:t>Jiejie</w:t>
            </w:r>
            <w:proofErr w:type="spellEnd"/>
            <w:r w:rsidRPr="00FC2420">
              <w:rPr>
                <w:rFonts w:ascii="Times New Roman" w:eastAsia="宋体" w:hAnsi="Times New Roman" w:cs="Times New Roman"/>
                <w:sz w:val="16"/>
                <w:szCs w:val="16"/>
              </w:rPr>
              <w:t xml:space="preserve"> Enterprise Management Co., Ltd., and is a person acting in concert;</w:t>
            </w:r>
          </w:p>
          <w:p w14:paraId="5085DB8F"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2. Ms. Wang Yan is the sister of Ms. Liang Qin's spouse;</w:t>
            </w:r>
          </w:p>
          <w:p w14:paraId="3A44DC69"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3. Apart from the above, the Company is not aware of any connected relationship among other shareholders or whether they are parties acting in concert as stipulated in the Administrative Measures on Acquisition of Listed Companies.</w:t>
            </w:r>
          </w:p>
        </w:tc>
      </w:tr>
      <w:tr w:rsidR="006B66B7" w:rsidRPr="00FC2420" w14:paraId="0452084A"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CB5946"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Description of the above shareholders involved in proxy/trustee voting rights and waiver of voting rights</w:t>
            </w:r>
          </w:p>
        </w:tc>
        <w:tc>
          <w:tcPr>
            <w:tcW w:w="7886" w:type="dxa"/>
            <w:gridSpan w:val="8"/>
            <w:tcBorders>
              <w:top w:val="single" w:sz="2" w:space="0" w:color="auto"/>
              <w:left w:val="single" w:sz="2" w:space="0" w:color="auto"/>
              <w:bottom w:val="single" w:sz="2" w:space="0" w:color="auto"/>
              <w:right w:val="single" w:sz="2" w:space="0" w:color="auto"/>
            </w:tcBorders>
            <w:vAlign w:val="center"/>
          </w:tcPr>
          <w:p w14:paraId="392CBCC1"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Not applicable.</w:t>
            </w:r>
          </w:p>
        </w:tc>
      </w:tr>
      <w:tr w:rsidR="006B66B7" w:rsidRPr="00FC2420" w14:paraId="1C75CB36"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A14BFFF"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Special explanation on whether the top 10 shareholders have special accounts of repurchase (see Note 11)</w:t>
            </w:r>
          </w:p>
        </w:tc>
        <w:tc>
          <w:tcPr>
            <w:tcW w:w="7886" w:type="dxa"/>
            <w:gridSpan w:val="8"/>
            <w:tcBorders>
              <w:top w:val="single" w:sz="2" w:space="0" w:color="auto"/>
              <w:left w:val="single" w:sz="2" w:space="0" w:color="auto"/>
              <w:bottom w:val="single" w:sz="2" w:space="0" w:color="auto"/>
              <w:right w:val="single" w:sz="2" w:space="0" w:color="auto"/>
            </w:tcBorders>
            <w:vAlign w:val="center"/>
          </w:tcPr>
          <w:p w14:paraId="69166D8E"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Not applicable.</w:t>
            </w:r>
          </w:p>
        </w:tc>
      </w:tr>
      <w:tr w:rsidR="006B66B7" w:rsidRPr="00FC2420" w14:paraId="4ED60CF7" w14:textId="77777777" w:rsidTr="0001208F">
        <w:trPr>
          <w:jc w:val="center"/>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14:paraId="6E019C4C"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Shareholdings of the top 10 ordinary shareholders not subject to trading moratorium</w:t>
            </w:r>
          </w:p>
        </w:tc>
      </w:tr>
      <w:tr w:rsidR="006B66B7" w:rsidRPr="00FC2420" w14:paraId="06E03FB2" w14:textId="77777777" w:rsidTr="0001208F">
        <w:trPr>
          <w:jc w:val="center"/>
        </w:trPr>
        <w:tc>
          <w:tcPr>
            <w:tcW w:w="175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BC353A"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Name of shareholder</w:t>
            </w:r>
          </w:p>
        </w:tc>
        <w:tc>
          <w:tcPr>
            <w:tcW w:w="4381"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52AF36"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Number of shares not subject to selling restrictions held at the end of the Reporting Period</w:t>
            </w:r>
          </w:p>
        </w:tc>
        <w:tc>
          <w:tcPr>
            <w:tcW w:w="350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6188CD9"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Type of shares</w:t>
            </w:r>
          </w:p>
        </w:tc>
      </w:tr>
      <w:tr w:rsidR="006B66B7" w:rsidRPr="00FC2420" w14:paraId="65B4191E" w14:textId="77777777" w:rsidTr="0001208F">
        <w:trPr>
          <w:jc w:val="center"/>
        </w:trPr>
        <w:tc>
          <w:tcPr>
            <w:tcW w:w="175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63F8417D" w14:textId="77777777" w:rsidR="006B66B7" w:rsidRPr="00FC2420" w:rsidRDefault="006B66B7" w:rsidP="008C49B7">
            <w:pPr>
              <w:snapToGrid w:val="0"/>
              <w:rPr>
                <w:rFonts w:ascii="Times New Roman" w:hAnsi="Times New Roman" w:cs="Times New Roman"/>
                <w:sz w:val="16"/>
                <w:szCs w:val="16"/>
              </w:rPr>
            </w:pPr>
          </w:p>
        </w:tc>
        <w:tc>
          <w:tcPr>
            <w:tcW w:w="4381"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14:paraId="45F55098" w14:textId="77777777" w:rsidR="006B66B7" w:rsidRPr="00FC2420" w:rsidRDefault="006B66B7" w:rsidP="008C49B7">
            <w:pPr>
              <w:snapToGrid w:val="0"/>
              <w:rPr>
                <w:rFonts w:ascii="Times New Roman" w:hAnsi="Times New Roman" w:cs="Times New Roman"/>
                <w:sz w:val="16"/>
                <w:szCs w:val="16"/>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F21BE8B"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Type of shares</w:t>
            </w:r>
          </w:p>
        </w:tc>
        <w:tc>
          <w:tcPr>
            <w:tcW w:w="1753" w:type="dxa"/>
            <w:tcBorders>
              <w:top w:val="single" w:sz="2" w:space="0" w:color="auto"/>
              <w:left w:val="single" w:sz="2" w:space="0" w:color="auto"/>
              <w:bottom w:val="single" w:sz="2" w:space="0" w:color="auto"/>
              <w:right w:val="single" w:sz="2" w:space="0" w:color="auto"/>
            </w:tcBorders>
            <w:shd w:val="clear" w:color="auto" w:fill="D3D3D3"/>
            <w:vAlign w:val="center"/>
          </w:tcPr>
          <w:p w14:paraId="7C97C6D7" w14:textId="77777777" w:rsidR="006B66B7" w:rsidRPr="00FC2420" w:rsidRDefault="002349C6" w:rsidP="008C49B7">
            <w:pPr>
              <w:snapToGrid w:val="0"/>
              <w:jc w:val="center"/>
              <w:rPr>
                <w:rFonts w:ascii="Times New Roman" w:eastAsia="宋体" w:hAnsi="Times New Roman" w:cs="Times New Roman"/>
                <w:sz w:val="16"/>
                <w:szCs w:val="16"/>
              </w:rPr>
            </w:pPr>
            <w:r w:rsidRPr="00FC2420">
              <w:rPr>
                <w:rFonts w:ascii="Times New Roman" w:eastAsia="宋体" w:hAnsi="Times New Roman" w:cs="Times New Roman"/>
                <w:sz w:val="16"/>
                <w:szCs w:val="16"/>
              </w:rPr>
              <w:t>Number</w:t>
            </w:r>
          </w:p>
        </w:tc>
      </w:tr>
      <w:tr w:rsidR="006B66B7" w:rsidRPr="00FC2420" w14:paraId="2A4A565A"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49348D35"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 xml:space="preserve">Jiangsu </w:t>
            </w:r>
            <w:proofErr w:type="spellStart"/>
            <w:r w:rsidRPr="00FC2420">
              <w:rPr>
                <w:rFonts w:ascii="Times New Roman" w:eastAsia="宋体" w:hAnsi="Times New Roman" w:cs="Times New Roman"/>
                <w:sz w:val="16"/>
                <w:szCs w:val="16"/>
              </w:rPr>
              <w:t>Yangjie</w:t>
            </w:r>
            <w:proofErr w:type="spellEnd"/>
            <w:r w:rsidRPr="00FC2420">
              <w:rPr>
                <w:rFonts w:ascii="Times New Roman" w:eastAsia="宋体" w:hAnsi="Times New Roman" w:cs="Times New Roman"/>
                <w:sz w:val="16"/>
                <w:szCs w:val="16"/>
              </w:rPr>
              <w:t xml:space="preserve"> Investment Co., Ltd.</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001A0705"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191,572,400.00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018BF95A"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71E99D7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191,572,400.00</w:t>
            </w:r>
          </w:p>
        </w:tc>
      </w:tr>
      <w:tr w:rsidR="006B66B7" w:rsidRPr="00FC2420" w14:paraId="1CDAC453"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00DF8674" w14:textId="77777777" w:rsidR="006B66B7" w:rsidRPr="00FC2420" w:rsidRDefault="002349C6" w:rsidP="008C49B7">
            <w:pPr>
              <w:snapToGrid w:val="0"/>
              <w:rPr>
                <w:rFonts w:ascii="Times New Roman" w:eastAsia="宋体" w:hAnsi="Times New Roman" w:cs="Times New Roman"/>
                <w:sz w:val="16"/>
                <w:szCs w:val="16"/>
              </w:rPr>
            </w:pPr>
            <w:proofErr w:type="spellStart"/>
            <w:r w:rsidRPr="00FC2420">
              <w:rPr>
                <w:rFonts w:ascii="Times New Roman" w:eastAsia="宋体" w:hAnsi="Times New Roman" w:cs="Times New Roman"/>
                <w:sz w:val="16"/>
                <w:szCs w:val="16"/>
              </w:rPr>
              <w:t>Jianshui</w:t>
            </w:r>
            <w:proofErr w:type="spellEnd"/>
            <w:r w:rsidRPr="00FC2420">
              <w:rPr>
                <w:rFonts w:ascii="Times New Roman" w:eastAsia="宋体" w:hAnsi="Times New Roman" w:cs="Times New Roman"/>
                <w:sz w:val="16"/>
                <w:szCs w:val="16"/>
              </w:rPr>
              <w:t xml:space="preserve"> County </w:t>
            </w:r>
            <w:proofErr w:type="spellStart"/>
            <w:r w:rsidRPr="00FC2420">
              <w:rPr>
                <w:rFonts w:ascii="Times New Roman" w:eastAsia="宋体" w:hAnsi="Times New Roman" w:cs="Times New Roman"/>
                <w:sz w:val="16"/>
                <w:szCs w:val="16"/>
              </w:rPr>
              <w:t>Jiejie</w:t>
            </w:r>
            <w:proofErr w:type="spellEnd"/>
            <w:r w:rsidRPr="00FC2420">
              <w:rPr>
                <w:rFonts w:ascii="Times New Roman" w:eastAsia="宋体" w:hAnsi="Times New Roman" w:cs="Times New Roman"/>
                <w:sz w:val="16"/>
                <w:szCs w:val="16"/>
              </w:rPr>
              <w:t xml:space="preserve"> Enterprise Management Co., Ltd.</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1A35B5C2"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63,723,520.00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198A8E00"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73764FA8"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63,723,520.00</w:t>
            </w:r>
          </w:p>
        </w:tc>
      </w:tr>
      <w:tr w:rsidR="006B66B7" w:rsidRPr="00FC2420" w14:paraId="269684F5"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0FAA6FC2"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Citibank, National Association</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188E2385"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28,679,000.00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1FF56814"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24A69B0A"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28,679,000.00</w:t>
            </w:r>
          </w:p>
        </w:tc>
      </w:tr>
      <w:tr w:rsidR="006B66B7" w:rsidRPr="00FC2420" w14:paraId="56BB5143"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777778ED"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Hong Kong Securities Clearing Company Ltd. (HKSCC)</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3D6718B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11,232,326.00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372B8DEE"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1CF0A37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11,232,326.00</w:t>
            </w:r>
          </w:p>
        </w:tc>
      </w:tr>
      <w:tr w:rsidR="006B66B7" w:rsidRPr="00FC2420" w14:paraId="5D74895E"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6B29530D"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 xml:space="preserve">Agricultural Bank of China Limited - </w:t>
            </w:r>
            <w:proofErr w:type="spellStart"/>
            <w:r w:rsidRPr="00FC2420">
              <w:rPr>
                <w:rFonts w:ascii="Times New Roman" w:eastAsia="宋体" w:hAnsi="Times New Roman" w:cs="Times New Roman"/>
                <w:sz w:val="16"/>
                <w:szCs w:val="16"/>
              </w:rPr>
              <w:t>Guotai</w:t>
            </w:r>
            <w:proofErr w:type="spellEnd"/>
            <w:r w:rsidRPr="00FC2420">
              <w:rPr>
                <w:rFonts w:ascii="Times New Roman" w:eastAsia="宋体" w:hAnsi="Times New Roman" w:cs="Times New Roman"/>
                <w:sz w:val="16"/>
                <w:szCs w:val="16"/>
              </w:rPr>
              <w:t xml:space="preserve"> Smart Car Equity Investment Fund</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2B640027"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5,290,431.00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36669755"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18C87671"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5,290,431.00</w:t>
            </w:r>
          </w:p>
        </w:tc>
      </w:tr>
      <w:tr w:rsidR="006B66B7" w:rsidRPr="00FC2420" w14:paraId="727EED04"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5AC6BD74"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Wang Yan</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155EF0F9"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3,766,000.00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764F2E29"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56AAD37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3,766,000.00</w:t>
            </w:r>
          </w:p>
        </w:tc>
      </w:tr>
      <w:tr w:rsidR="006B66B7" w:rsidRPr="00FC2420" w14:paraId="72A570D6"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0A57B788" w14:textId="77777777" w:rsidR="006B66B7" w:rsidRPr="00FC2420" w:rsidRDefault="002349C6" w:rsidP="008C49B7">
            <w:pPr>
              <w:snapToGrid w:val="0"/>
              <w:rPr>
                <w:rFonts w:ascii="Times New Roman" w:eastAsia="宋体" w:hAnsi="Times New Roman" w:cs="Times New Roman"/>
                <w:sz w:val="16"/>
                <w:szCs w:val="16"/>
              </w:rPr>
            </w:pPr>
            <w:proofErr w:type="spellStart"/>
            <w:r w:rsidRPr="00FC2420">
              <w:rPr>
                <w:rFonts w:ascii="Times New Roman" w:eastAsia="宋体" w:hAnsi="Times New Roman" w:cs="Times New Roman"/>
                <w:sz w:val="16"/>
                <w:szCs w:val="16"/>
              </w:rPr>
              <w:t>Huaxia</w:t>
            </w:r>
            <w:proofErr w:type="spellEnd"/>
            <w:r w:rsidRPr="00FC2420">
              <w:rPr>
                <w:rFonts w:ascii="Times New Roman" w:eastAsia="宋体" w:hAnsi="Times New Roman" w:cs="Times New Roman"/>
                <w:sz w:val="16"/>
                <w:szCs w:val="16"/>
              </w:rPr>
              <w:t xml:space="preserve"> Life Insurance Co., Ltd. - Own Funds</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6228804C"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3,533,563.00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46CEBDAC"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044F5611"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3,533,563.00</w:t>
            </w:r>
          </w:p>
        </w:tc>
      </w:tr>
      <w:tr w:rsidR="006B66B7" w:rsidRPr="00FC2420" w14:paraId="7E578BCF"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4FE6B774" w14:textId="77777777" w:rsidR="006B66B7" w:rsidRPr="00FC2420" w:rsidRDefault="002349C6" w:rsidP="008C49B7">
            <w:pPr>
              <w:snapToGrid w:val="0"/>
              <w:rPr>
                <w:rFonts w:ascii="Times New Roman" w:eastAsia="宋体" w:hAnsi="Times New Roman" w:cs="Times New Roman"/>
                <w:sz w:val="16"/>
                <w:szCs w:val="16"/>
              </w:rPr>
            </w:pPr>
            <w:proofErr w:type="spellStart"/>
            <w:r w:rsidRPr="00FC2420">
              <w:rPr>
                <w:rFonts w:ascii="Times New Roman" w:eastAsia="宋体" w:hAnsi="Times New Roman" w:cs="Times New Roman"/>
                <w:sz w:val="16"/>
                <w:szCs w:val="16"/>
              </w:rPr>
              <w:t>Guotai</w:t>
            </w:r>
            <w:proofErr w:type="spellEnd"/>
            <w:r w:rsidRPr="00FC2420">
              <w:rPr>
                <w:rFonts w:ascii="Times New Roman" w:eastAsia="宋体" w:hAnsi="Times New Roman" w:cs="Times New Roman"/>
                <w:sz w:val="16"/>
                <w:szCs w:val="16"/>
              </w:rPr>
              <w:t xml:space="preserve"> </w:t>
            </w:r>
            <w:proofErr w:type="spellStart"/>
            <w:r w:rsidRPr="00FC2420">
              <w:rPr>
                <w:rFonts w:ascii="Times New Roman" w:eastAsia="宋体" w:hAnsi="Times New Roman" w:cs="Times New Roman"/>
                <w:sz w:val="16"/>
                <w:szCs w:val="16"/>
              </w:rPr>
              <w:t>Junan</w:t>
            </w:r>
            <w:proofErr w:type="spellEnd"/>
            <w:r w:rsidRPr="00FC2420">
              <w:rPr>
                <w:rFonts w:ascii="Times New Roman" w:eastAsia="宋体" w:hAnsi="Times New Roman" w:cs="Times New Roman"/>
                <w:sz w:val="16"/>
                <w:szCs w:val="16"/>
              </w:rPr>
              <w:t xml:space="preserve"> Securities Co., Ltd. - CPIC CSI Industry Top Index Semiconductor Product and Equipment Exchange Traded Fund</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6118C4C4"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3,490,661.00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0E417510"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0034A2D6"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3,490,661.00</w:t>
            </w:r>
          </w:p>
        </w:tc>
      </w:tr>
      <w:tr w:rsidR="006B66B7" w:rsidRPr="00FC2420" w14:paraId="48D0AC1B"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7F9B7A82"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Bank of China Limited–</w:t>
            </w:r>
            <w:proofErr w:type="spellStart"/>
            <w:r w:rsidRPr="00FC2420">
              <w:rPr>
                <w:rFonts w:ascii="Times New Roman" w:eastAsia="宋体" w:hAnsi="Times New Roman" w:cs="Times New Roman"/>
                <w:sz w:val="16"/>
                <w:szCs w:val="16"/>
              </w:rPr>
              <w:t>Guotai</w:t>
            </w:r>
            <w:proofErr w:type="spellEnd"/>
            <w:r w:rsidRPr="00FC2420">
              <w:rPr>
                <w:rFonts w:ascii="Times New Roman" w:eastAsia="宋体" w:hAnsi="Times New Roman" w:cs="Times New Roman"/>
                <w:sz w:val="16"/>
                <w:szCs w:val="16"/>
              </w:rPr>
              <w:t xml:space="preserve"> CES Semiconductor Chip </w:t>
            </w:r>
            <w:r w:rsidRPr="00FC2420">
              <w:rPr>
                <w:rFonts w:ascii="Times New Roman" w:eastAsia="宋体" w:hAnsi="Times New Roman" w:cs="Times New Roman"/>
                <w:sz w:val="16"/>
                <w:szCs w:val="16"/>
              </w:rPr>
              <w:lastRenderedPageBreak/>
              <w:t>Industry Exchange Traded Fund (ETF)</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0AB7D4A0"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lastRenderedPageBreak/>
              <w:t>3,156,431.00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4964BA4B"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384BA39E"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3,156,431.00</w:t>
            </w:r>
          </w:p>
        </w:tc>
      </w:tr>
      <w:tr w:rsidR="006B66B7" w:rsidRPr="00FC2420" w14:paraId="6C1BAE81"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vAlign w:val="center"/>
          </w:tcPr>
          <w:p w14:paraId="08675B22"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Industrial and Commercial Bank of China Limited–E Fund Growth Enterprise Market (GEM) Exchange Traded Fund (ETF)</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001FDA3B"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2,926,329.00</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6103C9B8"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RMB ordinary shares</w:t>
            </w:r>
          </w:p>
        </w:tc>
        <w:tc>
          <w:tcPr>
            <w:tcW w:w="1753" w:type="dxa"/>
            <w:tcBorders>
              <w:top w:val="single" w:sz="2" w:space="0" w:color="auto"/>
              <w:left w:val="single" w:sz="2" w:space="0" w:color="auto"/>
              <w:bottom w:val="single" w:sz="2" w:space="0" w:color="auto"/>
              <w:right w:val="single" w:sz="2" w:space="0" w:color="auto"/>
            </w:tcBorders>
            <w:vAlign w:val="center"/>
          </w:tcPr>
          <w:p w14:paraId="695E9233" w14:textId="77777777" w:rsidR="006B66B7" w:rsidRPr="00FC2420" w:rsidRDefault="002349C6" w:rsidP="008C49B7">
            <w:pPr>
              <w:snapToGrid w:val="0"/>
              <w:jc w:val="right"/>
              <w:rPr>
                <w:rFonts w:ascii="Times New Roman" w:eastAsia="宋体" w:hAnsi="Times New Roman" w:cs="Times New Roman"/>
                <w:sz w:val="16"/>
                <w:szCs w:val="16"/>
              </w:rPr>
            </w:pPr>
            <w:r w:rsidRPr="00FC2420">
              <w:rPr>
                <w:rFonts w:ascii="Times New Roman" w:eastAsia="宋体" w:hAnsi="Times New Roman" w:cs="Times New Roman"/>
                <w:sz w:val="16"/>
                <w:szCs w:val="16"/>
              </w:rPr>
              <w:t>2,926,329.00</w:t>
            </w:r>
          </w:p>
        </w:tc>
      </w:tr>
      <w:tr w:rsidR="006B66B7" w:rsidRPr="00FC2420" w14:paraId="1DC7FD81"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D026DFD"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Explanation on the affiliation or concerted action among the top 10 shareholders of floating stocks not subject to selling restrictions, and among these shareholders and the top 10 shareholders</w:t>
            </w:r>
          </w:p>
        </w:tc>
        <w:tc>
          <w:tcPr>
            <w:tcW w:w="7886" w:type="dxa"/>
            <w:gridSpan w:val="8"/>
            <w:tcBorders>
              <w:top w:val="single" w:sz="2" w:space="0" w:color="auto"/>
              <w:left w:val="single" w:sz="2" w:space="0" w:color="auto"/>
              <w:bottom w:val="single" w:sz="2" w:space="0" w:color="auto"/>
              <w:right w:val="single" w:sz="2" w:space="0" w:color="auto"/>
            </w:tcBorders>
            <w:vAlign w:val="center"/>
          </w:tcPr>
          <w:p w14:paraId="61428F19"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 xml:space="preserve">1. Ms. Liang Qin is the de facto controller of both Jiangsu </w:t>
            </w:r>
            <w:proofErr w:type="spellStart"/>
            <w:r w:rsidRPr="00FC2420">
              <w:rPr>
                <w:rFonts w:ascii="Times New Roman" w:eastAsia="宋体" w:hAnsi="Times New Roman" w:cs="Times New Roman"/>
                <w:sz w:val="16"/>
                <w:szCs w:val="16"/>
              </w:rPr>
              <w:t>Yangjie</w:t>
            </w:r>
            <w:proofErr w:type="spellEnd"/>
            <w:r w:rsidRPr="00FC2420">
              <w:rPr>
                <w:rFonts w:ascii="Times New Roman" w:eastAsia="宋体" w:hAnsi="Times New Roman" w:cs="Times New Roman"/>
                <w:sz w:val="16"/>
                <w:szCs w:val="16"/>
              </w:rPr>
              <w:t xml:space="preserve"> Investment Co., Ltd. and </w:t>
            </w:r>
            <w:proofErr w:type="spellStart"/>
            <w:r w:rsidRPr="00FC2420">
              <w:rPr>
                <w:rFonts w:ascii="Times New Roman" w:eastAsia="宋体" w:hAnsi="Times New Roman" w:cs="Times New Roman"/>
                <w:sz w:val="16"/>
                <w:szCs w:val="16"/>
              </w:rPr>
              <w:t>Jianshui</w:t>
            </w:r>
            <w:proofErr w:type="spellEnd"/>
            <w:r w:rsidRPr="00FC2420">
              <w:rPr>
                <w:rFonts w:ascii="Times New Roman" w:eastAsia="宋体" w:hAnsi="Times New Roman" w:cs="Times New Roman"/>
                <w:sz w:val="16"/>
                <w:szCs w:val="16"/>
              </w:rPr>
              <w:t xml:space="preserve"> County </w:t>
            </w:r>
            <w:proofErr w:type="spellStart"/>
            <w:r w:rsidRPr="00FC2420">
              <w:rPr>
                <w:rFonts w:ascii="Times New Roman" w:eastAsia="宋体" w:hAnsi="Times New Roman" w:cs="Times New Roman"/>
                <w:sz w:val="16"/>
                <w:szCs w:val="16"/>
              </w:rPr>
              <w:t>Jiejie</w:t>
            </w:r>
            <w:proofErr w:type="spellEnd"/>
            <w:r w:rsidRPr="00FC2420">
              <w:rPr>
                <w:rFonts w:ascii="Times New Roman" w:eastAsia="宋体" w:hAnsi="Times New Roman" w:cs="Times New Roman"/>
                <w:sz w:val="16"/>
                <w:szCs w:val="16"/>
              </w:rPr>
              <w:t xml:space="preserve"> Enterprise Management Co., Ltd., and is a person acting in concert;</w:t>
            </w:r>
          </w:p>
          <w:p w14:paraId="5178AC97"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2. Ms. Wang Yan is the sister of Ms. Liang Qin's spouse;</w:t>
            </w:r>
          </w:p>
          <w:p w14:paraId="1D81F606"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 xml:space="preserve">3. Apart from the above, the Company is not aware of any connected relationship among other shareholders or whether they are parties acting in concert as stipulated in the </w:t>
            </w:r>
            <w:r w:rsidRPr="00FC2420">
              <w:rPr>
                <w:rFonts w:ascii="Times New Roman" w:eastAsia="宋体" w:hAnsi="Times New Roman" w:cs="Times New Roman"/>
                <w:i/>
                <w:iCs/>
                <w:sz w:val="16"/>
                <w:szCs w:val="16"/>
              </w:rPr>
              <w:t>Administrative Measures on Acquisition of Listed Companies</w:t>
            </w:r>
            <w:r w:rsidRPr="00FC2420">
              <w:rPr>
                <w:rFonts w:ascii="Times New Roman" w:eastAsia="宋体" w:hAnsi="Times New Roman" w:cs="Times New Roman"/>
                <w:sz w:val="16"/>
                <w:szCs w:val="16"/>
              </w:rPr>
              <w:t>.</w:t>
            </w:r>
          </w:p>
        </w:tc>
      </w:tr>
      <w:tr w:rsidR="006B66B7" w:rsidRPr="00FC2420" w14:paraId="2548C1B3" w14:textId="77777777" w:rsidTr="0001208F">
        <w:trPr>
          <w:jc w:val="center"/>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C54EF9E"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Top 10 ordinary shareholders participating in margin trading and securities lending (if any) (see Note 4)</w:t>
            </w:r>
          </w:p>
        </w:tc>
        <w:tc>
          <w:tcPr>
            <w:tcW w:w="7886" w:type="dxa"/>
            <w:gridSpan w:val="8"/>
            <w:tcBorders>
              <w:top w:val="single" w:sz="2" w:space="0" w:color="auto"/>
              <w:left w:val="single" w:sz="2" w:space="0" w:color="auto"/>
              <w:bottom w:val="single" w:sz="2" w:space="0" w:color="auto"/>
              <w:right w:val="single" w:sz="2" w:space="0" w:color="auto"/>
            </w:tcBorders>
            <w:vAlign w:val="center"/>
          </w:tcPr>
          <w:p w14:paraId="01794B42" w14:textId="77777777" w:rsidR="006B66B7" w:rsidRPr="00FC2420" w:rsidRDefault="002349C6" w:rsidP="008C49B7">
            <w:pPr>
              <w:snapToGrid w:val="0"/>
              <w:rPr>
                <w:rFonts w:ascii="Times New Roman" w:eastAsia="宋体" w:hAnsi="Times New Roman" w:cs="Times New Roman"/>
                <w:sz w:val="16"/>
                <w:szCs w:val="16"/>
              </w:rPr>
            </w:pPr>
            <w:r w:rsidRPr="00FC2420">
              <w:rPr>
                <w:rFonts w:ascii="Times New Roman" w:eastAsia="宋体" w:hAnsi="Times New Roman" w:cs="Times New Roman"/>
                <w:sz w:val="16"/>
                <w:szCs w:val="16"/>
              </w:rPr>
              <w:t>N/A</w:t>
            </w:r>
          </w:p>
        </w:tc>
      </w:tr>
    </w:tbl>
    <w:p w14:paraId="733BB5A2"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Whether the Company has a differential voting rights arrangement</w:t>
      </w:r>
    </w:p>
    <w:p w14:paraId="54B409BD" w14:textId="40F00078"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□Yes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w:t>
      </w:r>
    </w:p>
    <w:p w14:paraId="19E67FE3"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Have the Company's top 10 ordinary shareholders, and top 10 ordinary shareholders not subject to selling restrictions, conducted agreed buy-back deals during the Reporting Period?</w:t>
      </w:r>
    </w:p>
    <w:p w14:paraId="3AC4F458" w14:textId="345E26E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□Yes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w:t>
      </w:r>
    </w:p>
    <w:p w14:paraId="30DE9562"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Company's top 10 ordinary shareholders, and top 10 ordinary shareholders not subject to selling restrictions, have not conducted agreed buy-back deals during the Reporting Period.</w:t>
      </w:r>
    </w:p>
    <w:p w14:paraId="66159A07" w14:textId="77777777" w:rsidR="006B66B7" w:rsidRPr="00F73301" w:rsidRDefault="002349C6" w:rsidP="00FC2420">
      <w:pPr>
        <w:pStyle w:val="2"/>
      </w:pPr>
      <w:bookmarkStart w:id="89" w:name="_Toc988977"/>
      <w:r w:rsidRPr="00F73301">
        <w:t>IV. Total Amount of Pledged Shares of the Company's Controlling Shareholders or the Major Shareholder and the Persons Acting in Concert Accounting for 80% of the Amount of the Company's Shares Held by It</w:t>
      </w:r>
      <w:bookmarkEnd w:id="89"/>
    </w:p>
    <w:p w14:paraId="65C2FF0B" w14:textId="6B9871E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4BF368C" w14:textId="77777777" w:rsidR="006B66B7" w:rsidRPr="00F73301" w:rsidRDefault="002349C6" w:rsidP="00FC2420">
      <w:pPr>
        <w:pStyle w:val="2"/>
      </w:pPr>
      <w:bookmarkStart w:id="90" w:name="_Toc988978"/>
      <w:r w:rsidRPr="00F73301">
        <w:t>V. Changes in the Shareholdings of the Directors, Supervisors, and Senior Management Officers of the Company</w:t>
      </w:r>
      <w:bookmarkEnd w:id="90"/>
    </w:p>
    <w:p w14:paraId="369C3B67" w14:textId="6AEEC9E0"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29FAE25"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were no changes in the shareholding of directors, supervisors, and senior management officers of the Company during the Reporting Period. For details, see the 2022 Annual Report.</w:t>
      </w:r>
    </w:p>
    <w:p w14:paraId="62E87F1B" w14:textId="77777777" w:rsidR="006B66B7" w:rsidRPr="00F73301" w:rsidRDefault="002349C6" w:rsidP="00FC2420">
      <w:pPr>
        <w:pStyle w:val="2"/>
      </w:pPr>
      <w:bookmarkStart w:id="91" w:name="_Toc988979"/>
      <w:r w:rsidRPr="00F73301">
        <w:t>VI. Changes in Controlling Shareholders or de facto Controllers</w:t>
      </w:r>
      <w:bookmarkEnd w:id="91"/>
    </w:p>
    <w:p w14:paraId="0C611B75"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Changes of controlling shareholders during the Reporting Period</w:t>
      </w:r>
    </w:p>
    <w:p w14:paraId="04671985" w14:textId="4C452A5E"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24AB7C5"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were no changes in controlling shareholders of the Company during the Reporting Period.</w:t>
      </w:r>
    </w:p>
    <w:p w14:paraId="0778B9BE"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Changes of de facto controllers of the Company during the Reporting Period</w:t>
      </w:r>
    </w:p>
    <w:p w14:paraId="3D7A51D8" w14:textId="7865B97F"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18A28F33"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were no changes in de facto controllers of the Company during the Reporting Period.</w:t>
      </w:r>
    </w:p>
    <w:p w14:paraId="2F5C4383" w14:textId="77777777" w:rsidR="006B66B7" w:rsidRPr="00F73301" w:rsidRDefault="002349C6" w:rsidP="00FC2420">
      <w:pPr>
        <w:snapToGrid w:val="0"/>
        <w:spacing w:beforeLines="50" w:before="156" w:afterLines="50" w:after="156"/>
        <w:jc w:val="both"/>
        <w:rPr>
          <w:rFonts w:ascii="Times New Roman" w:hAnsi="Times New Roman" w:cs="Times New Roman"/>
          <w:sz w:val="24"/>
          <w:szCs w:val="24"/>
        </w:rPr>
      </w:pPr>
      <w:r w:rsidRPr="00F73301">
        <w:rPr>
          <w:rFonts w:ascii="Times New Roman" w:hAnsi="Times New Roman" w:cs="Times New Roman"/>
          <w:sz w:val="24"/>
          <w:szCs w:val="24"/>
        </w:rPr>
        <w:br w:type="page"/>
      </w:r>
    </w:p>
    <w:p w14:paraId="0196C3F9" w14:textId="77777777" w:rsidR="006B66B7" w:rsidRPr="00F73301" w:rsidRDefault="002349C6" w:rsidP="008C49B7">
      <w:pPr>
        <w:pStyle w:val="headingh1"/>
      </w:pPr>
      <w:bookmarkStart w:id="92" w:name="_Toc988980"/>
      <w:r w:rsidRPr="00F73301">
        <w:lastRenderedPageBreak/>
        <w:t>Section VIII Relevant Information about Preferred Shares</w:t>
      </w:r>
      <w:bookmarkEnd w:id="92"/>
    </w:p>
    <w:p w14:paraId="0FE8D099" w14:textId="334441AB"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71972657" w14:textId="77777777"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During the Reporting Period, the Company has no preferred shares.</w:t>
      </w:r>
    </w:p>
    <w:p w14:paraId="4EA6DC1E" w14:textId="77777777" w:rsidR="006B66B7" w:rsidRPr="00F73301" w:rsidRDefault="002349C6" w:rsidP="00F73301">
      <w:pPr>
        <w:snapToGrid w:val="0"/>
        <w:spacing w:beforeLines="50" w:before="156" w:afterLines="50" w:after="156"/>
        <w:rPr>
          <w:rFonts w:ascii="Times New Roman" w:hAnsi="Times New Roman" w:cs="Times New Roman"/>
          <w:sz w:val="24"/>
          <w:szCs w:val="24"/>
        </w:rPr>
      </w:pPr>
      <w:r w:rsidRPr="00F73301">
        <w:rPr>
          <w:rFonts w:ascii="Times New Roman" w:hAnsi="Times New Roman" w:cs="Times New Roman"/>
          <w:sz w:val="24"/>
          <w:szCs w:val="24"/>
        </w:rPr>
        <w:br w:type="page"/>
      </w:r>
    </w:p>
    <w:p w14:paraId="72573A8B" w14:textId="77777777" w:rsidR="006B66B7" w:rsidRPr="00F73301" w:rsidRDefault="002349C6" w:rsidP="008C49B7">
      <w:pPr>
        <w:pStyle w:val="headingh1"/>
      </w:pPr>
      <w:bookmarkStart w:id="93" w:name="_Toc988981"/>
      <w:r w:rsidRPr="00F73301">
        <w:lastRenderedPageBreak/>
        <w:t>Section IX Relevant Information about Bonds</w:t>
      </w:r>
      <w:bookmarkEnd w:id="93"/>
    </w:p>
    <w:p w14:paraId="176DE9EC" w14:textId="47B40CCD" w:rsidR="006B66B7" w:rsidRPr="00F73301" w:rsidRDefault="002349C6"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□Applicable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E3C32FD" w14:textId="77777777" w:rsidR="00F73301" w:rsidRPr="00F73301" w:rsidRDefault="002349C6" w:rsidP="008C49B7">
      <w:pPr>
        <w:pStyle w:val="headingh1"/>
      </w:pPr>
      <w:r w:rsidRPr="00F73301">
        <w:br w:type="page"/>
      </w:r>
      <w:bookmarkStart w:id="94" w:name="_Toc988982"/>
      <w:r w:rsidR="00F73301" w:rsidRPr="00F73301">
        <w:lastRenderedPageBreak/>
        <w:t>Section X Financial Statements</w:t>
      </w:r>
      <w:bookmarkEnd w:id="94"/>
    </w:p>
    <w:p w14:paraId="367CD8B2" w14:textId="77777777" w:rsidR="00F73301" w:rsidRPr="00F73301" w:rsidRDefault="00F73301" w:rsidP="00FC2420">
      <w:pPr>
        <w:keepNext/>
        <w:keepLines/>
        <w:snapToGrid w:val="0"/>
        <w:spacing w:beforeLines="50" w:before="156" w:afterLines="50" w:after="156"/>
        <w:jc w:val="both"/>
        <w:outlineLvl w:val="1"/>
        <w:rPr>
          <w:rFonts w:ascii="Times New Roman" w:eastAsia="宋体" w:hAnsi="Times New Roman" w:cs="Times New Roman"/>
          <w:b/>
          <w:bCs/>
          <w:sz w:val="24"/>
          <w:szCs w:val="24"/>
        </w:rPr>
      </w:pPr>
      <w:bookmarkStart w:id="95" w:name="_Toc988983"/>
      <w:r w:rsidRPr="00F73301">
        <w:rPr>
          <w:rFonts w:ascii="Times New Roman" w:eastAsia="宋体" w:hAnsi="Times New Roman" w:cs="Times New Roman"/>
          <w:b/>
          <w:bCs/>
          <w:sz w:val="24"/>
          <w:szCs w:val="24"/>
        </w:rPr>
        <w:t>I. Auditor’s Report</w:t>
      </w:r>
      <w:bookmarkEnd w:id="95"/>
    </w:p>
    <w:p w14:paraId="6E91F4C3" w14:textId="77777777" w:rsidR="00F73301" w:rsidRPr="00F73301" w:rsidRDefault="00F73301"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Has the semi-annual report been audited?</w:t>
      </w:r>
    </w:p>
    <w:p w14:paraId="7067BD58" w14:textId="337EBF8F" w:rsidR="00F73301" w:rsidRPr="00F73301" w:rsidRDefault="00F73301"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□Yes </w:t>
      </w:r>
      <w:r w:rsidR="00FC2420"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w:t>
      </w:r>
    </w:p>
    <w:p w14:paraId="56D7D75F" w14:textId="77777777" w:rsidR="00F73301" w:rsidRPr="00F73301" w:rsidRDefault="00F73301"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Company's semi-annual financial statements has not been audited.</w:t>
      </w:r>
    </w:p>
    <w:p w14:paraId="316E41D6" w14:textId="77777777" w:rsidR="00F73301" w:rsidRPr="00F73301" w:rsidRDefault="00F73301" w:rsidP="00FC2420">
      <w:pPr>
        <w:keepNext/>
        <w:keepLines/>
        <w:snapToGrid w:val="0"/>
        <w:spacing w:beforeLines="50" w:before="156" w:afterLines="50" w:after="156"/>
        <w:jc w:val="both"/>
        <w:outlineLvl w:val="1"/>
        <w:rPr>
          <w:rFonts w:ascii="Times New Roman" w:eastAsia="宋体" w:hAnsi="Times New Roman" w:cs="Times New Roman"/>
          <w:b/>
          <w:bCs/>
          <w:sz w:val="24"/>
          <w:szCs w:val="24"/>
        </w:rPr>
      </w:pPr>
      <w:bookmarkStart w:id="96" w:name="_Toc988984"/>
      <w:r w:rsidRPr="00F73301">
        <w:rPr>
          <w:rFonts w:ascii="Times New Roman" w:eastAsia="宋体" w:hAnsi="Times New Roman" w:cs="Times New Roman"/>
          <w:b/>
          <w:bCs/>
          <w:sz w:val="24"/>
          <w:szCs w:val="24"/>
        </w:rPr>
        <w:t>II. Financial Statement</w:t>
      </w:r>
      <w:bookmarkEnd w:id="96"/>
    </w:p>
    <w:p w14:paraId="6DE07EEA" w14:textId="77777777" w:rsidR="00F73301" w:rsidRPr="00F73301" w:rsidRDefault="00F73301"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unit in the notes to the financial statement is RMB.</w:t>
      </w:r>
    </w:p>
    <w:p w14:paraId="5871BE7C" w14:textId="77777777" w:rsidR="00F73301" w:rsidRPr="00F73301" w:rsidRDefault="00F73301" w:rsidP="00FC2420">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97" w:name="_Toc988985"/>
      <w:r w:rsidRPr="00F73301">
        <w:rPr>
          <w:rFonts w:ascii="Times New Roman" w:eastAsia="宋体" w:hAnsi="Times New Roman" w:cs="Times New Roman"/>
          <w:b/>
          <w:bCs/>
          <w:sz w:val="24"/>
          <w:szCs w:val="24"/>
        </w:rPr>
        <w:t>1. Consolidated balance sheet</w:t>
      </w:r>
      <w:bookmarkEnd w:id="97"/>
    </w:p>
    <w:p w14:paraId="1EA56F0B" w14:textId="77777777" w:rsidR="00F73301" w:rsidRPr="00F73301" w:rsidRDefault="00F73301" w:rsidP="00FC242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Prepared by: Yangzhou </w:t>
      </w:r>
      <w:proofErr w:type="spellStart"/>
      <w:r w:rsidRPr="00F73301">
        <w:rPr>
          <w:rFonts w:ascii="Times New Roman" w:eastAsia="宋体" w:hAnsi="Times New Roman" w:cs="Times New Roman"/>
          <w:sz w:val="24"/>
          <w:szCs w:val="24"/>
        </w:rPr>
        <w:t>Yangjie</w:t>
      </w:r>
      <w:proofErr w:type="spellEnd"/>
      <w:r w:rsidRPr="00F73301">
        <w:rPr>
          <w:rFonts w:ascii="Times New Roman" w:eastAsia="宋体" w:hAnsi="Times New Roman" w:cs="Times New Roman"/>
          <w:sz w:val="24"/>
          <w:szCs w:val="24"/>
        </w:rPr>
        <w:t xml:space="preserve"> Electronic Technology Co., Ltd.</w:t>
      </w:r>
    </w:p>
    <w:p w14:paraId="4BA1C439" w14:textId="77777777" w:rsidR="00F73301" w:rsidRPr="00F73301" w:rsidRDefault="00F73301" w:rsidP="00F73301">
      <w:pPr>
        <w:snapToGrid w:val="0"/>
        <w:spacing w:beforeLines="50" w:before="156" w:afterLines="50" w:after="156"/>
        <w:jc w:val="center"/>
        <w:rPr>
          <w:rFonts w:ascii="Times New Roman" w:eastAsia="宋体" w:hAnsi="Times New Roman" w:cs="Times New Roman"/>
          <w:sz w:val="24"/>
          <w:szCs w:val="24"/>
        </w:rPr>
      </w:pPr>
      <w:r w:rsidRPr="00F73301">
        <w:rPr>
          <w:rFonts w:ascii="Times New Roman" w:eastAsia="宋体" w:hAnsi="Times New Roman" w:cs="Times New Roman"/>
          <w:sz w:val="24"/>
          <w:szCs w:val="24"/>
        </w:rPr>
        <w:t>June 30, 2023</w:t>
      </w:r>
    </w:p>
    <w:p w14:paraId="17F1A6A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3213"/>
        <w:gridCol w:w="3213"/>
        <w:gridCol w:w="3213"/>
      </w:tblGrid>
      <w:tr w:rsidR="00F73301" w:rsidRPr="00F73301" w14:paraId="3690565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926C3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4E723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June 30, 2023</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817C7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January 1, 2023</w:t>
            </w:r>
          </w:p>
        </w:tc>
      </w:tr>
      <w:tr w:rsidR="00F73301" w:rsidRPr="00F73301" w14:paraId="3696967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4E21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assets: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55CAF6"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57E26F"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0F758C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17316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and bank balances</w:t>
            </w:r>
          </w:p>
        </w:tc>
        <w:tc>
          <w:tcPr>
            <w:tcW w:w="3213" w:type="dxa"/>
            <w:tcBorders>
              <w:top w:val="single" w:sz="2" w:space="0" w:color="auto"/>
              <w:left w:val="single" w:sz="2" w:space="0" w:color="auto"/>
              <w:bottom w:val="single" w:sz="2" w:space="0" w:color="auto"/>
              <w:right w:val="single" w:sz="2" w:space="0" w:color="auto"/>
            </w:tcBorders>
            <w:vAlign w:val="center"/>
          </w:tcPr>
          <w:p w14:paraId="76CF95B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3,205,907,228.09</w:t>
            </w:r>
          </w:p>
        </w:tc>
        <w:tc>
          <w:tcPr>
            <w:tcW w:w="3213" w:type="dxa"/>
            <w:tcBorders>
              <w:top w:val="single" w:sz="2" w:space="0" w:color="auto"/>
              <w:left w:val="single" w:sz="2" w:space="0" w:color="auto"/>
              <w:bottom w:val="single" w:sz="2" w:space="0" w:color="auto"/>
              <w:right w:val="single" w:sz="2" w:space="0" w:color="auto"/>
            </w:tcBorders>
            <w:vAlign w:val="center"/>
          </w:tcPr>
          <w:p w14:paraId="14AF37A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1,457,284,129.97</w:t>
            </w:r>
          </w:p>
        </w:tc>
      </w:tr>
      <w:tr w:rsidR="00F73301" w:rsidRPr="00F73301" w14:paraId="07ED72C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1603A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Settlement funds</w:t>
            </w:r>
          </w:p>
        </w:tc>
        <w:tc>
          <w:tcPr>
            <w:tcW w:w="3213" w:type="dxa"/>
            <w:tcBorders>
              <w:top w:val="single" w:sz="2" w:space="0" w:color="auto"/>
              <w:left w:val="single" w:sz="2" w:space="0" w:color="auto"/>
              <w:bottom w:val="single" w:sz="2" w:space="0" w:color="auto"/>
              <w:right w:val="single" w:sz="2" w:space="0" w:color="auto"/>
            </w:tcBorders>
            <w:vAlign w:val="center"/>
          </w:tcPr>
          <w:p w14:paraId="0397792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0EE82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F6F5F2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599FE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Loans to other banks</w:t>
            </w:r>
          </w:p>
        </w:tc>
        <w:tc>
          <w:tcPr>
            <w:tcW w:w="3213" w:type="dxa"/>
            <w:tcBorders>
              <w:top w:val="single" w:sz="2" w:space="0" w:color="auto"/>
              <w:left w:val="single" w:sz="2" w:space="0" w:color="auto"/>
              <w:bottom w:val="single" w:sz="2" w:space="0" w:color="auto"/>
              <w:right w:val="single" w:sz="2" w:space="0" w:color="auto"/>
            </w:tcBorders>
            <w:vAlign w:val="center"/>
          </w:tcPr>
          <w:p w14:paraId="78591A3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4EB48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EAEB1C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A22E0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Held-for-trading financial assets</w:t>
            </w:r>
          </w:p>
        </w:tc>
        <w:tc>
          <w:tcPr>
            <w:tcW w:w="3213" w:type="dxa"/>
            <w:tcBorders>
              <w:top w:val="single" w:sz="2" w:space="0" w:color="auto"/>
              <w:left w:val="single" w:sz="2" w:space="0" w:color="auto"/>
              <w:bottom w:val="single" w:sz="2" w:space="0" w:color="auto"/>
              <w:right w:val="single" w:sz="2" w:space="0" w:color="auto"/>
            </w:tcBorders>
            <w:vAlign w:val="center"/>
          </w:tcPr>
          <w:p w14:paraId="7ECD0B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21,400,000.00</w:t>
            </w:r>
          </w:p>
        </w:tc>
        <w:tc>
          <w:tcPr>
            <w:tcW w:w="3213" w:type="dxa"/>
            <w:tcBorders>
              <w:top w:val="single" w:sz="2" w:space="0" w:color="auto"/>
              <w:left w:val="single" w:sz="2" w:space="0" w:color="auto"/>
              <w:bottom w:val="single" w:sz="2" w:space="0" w:color="auto"/>
              <w:right w:val="single" w:sz="2" w:space="0" w:color="auto"/>
            </w:tcBorders>
            <w:vAlign w:val="center"/>
          </w:tcPr>
          <w:p w14:paraId="1B3C2D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63,200,000.00</w:t>
            </w:r>
          </w:p>
        </w:tc>
      </w:tr>
      <w:tr w:rsidR="00F73301" w:rsidRPr="00F73301" w14:paraId="0675268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E72604"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Derivative financial assets</w:t>
            </w:r>
          </w:p>
        </w:tc>
        <w:tc>
          <w:tcPr>
            <w:tcW w:w="3213" w:type="dxa"/>
            <w:tcBorders>
              <w:top w:val="single" w:sz="2" w:space="0" w:color="auto"/>
              <w:left w:val="single" w:sz="2" w:space="0" w:color="auto"/>
              <w:bottom w:val="single" w:sz="2" w:space="0" w:color="auto"/>
              <w:right w:val="single" w:sz="2" w:space="0" w:color="auto"/>
            </w:tcBorders>
            <w:vAlign w:val="center"/>
          </w:tcPr>
          <w:p w14:paraId="44AA31B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41C6D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49B387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52EFE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Notes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23C9CD2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51,761,214.07</w:t>
            </w:r>
          </w:p>
        </w:tc>
        <w:tc>
          <w:tcPr>
            <w:tcW w:w="3213" w:type="dxa"/>
            <w:tcBorders>
              <w:top w:val="single" w:sz="2" w:space="0" w:color="auto"/>
              <w:left w:val="single" w:sz="2" w:space="0" w:color="auto"/>
              <w:bottom w:val="single" w:sz="2" w:space="0" w:color="auto"/>
              <w:right w:val="single" w:sz="2" w:space="0" w:color="auto"/>
            </w:tcBorders>
            <w:vAlign w:val="center"/>
          </w:tcPr>
          <w:p w14:paraId="0FD11EE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13,066,108.69</w:t>
            </w:r>
          </w:p>
        </w:tc>
      </w:tr>
      <w:tr w:rsidR="00F73301" w:rsidRPr="00F73301" w14:paraId="2A41F25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D12D8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40CD66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1,479,614,231.88</w:t>
            </w:r>
          </w:p>
        </w:tc>
        <w:tc>
          <w:tcPr>
            <w:tcW w:w="3213" w:type="dxa"/>
            <w:tcBorders>
              <w:top w:val="single" w:sz="2" w:space="0" w:color="auto"/>
              <w:left w:val="single" w:sz="2" w:space="0" w:color="auto"/>
              <w:bottom w:val="single" w:sz="2" w:space="0" w:color="auto"/>
              <w:right w:val="single" w:sz="2" w:space="0" w:color="auto"/>
            </w:tcBorders>
            <w:vAlign w:val="center"/>
          </w:tcPr>
          <w:p w14:paraId="22E79B6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1,208,174,469.34</w:t>
            </w:r>
          </w:p>
        </w:tc>
      </w:tr>
      <w:tr w:rsidR="00F73301" w:rsidRPr="00F73301" w14:paraId="7C97641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FA123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Receivables financing</w:t>
            </w:r>
          </w:p>
        </w:tc>
        <w:tc>
          <w:tcPr>
            <w:tcW w:w="3213" w:type="dxa"/>
            <w:tcBorders>
              <w:top w:val="single" w:sz="2" w:space="0" w:color="auto"/>
              <w:left w:val="single" w:sz="2" w:space="0" w:color="auto"/>
              <w:bottom w:val="single" w:sz="2" w:space="0" w:color="auto"/>
              <w:right w:val="single" w:sz="2" w:space="0" w:color="auto"/>
            </w:tcBorders>
            <w:vAlign w:val="center"/>
          </w:tcPr>
          <w:p w14:paraId="1A99034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195,107,587.03</w:t>
            </w:r>
          </w:p>
        </w:tc>
        <w:tc>
          <w:tcPr>
            <w:tcW w:w="3213" w:type="dxa"/>
            <w:tcBorders>
              <w:top w:val="single" w:sz="2" w:space="0" w:color="auto"/>
              <w:left w:val="single" w:sz="2" w:space="0" w:color="auto"/>
              <w:bottom w:val="single" w:sz="2" w:space="0" w:color="auto"/>
              <w:right w:val="single" w:sz="2" w:space="0" w:color="auto"/>
            </w:tcBorders>
            <w:vAlign w:val="center"/>
          </w:tcPr>
          <w:p w14:paraId="7B1F589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231,592,339.12</w:t>
            </w:r>
          </w:p>
        </w:tc>
      </w:tr>
      <w:tr w:rsidR="00F73301" w:rsidRPr="00F73301" w14:paraId="1C76E90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E887B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Advances paid</w:t>
            </w:r>
          </w:p>
        </w:tc>
        <w:tc>
          <w:tcPr>
            <w:tcW w:w="3213" w:type="dxa"/>
            <w:tcBorders>
              <w:top w:val="single" w:sz="2" w:space="0" w:color="auto"/>
              <w:left w:val="single" w:sz="2" w:space="0" w:color="auto"/>
              <w:bottom w:val="single" w:sz="2" w:space="0" w:color="auto"/>
              <w:right w:val="single" w:sz="2" w:space="0" w:color="auto"/>
            </w:tcBorders>
            <w:vAlign w:val="center"/>
          </w:tcPr>
          <w:p w14:paraId="31ABA04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111,612,489.99</w:t>
            </w:r>
          </w:p>
        </w:tc>
        <w:tc>
          <w:tcPr>
            <w:tcW w:w="3213" w:type="dxa"/>
            <w:tcBorders>
              <w:top w:val="single" w:sz="2" w:space="0" w:color="auto"/>
              <w:left w:val="single" w:sz="2" w:space="0" w:color="auto"/>
              <w:bottom w:val="single" w:sz="2" w:space="0" w:color="auto"/>
              <w:right w:val="single" w:sz="2" w:space="0" w:color="auto"/>
            </w:tcBorders>
            <w:vAlign w:val="center"/>
          </w:tcPr>
          <w:p w14:paraId="2031402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116,807,347.04</w:t>
            </w:r>
          </w:p>
        </w:tc>
      </w:tr>
      <w:tr w:rsidR="00F73301" w:rsidRPr="00F73301" w14:paraId="0EA9BC0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D617E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Premiums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6860679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71ED4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630EFF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A01C1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Reinsurance accounts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396237E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0796C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E87609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71D69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Reinsurance reserve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3042BAE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09B59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7B89DF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91E77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4A6A5D5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11,135,073.77</w:t>
            </w:r>
          </w:p>
        </w:tc>
        <w:tc>
          <w:tcPr>
            <w:tcW w:w="3213" w:type="dxa"/>
            <w:tcBorders>
              <w:top w:val="single" w:sz="2" w:space="0" w:color="auto"/>
              <w:left w:val="single" w:sz="2" w:space="0" w:color="auto"/>
              <w:bottom w:val="single" w:sz="2" w:space="0" w:color="auto"/>
              <w:right w:val="single" w:sz="2" w:space="0" w:color="auto"/>
            </w:tcBorders>
            <w:vAlign w:val="center"/>
          </w:tcPr>
          <w:p w14:paraId="6D8B654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22,043,111.30</w:t>
            </w:r>
          </w:p>
        </w:tc>
      </w:tr>
      <w:tr w:rsidR="00F73301" w:rsidRPr="00F73301" w14:paraId="564E096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902841"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Interest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5565093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1EBD3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8726CB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CC6CA6"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Dividend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5F70CBCF"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47A43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E460A9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C0EFC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Financial assets under reverse repo</w:t>
            </w:r>
          </w:p>
        </w:tc>
        <w:tc>
          <w:tcPr>
            <w:tcW w:w="3213" w:type="dxa"/>
            <w:tcBorders>
              <w:top w:val="single" w:sz="2" w:space="0" w:color="auto"/>
              <w:left w:val="single" w:sz="2" w:space="0" w:color="auto"/>
              <w:bottom w:val="single" w:sz="2" w:space="0" w:color="auto"/>
              <w:right w:val="single" w:sz="2" w:space="0" w:color="auto"/>
            </w:tcBorders>
            <w:vAlign w:val="center"/>
          </w:tcPr>
          <w:p w14:paraId="2CBAD26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27571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E88586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1123E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Inventories</w:t>
            </w:r>
          </w:p>
        </w:tc>
        <w:tc>
          <w:tcPr>
            <w:tcW w:w="3213" w:type="dxa"/>
            <w:tcBorders>
              <w:top w:val="single" w:sz="2" w:space="0" w:color="auto"/>
              <w:left w:val="single" w:sz="2" w:space="0" w:color="auto"/>
              <w:bottom w:val="single" w:sz="2" w:space="0" w:color="auto"/>
              <w:right w:val="single" w:sz="2" w:space="0" w:color="auto"/>
            </w:tcBorders>
            <w:vAlign w:val="center"/>
          </w:tcPr>
          <w:p w14:paraId="0C9A9E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1,161,724,500.64</w:t>
            </w:r>
          </w:p>
        </w:tc>
        <w:tc>
          <w:tcPr>
            <w:tcW w:w="3213" w:type="dxa"/>
            <w:tcBorders>
              <w:top w:val="single" w:sz="2" w:space="0" w:color="auto"/>
              <w:left w:val="single" w:sz="2" w:space="0" w:color="auto"/>
              <w:bottom w:val="single" w:sz="2" w:space="0" w:color="auto"/>
              <w:right w:val="single" w:sz="2" w:space="0" w:color="auto"/>
            </w:tcBorders>
            <w:vAlign w:val="center"/>
          </w:tcPr>
          <w:p w14:paraId="22AC140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1,213,168,285.70</w:t>
            </w:r>
          </w:p>
        </w:tc>
      </w:tr>
      <w:tr w:rsidR="00F73301" w:rsidRPr="00F73301" w14:paraId="7F280EC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B56DA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Contract assets</w:t>
            </w:r>
          </w:p>
        </w:tc>
        <w:tc>
          <w:tcPr>
            <w:tcW w:w="3213" w:type="dxa"/>
            <w:tcBorders>
              <w:top w:val="single" w:sz="2" w:space="0" w:color="auto"/>
              <w:left w:val="single" w:sz="2" w:space="0" w:color="auto"/>
              <w:bottom w:val="single" w:sz="2" w:space="0" w:color="auto"/>
              <w:right w:val="single" w:sz="2" w:space="0" w:color="auto"/>
            </w:tcBorders>
            <w:vAlign w:val="center"/>
          </w:tcPr>
          <w:p w14:paraId="3E3C2C2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77C75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F57E68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CBD9E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Assets held for sale</w:t>
            </w:r>
          </w:p>
        </w:tc>
        <w:tc>
          <w:tcPr>
            <w:tcW w:w="3213" w:type="dxa"/>
            <w:tcBorders>
              <w:top w:val="single" w:sz="2" w:space="0" w:color="auto"/>
              <w:left w:val="single" w:sz="2" w:space="0" w:color="auto"/>
              <w:bottom w:val="single" w:sz="2" w:space="0" w:color="auto"/>
              <w:right w:val="single" w:sz="2" w:space="0" w:color="auto"/>
            </w:tcBorders>
            <w:vAlign w:val="center"/>
          </w:tcPr>
          <w:p w14:paraId="2D729B0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B232E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6F8B8D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342A6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assets due within one year</w:t>
            </w:r>
          </w:p>
        </w:tc>
        <w:tc>
          <w:tcPr>
            <w:tcW w:w="3213" w:type="dxa"/>
            <w:tcBorders>
              <w:top w:val="single" w:sz="2" w:space="0" w:color="auto"/>
              <w:left w:val="single" w:sz="2" w:space="0" w:color="auto"/>
              <w:bottom w:val="single" w:sz="2" w:space="0" w:color="auto"/>
              <w:right w:val="single" w:sz="2" w:space="0" w:color="auto"/>
            </w:tcBorders>
            <w:vAlign w:val="center"/>
          </w:tcPr>
          <w:p w14:paraId="5E4C7FD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D08E8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C3539D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D719B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3D0281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43,137,681.30</w:t>
            </w:r>
          </w:p>
        </w:tc>
        <w:tc>
          <w:tcPr>
            <w:tcW w:w="3213" w:type="dxa"/>
            <w:tcBorders>
              <w:top w:val="single" w:sz="2" w:space="0" w:color="auto"/>
              <w:left w:val="single" w:sz="2" w:space="0" w:color="auto"/>
              <w:bottom w:val="single" w:sz="2" w:space="0" w:color="auto"/>
              <w:right w:val="single" w:sz="2" w:space="0" w:color="auto"/>
            </w:tcBorders>
            <w:vAlign w:val="center"/>
          </w:tcPr>
          <w:p w14:paraId="244167B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135,165,283.82</w:t>
            </w:r>
          </w:p>
        </w:tc>
      </w:tr>
      <w:tr w:rsidR="00F73301" w:rsidRPr="00F73301" w14:paraId="6AADE2F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F8BCD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0170F50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6,281,400,006.77</w:t>
            </w:r>
          </w:p>
        </w:tc>
        <w:tc>
          <w:tcPr>
            <w:tcW w:w="3213" w:type="dxa"/>
            <w:tcBorders>
              <w:top w:val="single" w:sz="2" w:space="0" w:color="auto"/>
              <w:left w:val="single" w:sz="2" w:space="0" w:color="auto"/>
              <w:bottom w:val="single" w:sz="2" w:space="0" w:color="auto"/>
              <w:right w:val="single" w:sz="2" w:space="0" w:color="auto"/>
            </w:tcBorders>
            <w:vAlign w:val="center"/>
          </w:tcPr>
          <w:p w14:paraId="657593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4,460,501,074.98</w:t>
            </w:r>
          </w:p>
        </w:tc>
      </w:tr>
      <w:tr w:rsidR="00F73301" w:rsidRPr="00F73301" w14:paraId="7214EBA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E890E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assets: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0C5EE4"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A10A4D"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3FD58B9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A19B5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Loans and advances</w:t>
            </w:r>
          </w:p>
        </w:tc>
        <w:tc>
          <w:tcPr>
            <w:tcW w:w="3213" w:type="dxa"/>
            <w:tcBorders>
              <w:top w:val="single" w:sz="2" w:space="0" w:color="auto"/>
              <w:left w:val="single" w:sz="2" w:space="0" w:color="auto"/>
              <w:bottom w:val="single" w:sz="2" w:space="0" w:color="auto"/>
              <w:right w:val="single" w:sz="2" w:space="0" w:color="auto"/>
            </w:tcBorders>
            <w:vAlign w:val="center"/>
          </w:tcPr>
          <w:p w14:paraId="7DD2516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8A61C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3ED44D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5A306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Debt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65007B0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7C5C4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E9F120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76002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debt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69EFFC0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A3A28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422930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83491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0298F50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FD654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BA163C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6E922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equity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25E91D7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60,747,681.56</w:t>
            </w:r>
          </w:p>
        </w:tc>
        <w:tc>
          <w:tcPr>
            <w:tcW w:w="3213" w:type="dxa"/>
            <w:tcBorders>
              <w:top w:val="single" w:sz="2" w:space="0" w:color="auto"/>
              <w:left w:val="single" w:sz="2" w:space="0" w:color="auto"/>
              <w:bottom w:val="single" w:sz="2" w:space="0" w:color="auto"/>
              <w:right w:val="single" w:sz="2" w:space="0" w:color="auto"/>
            </w:tcBorders>
            <w:vAlign w:val="center"/>
          </w:tcPr>
          <w:p w14:paraId="7B1BFC0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466,606,774.74</w:t>
            </w:r>
          </w:p>
        </w:tc>
      </w:tr>
      <w:tr w:rsidR="00F73301" w:rsidRPr="00F73301" w14:paraId="2783579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7E8AA8"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equity instrument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069A517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34BEA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04C0C6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C377B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non-current financial assets</w:t>
            </w:r>
          </w:p>
        </w:tc>
        <w:tc>
          <w:tcPr>
            <w:tcW w:w="3213" w:type="dxa"/>
            <w:tcBorders>
              <w:top w:val="single" w:sz="2" w:space="0" w:color="auto"/>
              <w:left w:val="single" w:sz="2" w:space="0" w:color="auto"/>
              <w:bottom w:val="single" w:sz="2" w:space="0" w:color="auto"/>
              <w:right w:val="single" w:sz="2" w:space="0" w:color="auto"/>
            </w:tcBorders>
            <w:vAlign w:val="center"/>
          </w:tcPr>
          <w:p w14:paraId="09D5AF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444,696,592.64</w:t>
            </w:r>
          </w:p>
        </w:tc>
        <w:tc>
          <w:tcPr>
            <w:tcW w:w="3213" w:type="dxa"/>
            <w:tcBorders>
              <w:top w:val="single" w:sz="2" w:space="0" w:color="auto"/>
              <w:left w:val="single" w:sz="2" w:space="0" w:color="auto"/>
              <w:bottom w:val="single" w:sz="2" w:space="0" w:color="auto"/>
              <w:right w:val="single" w:sz="2" w:space="0" w:color="auto"/>
            </w:tcBorders>
            <w:vAlign w:val="center"/>
          </w:tcPr>
          <w:p w14:paraId="65CC0E4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442,446,494.05</w:t>
            </w:r>
          </w:p>
        </w:tc>
      </w:tr>
      <w:tr w:rsidR="00F73301" w:rsidRPr="00F73301" w14:paraId="47707EE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8408F4"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property</w:t>
            </w:r>
          </w:p>
        </w:tc>
        <w:tc>
          <w:tcPr>
            <w:tcW w:w="3213" w:type="dxa"/>
            <w:tcBorders>
              <w:top w:val="single" w:sz="2" w:space="0" w:color="auto"/>
              <w:left w:val="single" w:sz="2" w:space="0" w:color="auto"/>
              <w:bottom w:val="single" w:sz="2" w:space="0" w:color="auto"/>
              <w:right w:val="single" w:sz="2" w:space="0" w:color="auto"/>
            </w:tcBorders>
            <w:vAlign w:val="center"/>
          </w:tcPr>
          <w:p w14:paraId="4458746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772FC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5160C3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C1DBD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Fixed assets</w:t>
            </w:r>
          </w:p>
        </w:tc>
        <w:tc>
          <w:tcPr>
            <w:tcW w:w="3213" w:type="dxa"/>
            <w:tcBorders>
              <w:top w:val="single" w:sz="2" w:space="0" w:color="auto"/>
              <w:left w:val="single" w:sz="2" w:space="0" w:color="auto"/>
              <w:bottom w:val="single" w:sz="2" w:space="0" w:color="auto"/>
              <w:right w:val="single" w:sz="2" w:space="0" w:color="auto"/>
            </w:tcBorders>
            <w:vAlign w:val="center"/>
          </w:tcPr>
          <w:p w14:paraId="451C3C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3,324,897,727.75</w:t>
            </w:r>
          </w:p>
        </w:tc>
        <w:tc>
          <w:tcPr>
            <w:tcW w:w="3213" w:type="dxa"/>
            <w:tcBorders>
              <w:top w:val="single" w:sz="2" w:space="0" w:color="auto"/>
              <w:left w:val="single" w:sz="2" w:space="0" w:color="auto"/>
              <w:bottom w:val="single" w:sz="2" w:space="0" w:color="auto"/>
              <w:right w:val="single" w:sz="2" w:space="0" w:color="auto"/>
            </w:tcBorders>
            <w:vAlign w:val="center"/>
          </w:tcPr>
          <w:p w14:paraId="674109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2,914,129,006.48</w:t>
            </w:r>
          </w:p>
        </w:tc>
      </w:tr>
      <w:tr w:rsidR="00F73301" w:rsidRPr="00F73301" w14:paraId="7F0C601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DFE4A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Construction in progress</w:t>
            </w:r>
          </w:p>
        </w:tc>
        <w:tc>
          <w:tcPr>
            <w:tcW w:w="3213" w:type="dxa"/>
            <w:tcBorders>
              <w:top w:val="single" w:sz="2" w:space="0" w:color="auto"/>
              <w:left w:val="single" w:sz="2" w:space="0" w:color="auto"/>
              <w:bottom w:val="single" w:sz="2" w:space="0" w:color="auto"/>
              <w:right w:val="single" w:sz="2" w:space="0" w:color="auto"/>
            </w:tcBorders>
            <w:vAlign w:val="center"/>
          </w:tcPr>
          <w:p w14:paraId="1D540E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612,601,462.25</w:t>
            </w:r>
          </w:p>
        </w:tc>
        <w:tc>
          <w:tcPr>
            <w:tcW w:w="3213" w:type="dxa"/>
            <w:tcBorders>
              <w:top w:val="single" w:sz="2" w:space="0" w:color="auto"/>
              <w:left w:val="single" w:sz="2" w:space="0" w:color="auto"/>
              <w:bottom w:val="single" w:sz="2" w:space="0" w:color="auto"/>
              <w:right w:val="single" w:sz="2" w:space="0" w:color="auto"/>
            </w:tcBorders>
            <w:vAlign w:val="center"/>
          </w:tcPr>
          <w:p w14:paraId="3CB1761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461,878,389.19</w:t>
            </w:r>
          </w:p>
        </w:tc>
      </w:tr>
      <w:tr w:rsidR="00F73301" w:rsidRPr="00F73301" w14:paraId="59802BB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CE54D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Productive biological assets</w:t>
            </w:r>
          </w:p>
        </w:tc>
        <w:tc>
          <w:tcPr>
            <w:tcW w:w="3213" w:type="dxa"/>
            <w:tcBorders>
              <w:top w:val="single" w:sz="2" w:space="0" w:color="auto"/>
              <w:left w:val="single" w:sz="2" w:space="0" w:color="auto"/>
              <w:bottom w:val="single" w:sz="2" w:space="0" w:color="auto"/>
              <w:right w:val="single" w:sz="2" w:space="0" w:color="auto"/>
            </w:tcBorders>
            <w:vAlign w:val="center"/>
          </w:tcPr>
          <w:p w14:paraId="3E99FF9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EF403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9ABA6A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19F73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Oil &amp; gas assets</w:t>
            </w:r>
          </w:p>
        </w:tc>
        <w:tc>
          <w:tcPr>
            <w:tcW w:w="3213" w:type="dxa"/>
            <w:tcBorders>
              <w:top w:val="single" w:sz="2" w:space="0" w:color="auto"/>
              <w:left w:val="single" w:sz="2" w:space="0" w:color="auto"/>
              <w:bottom w:val="single" w:sz="2" w:space="0" w:color="auto"/>
              <w:right w:val="single" w:sz="2" w:space="0" w:color="auto"/>
            </w:tcBorders>
            <w:vAlign w:val="center"/>
          </w:tcPr>
          <w:p w14:paraId="702E4D8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62002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176BBC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2595D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Right-of-use assets</w:t>
            </w:r>
          </w:p>
        </w:tc>
        <w:tc>
          <w:tcPr>
            <w:tcW w:w="3213" w:type="dxa"/>
            <w:tcBorders>
              <w:top w:val="single" w:sz="2" w:space="0" w:color="auto"/>
              <w:left w:val="single" w:sz="2" w:space="0" w:color="auto"/>
              <w:bottom w:val="single" w:sz="2" w:space="0" w:color="auto"/>
              <w:right w:val="single" w:sz="2" w:space="0" w:color="auto"/>
            </w:tcBorders>
            <w:vAlign w:val="center"/>
          </w:tcPr>
          <w:p w14:paraId="01F1F09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101,650,369.03</w:t>
            </w:r>
          </w:p>
        </w:tc>
        <w:tc>
          <w:tcPr>
            <w:tcW w:w="3213" w:type="dxa"/>
            <w:tcBorders>
              <w:top w:val="single" w:sz="2" w:space="0" w:color="auto"/>
              <w:left w:val="single" w:sz="2" w:space="0" w:color="auto"/>
              <w:bottom w:val="single" w:sz="2" w:space="0" w:color="auto"/>
              <w:right w:val="single" w:sz="2" w:space="0" w:color="auto"/>
            </w:tcBorders>
            <w:vAlign w:val="center"/>
          </w:tcPr>
          <w:p w14:paraId="39A672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7,434,752.94</w:t>
            </w:r>
          </w:p>
        </w:tc>
      </w:tr>
      <w:tr w:rsidR="00F73301" w:rsidRPr="00F73301" w14:paraId="704BDE4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0DCDA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Intangible assets</w:t>
            </w:r>
          </w:p>
        </w:tc>
        <w:tc>
          <w:tcPr>
            <w:tcW w:w="3213" w:type="dxa"/>
            <w:tcBorders>
              <w:top w:val="single" w:sz="2" w:space="0" w:color="auto"/>
              <w:left w:val="single" w:sz="2" w:space="0" w:color="auto"/>
              <w:bottom w:val="single" w:sz="2" w:space="0" w:color="auto"/>
              <w:right w:val="single" w:sz="2" w:space="0" w:color="auto"/>
            </w:tcBorders>
            <w:vAlign w:val="center"/>
          </w:tcPr>
          <w:p w14:paraId="43985B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136,444,392.36</w:t>
            </w:r>
          </w:p>
        </w:tc>
        <w:tc>
          <w:tcPr>
            <w:tcW w:w="3213" w:type="dxa"/>
            <w:tcBorders>
              <w:top w:val="single" w:sz="2" w:space="0" w:color="auto"/>
              <w:left w:val="single" w:sz="2" w:space="0" w:color="auto"/>
              <w:bottom w:val="single" w:sz="2" w:space="0" w:color="auto"/>
              <w:right w:val="single" w:sz="2" w:space="0" w:color="auto"/>
            </w:tcBorders>
            <w:vAlign w:val="center"/>
          </w:tcPr>
          <w:p w14:paraId="4700445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129,755,445.13</w:t>
            </w:r>
          </w:p>
        </w:tc>
      </w:tr>
      <w:tr w:rsidR="00F73301" w:rsidRPr="00F73301" w14:paraId="17FE805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9B4DF8"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Development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460AE67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37D54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041BD6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8DE77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Goodwill</w:t>
            </w:r>
          </w:p>
        </w:tc>
        <w:tc>
          <w:tcPr>
            <w:tcW w:w="3213" w:type="dxa"/>
            <w:tcBorders>
              <w:top w:val="single" w:sz="2" w:space="0" w:color="auto"/>
              <w:left w:val="single" w:sz="2" w:space="0" w:color="auto"/>
              <w:bottom w:val="single" w:sz="2" w:space="0" w:color="auto"/>
              <w:right w:val="single" w:sz="2" w:space="0" w:color="auto"/>
            </w:tcBorders>
            <w:vAlign w:val="center"/>
          </w:tcPr>
          <w:p w14:paraId="73F4941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304,661,333.30</w:t>
            </w:r>
          </w:p>
        </w:tc>
        <w:tc>
          <w:tcPr>
            <w:tcW w:w="3213" w:type="dxa"/>
            <w:tcBorders>
              <w:top w:val="single" w:sz="2" w:space="0" w:color="auto"/>
              <w:left w:val="single" w:sz="2" w:space="0" w:color="auto"/>
              <w:bottom w:val="single" w:sz="2" w:space="0" w:color="auto"/>
              <w:right w:val="single" w:sz="2" w:space="0" w:color="auto"/>
            </w:tcBorders>
            <w:vAlign w:val="center"/>
          </w:tcPr>
          <w:p w14:paraId="08E33A5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163,664,335.43</w:t>
            </w:r>
          </w:p>
        </w:tc>
      </w:tr>
      <w:tr w:rsidR="00F73301" w:rsidRPr="00F73301" w14:paraId="293946C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0BC8D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prepayments</w:t>
            </w:r>
          </w:p>
        </w:tc>
        <w:tc>
          <w:tcPr>
            <w:tcW w:w="3213" w:type="dxa"/>
            <w:tcBorders>
              <w:top w:val="single" w:sz="2" w:space="0" w:color="auto"/>
              <w:left w:val="single" w:sz="2" w:space="0" w:color="auto"/>
              <w:bottom w:val="single" w:sz="2" w:space="0" w:color="auto"/>
              <w:right w:val="single" w:sz="2" w:space="0" w:color="auto"/>
            </w:tcBorders>
            <w:vAlign w:val="center"/>
          </w:tcPr>
          <w:p w14:paraId="7024072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97,117,539.85</w:t>
            </w:r>
          </w:p>
        </w:tc>
        <w:tc>
          <w:tcPr>
            <w:tcW w:w="3213" w:type="dxa"/>
            <w:tcBorders>
              <w:top w:val="single" w:sz="2" w:space="0" w:color="auto"/>
              <w:left w:val="single" w:sz="2" w:space="0" w:color="auto"/>
              <w:bottom w:val="single" w:sz="2" w:space="0" w:color="auto"/>
              <w:right w:val="single" w:sz="2" w:space="0" w:color="auto"/>
            </w:tcBorders>
            <w:vAlign w:val="center"/>
          </w:tcPr>
          <w:p w14:paraId="3133BF2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98,598,854.20</w:t>
            </w:r>
          </w:p>
        </w:tc>
      </w:tr>
      <w:tr w:rsidR="00F73301" w:rsidRPr="00F73301" w14:paraId="41D0E05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5C698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assets</w:t>
            </w:r>
          </w:p>
        </w:tc>
        <w:tc>
          <w:tcPr>
            <w:tcW w:w="3213" w:type="dxa"/>
            <w:tcBorders>
              <w:top w:val="single" w:sz="2" w:space="0" w:color="auto"/>
              <w:left w:val="single" w:sz="2" w:space="0" w:color="auto"/>
              <w:bottom w:val="single" w:sz="2" w:space="0" w:color="auto"/>
              <w:right w:val="single" w:sz="2" w:space="0" w:color="auto"/>
            </w:tcBorders>
            <w:vAlign w:val="center"/>
          </w:tcPr>
          <w:p w14:paraId="15492CD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6,607,162.86</w:t>
            </w:r>
          </w:p>
        </w:tc>
        <w:tc>
          <w:tcPr>
            <w:tcW w:w="3213" w:type="dxa"/>
            <w:tcBorders>
              <w:top w:val="single" w:sz="2" w:space="0" w:color="auto"/>
              <w:left w:val="single" w:sz="2" w:space="0" w:color="auto"/>
              <w:bottom w:val="single" w:sz="2" w:space="0" w:color="auto"/>
              <w:right w:val="single" w:sz="2" w:space="0" w:color="auto"/>
            </w:tcBorders>
            <w:vAlign w:val="center"/>
          </w:tcPr>
          <w:p w14:paraId="334A3B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8,669,141.34</w:t>
            </w:r>
          </w:p>
        </w:tc>
      </w:tr>
      <w:tr w:rsidR="00F73301" w:rsidRPr="00F73301" w14:paraId="4150B47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3B69B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Other non-current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53541C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699,160,886.35</w:t>
            </w:r>
          </w:p>
        </w:tc>
        <w:tc>
          <w:tcPr>
            <w:tcW w:w="3213" w:type="dxa"/>
            <w:tcBorders>
              <w:top w:val="single" w:sz="2" w:space="0" w:color="auto"/>
              <w:left w:val="single" w:sz="2" w:space="0" w:color="auto"/>
              <w:bottom w:val="single" w:sz="2" w:space="0" w:color="auto"/>
              <w:right w:val="single" w:sz="2" w:space="0" w:color="auto"/>
            </w:tcBorders>
            <w:vAlign w:val="center"/>
          </w:tcPr>
          <w:p w14:paraId="5CC309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329,554,214.72</w:t>
            </w:r>
          </w:p>
        </w:tc>
      </w:tr>
      <w:tr w:rsidR="00F73301" w:rsidRPr="00F73301" w14:paraId="60E70F7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27225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non-current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085CAAB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5,788,585,147.95</w:t>
            </w:r>
          </w:p>
        </w:tc>
        <w:tc>
          <w:tcPr>
            <w:tcW w:w="3213" w:type="dxa"/>
            <w:tcBorders>
              <w:top w:val="single" w:sz="2" w:space="0" w:color="auto"/>
              <w:left w:val="single" w:sz="2" w:space="0" w:color="auto"/>
              <w:bottom w:val="single" w:sz="2" w:space="0" w:color="auto"/>
              <w:right w:val="single" w:sz="2" w:space="0" w:color="auto"/>
            </w:tcBorders>
            <w:vAlign w:val="center"/>
          </w:tcPr>
          <w:p w14:paraId="660ECD4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5,022,737,408.22</w:t>
            </w:r>
          </w:p>
        </w:tc>
      </w:tr>
      <w:tr w:rsidR="00F73301" w:rsidRPr="00F73301" w14:paraId="225EF9F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4911D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assets</w:t>
            </w:r>
          </w:p>
        </w:tc>
        <w:tc>
          <w:tcPr>
            <w:tcW w:w="3213" w:type="dxa"/>
            <w:tcBorders>
              <w:top w:val="single" w:sz="2" w:space="0" w:color="auto"/>
              <w:left w:val="single" w:sz="2" w:space="0" w:color="auto"/>
              <w:bottom w:val="single" w:sz="2" w:space="0" w:color="auto"/>
              <w:right w:val="single" w:sz="2" w:space="0" w:color="auto"/>
            </w:tcBorders>
            <w:vAlign w:val="center"/>
          </w:tcPr>
          <w:p w14:paraId="5D3D1A4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12,069,985,154.72</w:t>
            </w:r>
          </w:p>
        </w:tc>
        <w:tc>
          <w:tcPr>
            <w:tcW w:w="3213" w:type="dxa"/>
            <w:tcBorders>
              <w:top w:val="single" w:sz="2" w:space="0" w:color="auto"/>
              <w:left w:val="single" w:sz="2" w:space="0" w:color="auto"/>
              <w:bottom w:val="single" w:sz="2" w:space="0" w:color="auto"/>
              <w:right w:val="single" w:sz="2" w:space="0" w:color="auto"/>
            </w:tcBorders>
            <w:vAlign w:val="center"/>
          </w:tcPr>
          <w:p w14:paraId="0C25D4B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9,483,238,483.20</w:t>
            </w:r>
          </w:p>
        </w:tc>
      </w:tr>
      <w:tr w:rsidR="00F73301" w:rsidRPr="00F73301" w14:paraId="7329F29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A7CE5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liabilities: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A300F9"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691A7C"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62B9823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4B97B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Short-term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0E07344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758,112,140.28</w:t>
            </w:r>
          </w:p>
        </w:tc>
        <w:tc>
          <w:tcPr>
            <w:tcW w:w="3213" w:type="dxa"/>
            <w:tcBorders>
              <w:top w:val="single" w:sz="2" w:space="0" w:color="auto"/>
              <w:left w:val="single" w:sz="2" w:space="0" w:color="auto"/>
              <w:bottom w:val="single" w:sz="2" w:space="0" w:color="auto"/>
              <w:right w:val="single" w:sz="2" w:space="0" w:color="auto"/>
            </w:tcBorders>
            <w:vAlign w:val="center"/>
          </w:tcPr>
          <w:p w14:paraId="456C31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273,121,541.00</w:t>
            </w:r>
          </w:p>
        </w:tc>
      </w:tr>
      <w:tr w:rsidR="00F73301" w:rsidRPr="00F73301" w14:paraId="18D417A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C4B0A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Central bank loans</w:t>
            </w:r>
          </w:p>
        </w:tc>
        <w:tc>
          <w:tcPr>
            <w:tcW w:w="3213" w:type="dxa"/>
            <w:tcBorders>
              <w:top w:val="single" w:sz="2" w:space="0" w:color="auto"/>
              <w:left w:val="single" w:sz="2" w:space="0" w:color="auto"/>
              <w:bottom w:val="single" w:sz="2" w:space="0" w:color="auto"/>
              <w:right w:val="single" w:sz="2" w:space="0" w:color="auto"/>
            </w:tcBorders>
            <w:vAlign w:val="center"/>
          </w:tcPr>
          <w:p w14:paraId="71B9AD2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3419F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A7929E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9B56A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Loans from other banks</w:t>
            </w:r>
          </w:p>
        </w:tc>
        <w:tc>
          <w:tcPr>
            <w:tcW w:w="3213" w:type="dxa"/>
            <w:tcBorders>
              <w:top w:val="single" w:sz="2" w:space="0" w:color="auto"/>
              <w:left w:val="single" w:sz="2" w:space="0" w:color="auto"/>
              <w:bottom w:val="single" w:sz="2" w:space="0" w:color="auto"/>
              <w:right w:val="single" w:sz="2" w:space="0" w:color="auto"/>
            </w:tcBorders>
            <w:vAlign w:val="center"/>
          </w:tcPr>
          <w:p w14:paraId="315906D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6901D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21D41E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48E8E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Held-for-trading financial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691C581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6C203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7C9668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7676C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Derivative financial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46B6FF1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63FC0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C80571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6E060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Notes payable</w:t>
            </w:r>
          </w:p>
        </w:tc>
        <w:tc>
          <w:tcPr>
            <w:tcW w:w="3213" w:type="dxa"/>
            <w:tcBorders>
              <w:top w:val="single" w:sz="2" w:space="0" w:color="auto"/>
              <w:left w:val="single" w:sz="2" w:space="0" w:color="auto"/>
              <w:bottom w:val="single" w:sz="2" w:space="0" w:color="auto"/>
              <w:right w:val="single" w:sz="2" w:space="0" w:color="auto"/>
            </w:tcBorders>
            <w:vAlign w:val="center"/>
          </w:tcPr>
          <w:p w14:paraId="2BE9357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253,148,954.71</w:t>
            </w:r>
          </w:p>
        </w:tc>
        <w:tc>
          <w:tcPr>
            <w:tcW w:w="3213" w:type="dxa"/>
            <w:tcBorders>
              <w:top w:val="single" w:sz="2" w:space="0" w:color="auto"/>
              <w:left w:val="single" w:sz="2" w:space="0" w:color="auto"/>
              <w:bottom w:val="single" w:sz="2" w:space="0" w:color="auto"/>
              <w:right w:val="single" w:sz="2" w:space="0" w:color="auto"/>
            </w:tcBorders>
            <w:vAlign w:val="center"/>
          </w:tcPr>
          <w:p w14:paraId="2CB5260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404,866,538.45</w:t>
            </w:r>
          </w:p>
        </w:tc>
      </w:tr>
      <w:tr w:rsidR="00F73301" w:rsidRPr="00F73301" w14:paraId="7F039A4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9A264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payable</w:t>
            </w:r>
          </w:p>
        </w:tc>
        <w:tc>
          <w:tcPr>
            <w:tcW w:w="3213" w:type="dxa"/>
            <w:tcBorders>
              <w:top w:val="single" w:sz="2" w:space="0" w:color="auto"/>
              <w:left w:val="single" w:sz="2" w:space="0" w:color="auto"/>
              <w:bottom w:val="single" w:sz="2" w:space="0" w:color="auto"/>
              <w:right w:val="single" w:sz="2" w:space="0" w:color="auto"/>
            </w:tcBorders>
            <w:vAlign w:val="center"/>
          </w:tcPr>
          <w:p w14:paraId="0EBB8D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1,171,424,090.51</w:t>
            </w:r>
          </w:p>
        </w:tc>
        <w:tc>
          <w:tcPr>
            <w:tcW w:w="3213" w:type="dxa"/>
            <w:tcBorders>
              <w:top w:val="single" w:sz="2" w:space="0" w:color="auto"/>
              <w:left w:val="single" w:sz="2" w:space="0" w:color="auto"/>
              <w:bottom w:val="single" w:sz="2" w:space="0" w:color="auto"/>
              <w:right w:val="single" w:sz="2" w:space="0" w:color="auto"/>
            </w:tcBorders>
            <w:vAlign w:val="center"/>
          </w:tcPr>
          <w:p w14:paraId="4C41451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1,045,387,673.40</w:t>
            </w:r>
          </w:p>
        </w:tc>
      </w:tr>
      <w:tr w:rsidR="00F73301" w:rsidRPr="00F73301" w14:paraId="19BDBDA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43893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Advances received</w:t>
            </w:r>
          </w:p>
        </w:tc>
        <w:tc>
          <w:tcPr>
            <w:tcW w:w="3213" w:type="dxa"/>
            <w:tcBorders>
              <w:top w:val="single" w:sz="2" w:space="0" w:color="auto"/>
              <w:left w:val="single" w:sz="2" w:space="0" w:color="auto"/>
              <w:bottom w:val="single" w:sz="2" w:space="0" w:color="auto"/>
              <w:right w:val="single" w:sz="2" w:space="0" w:color="auto"/>
            </w:tcBorders>
            <w:vAlign w:val="center"/>
          </w:tcPr>
          <w:p w14:paraId="61F3C59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F01E0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60788D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217CD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Contract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62BF47C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21,693,325.50</w:t>
            </w:r>
          </w:p>
        </w:tc>
        <w:tc>
          <w:tcPr>
            <w:tcW w:w="3213" w:type="dxa"/>
            <w:tcBorders>
              <w:top w:val="single" w:sz="2" w:space="0" w:color="auto"/>
              <w:left w:val="single" w:sz="2" w:space="0" w:color="auto"/>
              <w:bottom w:val="single" w:sz="2" w:space="0" w:color="auto"/>
              <w:right w:val="single" w:sz="2" w:space="0" w:color="auto"/>
            </w:tcBorders>
            <w:vAlign w:val="center"/>
          </w:tcPr>
          <w:p w14:paraId="5F3096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37,431,854.37</w:t>
            </w:r>
          </w:p>
        </w:tc>
      </w:tr>
      <w:tr w:rsidR="00F73301" w:rsidRPr="00F73301" w14:paraId="46C66B1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1AB278"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Financial assets under repo</w:t>
            </w:r>
          </w:p>
        </w:tc>
        <w:tc>
          <w:tcPr>
            <w:tcW w:w="3213" w:type="dxa"/>
            <w:tcBorders>
              <w:top w:val="single" w:sz="2" w:space="0" w:color="auto"/>
              <w:left w:val="single" w:sz="2" w:space="0" w:color="auto"/>
              <w:bottom w:val="single" w:sz="2" w:space="0" w:color="auto"/>
              <w:right w:val="single" w:sz="2" w:space="0" w:color="auto"/>
            </w:tcBorders>
            <w:vAlign w:val="center"/>
          </w:tcPr>
          <w:p w14:paraId="7D3D8F2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AA3BD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E0F4A8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063B5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Absorbing deposit and interbank deposit</w:t>
            </w:r>
          </w:p>
        </w:tc>
        <w:tc>
          <w:tcPr>
            <w:tcW w:w="3213" w:type="dxa"/>
            <w:tcBorders>
              <w:top w:val="single" w:sz="2" w:space="0" w:color="auto"/>
              <w:left w:val="single" w:sz="2" w:space="0" w:color="auto"/>
              <w:bottom w:val="single" w:sz="2" w:space="0" w:color="auto"/>
              <w:right w:val="single" w:sz="2" w:space="0" w:color="auto"/>
            </w:tcBorders>
            <w:vAlign w:val="center"/>
          </w:tcPr>
          <w:p w14:paraId="1B1FACD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35551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266C37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AABC5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Deposit for agency security transaction</w:t>
            </w:r>
          </w:p>
        </w:tc>
        <w:tc>
          <w:tcPr>
            <w:tcW w:w="3213" w:type="dxa"/>
            <w:tcBorders>
              <w:top w:val="single" w:sz="2" w:space="0" w:color="auto"/>
              <w:left w:val="single" w:sz="2" w:space="0" w:color="auto"/>
              <w:bottom w:val="single" w:sz="2" w:space="0" w:color="auto"/>
              <w:right w:val="single" w:sz="2" w:space="0" w:color="auto"/>
            </w:tcBorders>
            <w:vAlign w:val="center"/>
          </w:tcPr>
          <w:p w14:paraId="500912E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27F17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B7D1F4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64606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Deposit for agency security underwriting</w:t>
            </w:r>
          </w:p>
        </w:tc>
        <w:tc>
          <w:tcPr>
            <w:tcW w:w="3213" w:type="dxa"/>
            <w:tcBorders>
              <w:top w:val="single" w:sz="2" w:space="0" w:color="auto"/>
              <w:left w:val="single" w:sz="2" w:space="0" w:color="auto"/>
              <w:bottom w:val="single" w:sz="2" w:space="0" w:color="auto"/>
              <w:right w:val="single" w:sz="2" w:space="0" w:color="auto"/>
            </w:tcBorders>
            <w:vAlign w:val="center"/>
          </w:tcPr>
          <w:p w14:paraId="34D40D0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05117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3AB853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27024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Employee benefits payable</w:t>
            </w:r>
          </w:p>
        </w:tc>
        <w:tc>
          <w:tcPr>
            <w:tcW w:w="3213" w:type="dxa"/>
            <w:tcBorders>
              <w:top w:val="single" w:sz="2" w:space="0" w:color="auto"/>
              <w:left w:val="single" w:sz="2" w:space="0" w:color="auto"/>
              <w:bottom w:val="single" w:sz="2" w:space="0" w:color="auto"/>
              <w:right w:val="single" w:sz="2" w:space="0" w:color="auto"/>
            </w:tcBorders>
            <w:vAlign w:val="center"/>
          </w:tcPr>
          <w:p w14:paraId="65900D5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90,878,657.81</w:t>
            </w:r>
          </w:p>
        </w:tc>
        <w:tc>
          <w:tcPr>
            <w:tcW w:w="3213" w:type="dxa"/>
            <w:tcBorders>
              <w:top w:val="single" w:sz="2" w:space="0" w:color="auto"/>
              <w:left w:val="single" w:sz="2" w:space="0" w:color="auto"/>
              <w:bottom w:val="single" w:sz="2" w:space="0" w:color="auto"/>
              <w:right w:val="single" w:sz="2" w:space="0" w:color="auto"/>
            </w:tcBorders>
            <w:vAlign w:val="center"/>
          </w:tcPr>
          <w:p w14:paraId="625C22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144,438,351.00</w:t>
            </w:r>
          </w:p>
        </w:tc>
      </w:tr>
      <w:tr w:rsidR="00F73301" w:rsidRPr="00F73301" w14:paraId="2659CFB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23640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Taxes and rates payable</w:t>
            </w:r>
          </w:p>
        </w:tc>
        <w:tc>
          <w:tcPr>
            <w:tcW w:w="3213" w:type="dxa"/>
            <w:tcBorders>
              <w:top w:val="single" w:sz="2" w:space="0" w:color="auto"/>
              <w:left w:val="single" w:sz="2" w:space="0" w:color="auto"/>
              <w:bottom w:val="single" w:sz="2" w:space="0" w:color="auto"/>
              <w:right w:val="single" w:sz="2" w:space="0" w:color="auto"/>
            </w:tcBorders>
            <w:vAlign w:val="center"/>
          </w:tcPr>
          <w:p w14:paraId="76C240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32,387,349.08</w:t>
            </w:r>
          </w:p>
        </w:tc>
        <w:tc>
          <w:tcPr>
            <w:tcW w:w="3213" w:type="dxa"/>
            <w:tcBorders>
              <w:top w:val="single" w:sz="2" w:space="0" w:color="auto"/>
              <w:left w:val="single" w:sz="2" w:space="0" w:color="auto"/>
              <w:bottom w:val="single" w:sz="2" w:space="0" w:color="auto"/>
              <w:right w:val="single" w:sz="2" w:space="0" w:color="auto"/>
            </w:tcBorders>
            <w:vAlign w:val="center"/>
          </w:tcPr>
          <w:p w14:paraId="152ACF2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21,829,634.84</w:t>
            </w:r>
          </w:p>
        </w:tc>
      </w:tr>
      <w:tr w:rsidR="00F73301" w:rsidRPr="00F73301" w14:paraId="11AD268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82F420"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payables</w:t>
            </w:r>
          </w:p>
        </w:tc>
        <w:tc>
          <w:tcPr>
            <w:tcW w:w="3213" w:type="dxa"/>
            <w:tcBorders>
              <w:top w:val="single" w:sz="2" w:space="0" w:color="auto"/>
              <w:left w:val="single" w:sz="2" w:space="0" w:color="auto"/>
              <w:bottom w:val="single" w:sz="2" w:space="0" w:color="auto"/>
              <w:right w:val="single" w:sz="2" w:space="0" w:color="auto"/>
            </w:tcBorders>
            <w:vAlign w:val="center"/>
          </w:tcPr>
          <w:p w14:paraId="60DC5C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34,029,760.24</w:t>
            </w:r>
          </w:p>
        </w:tc>
        <w:tc>
          <w:tcPr>
            <w:tcW w:w="3213" w:type="dxa"/>
            <w:tcBorders>
              <w:top w:val="single" w:sz="2" w:space="0" w:color="auto"/>
              <w:left w:val="single" w:sz="2" w:space="0" w:color="auto"/>
              <w:bottom w:val="single" w:sz="2" w:space="0" w:color="auto"/>
              <w:right w:val="single" w:sz="2" w:space="0" w:color="auto"/>
            </w:tcBorders>
            <w:vAlign w:val="center"/>
          </w:tcPr>
          <w:p w14:paraId="00D54B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32,643,884.26</w:t>
            </w:r>
          </w:p>
        </w:tc>
      </w:tr>
      <w:tr w:rsidR="00F73301" w:rsidRPr="00F73301" w14:paraId="59AA7A4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AC366E"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Interest payable</w:t>
            </w:r>
          </w:p>
        </w:tc>
        <w:tc>
          <w:tcPr>
            <w:tcW w:w="3213" w:type="dxa"/>
            <w:tcBorders>
              <w:top w:val="single" w:sz="2" w:space="0" w:color="auto"/>
              <w:left w:val="single" w:sz="2" w:space="0" w:color="auto"/>
              <w:bottom w:val="single" w:sz="2" w:space="0" w:color="auto"/>
              <w:right w:val="single" w:sz="2" w:space="0" w:color="auto"/>
            </w:tcBorders>
            <w:vAlign w:val="center"/>
          </w:tcPr>
          <w:p w14:paraId="7BB0E51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50FA9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67AEA3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20CBB4"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Dividends payable</w:t>
            </w:r>
          </w:p>
        </w:tc>
        <w:tc>
          <w:tcPr>
            <w:tcW w:w="3213" w:type="dxa"/>
            <w:tcBorders>
              <w:top w:val="single" w:sz="2" w:space="0" w:color="auto"/>
              <w:left w:val="single" w:sz="2" w:space="0" w:color="auto"/>
              <w:bottom w:val="single" w:sz="2" w:space="0" w:color="auto"/>
              <w:right w:val="single" w:sz="2" w:space="0" w:color="auto"/>
            </w:tcBorders>
            <w:vAlign w:val="center"/>
          </w:tcPr>
          <w:p w14:paraId="1133AC2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60467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FC5385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78FEC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Handling fee and commission payable</w:t>
            </w:r>
          </w:p>
        </w:tc>
        <w:tc>
          <w:tcPr>
            <w:tcW w:w="3213" w:type="dxa"/>
            <w:tcBorders>
              <w:top w:val="single" w:sz="2" w:space="0" w:color="auto"/>
              <w:left w:val="single" w:sz="2" w:space="0" w:color="auto"/>
              <w:bottom w:val="single" w:sz="2" w:space="0" w:color="auto"/>
              <w:right w:val="single" w:sz="2" w:space="0" w:color="auto"/>
            </w:tcBorders>
            <w:vAlign w:val="center"/>
          </w:tcPr>
          <w:p w14:paraId="50D3D3B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6EEE9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DE25EB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0FD8C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Reinsurance accounts payable</w:t>
            </w:r>
          </w:p>
        </w:tc>
        <w:tc>
          <w:tcPr>
            <w:tcW w:w="3213" w:type="dxa"/>
            <w:tcBorders>
              <w:top w:val="single" w:sz="2" w:space="0" w:color="auto"/>
              <w:left w:val="single" w:sz="2" w:space="0" w:color="auto"/>
              <w:bottom w:val="single" w:sz="2" w:space="0" w:color="auto"/>
              <w:right w:val="single" w:sz="2" w:space="0" w:color="auto"/>
            </w:tcBorders>
            <w:vAlign w:val="center"/>
          </w:tcPr>
          <w:p w14:paraId="76FCC68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5805C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8C2758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58478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Liabilities held for sale</w:t>
            </w:r>
          </w:p>
        </w:tc>
        <w:tc>
          <w:tcPr>
            <w:tcW w:w="3213" w:type="dxa"/>
            <w:tcBorders>
              <w:top w:val="single" w:sz="2" w:space="0" w:color="auto"/>
              <w:left w:val="single" w:sz="2" w:space="0" w:color="auto"/>
              <w:bottom w:val="single" w:sz="2" w:space="0" w:color="auto"/>
              <w:right w:val="single" w:sz="2" w:space="0" w:color="auto"/>
            </w:tcBorders>
            <w:vAlign w:val="center"/>
          </w:tcPr>
          <w:p w14:paraId="05BCF6F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5B0B0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6F3F7C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23135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liabilities due within one year</w:t>
            </w:r>
          </w:p>
        </w:tc>
        <w:tc>
          <w:tcPr>
            <w:tcW w:w="3213" w:type="dxa"/>
            <w:tcBorders>
              <w:top w:val="single" w:sz="2" w:space="0" w:color="auto"/>
              <w:left w:val="single" w:sz="2" w:space="0" w:color="auto"/>
              <w:bottom w:val="single" w:sz="2" w:space="0" w:color="auto"/>
              <w:right w:val="single" w:sz="2" w:space="0" w:color="auto"/>
            </w:tcBorders>
            <w:vAlign w:val="center"/>
          </w:tcPr>
          <w:p w14:paraId="67AA72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202,797,222.08</w:t>
            </w:r>
          </w:p>
        </w:tc>
        <w:tc>
          <w:tcPr>
            <w:tcW w:w="3213" w:type="dxa"/>
            <w:tcBorders>
              <w:top w:val="single" w:sz="2" w:space="0" w:color="auto"/>
              <w:left w:val="single" w:sz="2" w:space="0" w:color="auto"/>
              <w:bottom w:val="single" w:sz="2" w:space="0" w:color="auto"/>
              <w:right w:val="single" w:sz="2" w:space="0" w:color="auto"/>
            </w:tcBorders>
            <w:vAlign w:val="center"/>
          </w:tcPr>
          <w:p w14:paraId="10E687C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102,412,112.30</w:t>
            </w:r>
          </w:p>
        </w:tc>
      </w:tr>
      <w:tr w:rsidR="00F73301" w:rsidRPr="00F73301" w14:paraId="37B7F0C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76156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352068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776,798.69</w:t>
            </w:r>
          </w:p>
        </w:tc>
        <w:tc>
          <w:tcPr>
            <w:tcW w:w="3213" w:type="dxa"/>
            <w:tcBorders>
              <w:top w:val="single" w:sz="2" w:space="0" w:color="auto"/>
              <w:left w:val="single" w:sz="2" w:space="0" w:color="auto"/>
              <w:bottom w:val="single" w:sz="2" w:space="0" w:color="auto"/>
              <w:right w:val="single" w:sz="2" w:space="0" w:color="auto"/>
            </w:tcBorders>
            <w:vAlign w:val="center"/>
          </w:tcPr>
          <w:p w14:paraId="374D9E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2,394,362.02</w:t>
            </w:r>
          </w:p>
        </w:tc>
      </w:tr>
      <w:tr w:rsidR="00F73301" w:rsidRPr="00F73301" w14:paraId="44E70C7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9D53F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7CAA27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2,565,248,298.90</w:t>
            </w:r>
          </w:p>
        </w:tc>
        <w:tc>
          <w:tcPr>
            <w:tcW w:w="3213" w:type="dxa"/>
            <w:tcBorders>
              <w:top w:val="single" w:sz="2" w:space="0" w:color="auto"/>
              <w:left w:val="single" w:sz="2" w:space="0" w:color="auto"/>
              <w:bottom w:val="single" w:sz="2" w:space="0" w:color="auto"/>
              <w:right w:val="single" w:sz="2" w:space="0" w:color="auto"/>
            </w:tcBorders>
            <w:vAlign w:val="center"/>
          </w:tcPr>
          <w:p w14:paraId="26AFE4B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2,064,525,951.64</w:t>
            </w:r>
          </w:p>
        </w:tc>
      </w:tr>
      <w:tr w:rsidR="00F73301" w:rsidRPr="00F73301" w14:paraId="46A8B21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D6EB7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liabilities: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149FE1"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465E9F"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5AB3F77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C5A66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Insurance policy reserve</w:t>
            </w:r>
          </w:p>
        </w:tc>
        <w:tc>
          <w:tcPr>
            <w:tcW w:w="3213" w:type="dxa"/>
            <w:tcBorders>
              <w:top w:val="single" w:sz="2" w:space="0" w:color="auto"/>
              <w:left w:val="single" w:sz="2" w:space="0" w:color="auto"/>
              <w:bottom w:val="single" w:sz="2" w:space="0" w:color="auto"/>
              <w:right w:val="single" w:sz="2" w:space="0" w:color="auto"/>
            </w:tcBorders>
            <w:vAlign w:val="center"/>
          </w:tcPr>
          <w:p w14:paraId="498E7DA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77A2F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D1688B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2A1F6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7C034D3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450,241,087.28</w:t>
            </w:r>
          </w:p>
        </w:tc>
        <w:tc>
          <w:tcPr>
            <w:tcW w:w="3213" w:type="dxa"/>
            <w:tcBorders>
              <w:top w:val="single" w:sz="2" w:space="0" w:color="auto"/>
              <w:left w:val="single" w:sz="2" w:space="0" w:color="auto"/>
              <w:bottom w:val="single" w:sz="2" w:space="0" w:color="auto"/>
              <w:right w:val="single" w:sz="2" w:space="0" w:color="auto"/>
            </w:tcBorders>
            <w:vAlign w:val="center"/>
          </w:tcPr>
          <w:p w14:paraId="25B71E6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400,283,333.33</w:t>
            </w:r>
          </w:p>
        </w:tc>
      </w:tr>
      <w:tr w:rsidR="00F73301" w:rsidRPr="00F73301" w14:paraId="4FE0F02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87EE3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Bonds payable</w:t>
            </w:r>
          </w:p>
        </w:tc>
        <w:tc>
          <w:tcPr>
            <w:tcW w:w="3213" w:type="dxa"/>
            <w:tcBorders>
              <w:top w:val="single" w:sz="2" w:space="0" w:color="auto"/>
              <w:left w:val="single" w:sz="2" w:space="0" w:color="auto"/>
              <w:bottom w:val="single" w:sz="2" w:space="0" w:color="auto"/>
              <w:right w:val="single" w:sz="2" w:space="0" w:color="auto"/>
            </w:tcBorders>
            <w:vAlign w:val="center"/>
          </w:tcPr>
          <w:p w14:paraId="4DCB432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DBC9F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E17F78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6A3B67"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Preferred shares</w:t>
            </w:r>
          </w:p>
        </w:tc>
        <w:tc>
          <w:tcPr>
            <w:tcW w:w="3213" w:type="dxa"/>
            <w:tcBorders>
              <w:top w:val="single" w:sz="2" w:space="0" w:color="auto"/>
              <w:left w:val="single" w:sz="2" w:space="0" w:color="auto"/>
              <w:bottom w:val="single" w:sz="2" w:space="0" w:color="auto"/>
              <w:right w:val="single" w:sz="2" w:space="0" w:color="auto"/>
            </w:tcBorders>
            <w:vAlign w:val="center"/>
          </w:tcPr>
          <w:p w14:paraId="1D757E1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73F20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D6B2ED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80478B"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Perpetual bonds</w:t>
            </w:r>
          </w:p>
        </w:tc>
        <w:tc>
          <w:tcPr>
            <w:tcW w:w="3213" w:type="dxa"/>
            <w:tcBorders>
              <w:top w:val="single" w:sz="2" w:space="0" w:color="auto"/>
              <w:left w:val="single" w:sz="2" w:space="0" w:color="auto"/>
              <w:bottom w:val="single" w:sz="2" w:space="0" w:color="auto"/>
              <w:right w:val="single" w:sz="2" w:space="0" w:color="auto"/>
            </w:tcBorders>
            <w:vAlign w:val="center"/>
          </w:tcPr>
          <w:p w14:paraId="4C45743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8932B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15CB74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F07C7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Lease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7BE4C2D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113,974,087.94</w:t>
            </w:r>
          </w:p>
        </w:tc>
        <w:tc>
          <w:tcPr>
            <w:tcW w:w="3213" w:type="dxa"/>
            <w:tcBorders>
              <w:top w:val="single" w:sz="2" w:space="0" w:color="auto"/>
              <w:left w:val="single" w:sz="2" w:space="0" w:color="auto"/>
              <w:bottom w:val="single" w:sz="2" w:space="0" w:color="auto"/>
              <w:right w:val="single" w:sz="2" w:space="0" w:color="auto"/>
            </w:tcBorders>
            <w:vAlign w:val="center"/>
          </w:tcPr>
          <w:p w14:paraId="1212ABF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4,863,114.56</w:t>
            </w:r>
          </w:p>
        </w:tc>
      </w:tr>
      <w:tr w:rsidR="00F73301" w:rsidRPr="00F73301" w14:paraId="1C898F3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F07C6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payables</w:t>
            </w:r>
          </w:p>
        </w:tc>
        <w:tc>
          <w:tcPr>
            <w:tcW w:w="3213" w:type="dxa"/>
            <w:tcBorders>
              <w:top w:val="single" w:sz="2" w:space="0" w:color="auto"/>
              <w:left w:val="single" w:sz="2" w:space="0" w:color="auto"/>
              <w:bottom w:val="single" w:sz="2" w:space="0" w:color="auto"/>
              <w:right w:val="single" w:sz="2" w:space="0" w:color="auto"/>
            </w:tcBorders>
            <w:vAlign w:val="center"/>
          </w:tcPr>
          <w:p w14:paraId="00E26D3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83B37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B7BC3C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7F6E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employee benefits payable</w:t>
            </w:r>
          </w:p>
        </w:tc>
        <w:tc>
          <w:tcPr>
            <w:tcW w:w="3213" w:type="dxa"/>
            <w:tcBorders>
              <w:top w:val="single" w:sz="2" w:space="0" w:color="auto"/>
              <w:left w:val="single" w:sz="2" w:space="0" w:color="auto"/>
              <w:bottom w:val="single" w:sz="2" w:space="0" w:color="auto"/>
              <w:right w:val="single" w:sz="2" w:space="0" w:color="auto"/>
            </w:tcBorders>
            <w:vAlign w:val="center"/>
          </w:tcPr>
          <w:p w14:paraId="37D8BE4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0943D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5A129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137A9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Provisions</w:t>
            </w:r>
          </w:p>
        </w:tc>
        <w:tc>
          <w:tcPr>
            <w:tcW w:w="3213" w:type="dxa"/>
            <w:tcBorders>
              <w:top w:val="single" w:sz="2" w:space="0" w:color="auto"/>
              <w:left w:val="single" w:sz="2" w:space="0" w:color="auto"/>
              <w:bottom w:val="single" w:sz="2" w:space="0" w:color="auto"/>
              <w:right w:val="single" w:sz="2" w:space="0" w:color="auto"/>
            </w:tcBorders>
            <w:vAlign w:val="center"/>
          </w:tcPr>
          <w:p w14:paraId="7453F5D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0BD96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A2F6A1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AECF3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w:t>
            </w:r>
          </w:p>
        </w:tc>
        <w:tc>
          <w:tcPr>
            <w:tcW w:w="3213" w:type="dxa"/>
            <w:tcBorders>
              <w:top w:val="single" w:sz="2" w:space="0" w:color="auto"/>
              <w:left w:val="single" w:sz="2" w:space="0" w:color="auto"/>
              <w:bottom w:val="single" w:sz="2" w:space="0" w:color="auto"/>
              <w:right w:val="single" w:sz="2" w:space="0" w:color="auto"/>
            </w:tcBorders>
            <w:vAlign w:val="center"/>
          </w:tcPr>
          <w:p w14:paraId="3751937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174,366,042.49</w:t>
            </w:r>
          </w:p>
        </w:tc>
        <w:tc>
          <w:tcPr>
            <w:tcW w:w="3213" w:type="dxa"/>
            <w:tcBorders>
              <w:top w:val="single" w:sz="2" w:space="0" w:color="auto"/>
              <w:left w:val="single" w:sz="2" w:space="0" w:color="auto"/>
              <w:bottom w:val="single" w:sz="2" w:space="0" w:color="auto"/>
              <w:right w:val="single" w:sz="2" w:space="0" w:color="auto"/>
            </w:tcBorders>
            <w:vAlign w:val="center"/>
          </w:tcPr>
          <w:p w14:paraId="4F92B4D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159,516,602.26</w:t>
            </w:r>
          </w:p>
        </w:tc>
      </w:tr>
      <w:tr w:rsidR="00F73301" w:rsidRPr="00F73301" w14:paraId="08795F1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0544E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1D3212C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222,941,009.97</w:t>
            </w:r>
          </w:p>
        </w:tc>
        <w:tc>
          <w:tcPr>
            <w:tcW w:w="3213" w:type="dxa"/>
            <w:tcBorders>
              <w:top w:val="single" w:sz="2" w:space="0" w:color="auto"/>
              <w:left w:val="single" w:sz="2" w:space="0" w:color="auto"/>
              <w:bottom w:val="single" w:sz="2" w:space="0" w:color="auto"/>
              <w:right w:val="single" w:sz="2" w:space="0" w:color="auto"/>
            </w:tcBorders>
            <w:vAlign w:val="center"/>
          </w:tcPr>
          <w:p w14:paraId="2506947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196,749,468.57</w:t>
            </w:r>
          </w:p>
        </w:tc>
      </w:tr>
      <w:tr w:rsidR="00F73301" w:rsidRPr="00F73301" w14:paraId="0FDE0A6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42878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non-current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1A55C4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354,050,938.00</w:t>
            </w:r>
          </w:p>
        </w:tc>
        <w:tc>
          <w:tcPr>
            <w:tcW w:w="3213" w:type="dxa"/>
            <w:tcBorders>
              <w:top w:val="single" w:sz="2" w:space="0" w:color="auto"/>
              <w:left w:val="single" w:sz="2" w:space="0" w:color="auto"/>
              <w:bottom w:val="single" w:sz="2" w:space="0" w:color="auto"/>
              <w:right w:val="single" w:sz="2" w:space="0" w:color="auto"/>
            </w:tcBorders>
            <w:vAlign w:val="center"/>
          </w:tcPr>
          <w:p w14:paraId="6767B02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319,316,563.00</w:t>
            </w:r>
          </w:p>
        </w:tc>
      </w:tr>
      <w:tr w:rsidR="00F73301" w:rsidRPr="00F73301" w14:paraId="42E8495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41243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non-current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62186C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1,315,573,165.68</w:t>
            </w:r>
          </w:p>
        </w:tc>
        <w:tc>
          <w:tcPr>
            <w:tcW w:w="3213" w:type="dxa"/>
            <w:tcBorders>
              <w:top w:val="single" w:sz="2" w:space="0" w:color="auto"/>
              <w:left w:val="single" w:sz="2" w:space="0" w:color="auto"/>
              <w:bottom w:val="single" w:sz="2" w:space="0" w:color="auto"/>
              <w:right w:val="single" w:sz="2" w:space="0" w:color="auto"/>
            </w:tcBorders>
            <w:vAlign w:val="center"/>
          </w:tcPr>
          <w:p w14:paraId="5DF9601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1,080,729,081.72</w:t>
            </w:r>
          </w:p>
        </w:tc>
      </w:tr>
      <w:tr w:rsidR="00F73301" w:rsidRPr="00F73301" w14:paraId="0B4FC41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52798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4B0D119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3,880,821,464.58</w:t>
            </w:r>
          </w:p>
        </w:tc>
        <w:tc>
          <w:tcPr>
            <w:tcW w:w="3213" w:type="dxa"/>
            <w:tcBorders>
              <w:top w:val="single" w:sz="2" w:space="0" w:color="auto"/>
              <w:left w:val="single" w:sz="2" w:space="0" w:color="auto"/>
              <w:bottom w:val="single" w:sz="2" w:space="0" w:color="auto"/>
              <w:right w:val="single" w:sz="2" w:space="0" w:color="auto"/>
            </w:tcBorders>
            <w:vAlign w:val="center"/>
          </w:tcPr>
          <w:p w14:paraId="4F69077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3,145,255,033.36</w:t>
            </w:r>
          </w:p>
        </w:tc>
      </w:tr>
      <w:tr w:rsidR="00F73301" w:rsidRPr="00F73301" w14:paraId="57E3EF3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2141E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Owners' equity:</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E9F537"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70FE99"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3736AE2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5D4E0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Share capital</w:t>
            </w:r>
          </w:p>
        </w:tc>
        <w:tc>
          <w:tcPr>
            <w:tcW w:w="3213" w:type="dxa"/>
            <w:tcBorders>
              <w:top w:val="single" w:sz="2" w:space="0" w:color="auto"/>
              <w:left w:val="single" w:sz="2" w:space="0" w:color="auto"/>
              <w:bottom w:val="single" w:sz="2" w:space="0" w:color="auto"/>
              <w:right w:val="single" w:sz="2" w:space="0" w:color="auto"/>
            </w:tcBorders>
            <w:vAlign w:val="center"/>
          </w:tcPr>
          <w:p w14:paraId="3C8720B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541,451,787.00</w:t>
            </w:r>
          </w:p>
        </w:tc>
        <w:tc>
          <w:tcPr>
            <w:tcW w:w="3213" w:type="dxa"/>
            <w:tcBorders>
              <w:top w:val="single" w:sz="2" w:space="0" w:color="auto"/>
              <w:left w:val="single" w:sz="2" w:space="0" w:color="auto"/>
              <w:bottom w:val="single" w:sz="2" w:space="0" w:color="auto"/>
              <w:right w:val="single" w:sz="2" w:space="0" w:color="auto"/>
            </w:tcBorders>
            <w:vAlign w:val="center"/>
          </w:tcPr>
          <w:p w14:paraId="26FF9CF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512,772,787.00</w:t>
            </w:r>
          </w:p>
        </w:tc>
      </w:tr>
      <w:tr w:rsidR="00F73301" w:rsidRPr="00F73301" w14:paraId="041894D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C45EB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equity instruments</w:t>
            </w:r>
          </w:p>
        </w:tc>
        <w:tc>
          <w:tcPr>
            <w:tcW w:w="3213" w:type="dxa"/>
            <w:tcBorders>
              <w:top w:val="single" w:sz="2" w:space="0" w:color="auto"/>
              <w:left w:val="single" w:sz="2" w:space="0" w:color="auto"/>
              <w:bottom w:val="single" w:sz="2" w:space="0" w:color="auto"/>
              <w:right w:val="single" w:sz="2" w:space="0" w:color="auto"/>
            </w:tcBorders>
            <w:vAlign w:val="center"/>
          </w:tcPr>
          <w:p w14:paraId="5371998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1C634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598C9C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121ED2"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Preferred shares</w:t>
            </w:r>
          </w:p>
        </w:tc>
        <w:tc>
          <w:tcPr>
            <w:tcW w:w="3213" w:type="dxa"/>
            <w:tcBorders>
              <w:top w:val="single" w:sz="2" w:space="0" w:color="auto"/>
              <w:left w:val="single" w:sz="2" w:space="0" w:color="auto"/>
              <w:bottom w:val="single" w:sz="2" w:space="0" w:color="auto"/>
              <w:right w:val="single" w:sz="2" w:space="0" w:color="auto"/>
            </w:tcBorders>
            <w:vAlign w:val="center"/>
          </w:tcPr>
          <w:p w14:paraId="583532A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E5451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120FD8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813D72"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Perpetual bonds</w:t>
            </w:r>
          </w:p>
        </w:tc>
        <w:tc>
          <w:tcPr>
            <w:tcW w:w="3213" w:type="dxa"/>
            <w:tcBorders>
              <w:top w:val="single" w:sz="2" w:space="0" w:color="auto"/>
              <w:left w:val="single" w:sz="2" w:space="0" w:color="auto"/>
              <w:bottom w:val="single" w:sz="2" w:space="0" w:color="auto"/>
              <w:right w:val="single" w:sz="2" w:space="0" w:color="auto"/>
            </w:tcBorders>
            <w:vAlign w:val="center"/>
          </w:tcPr>
          <w:p w14:paraId="561EFEC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20F34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38619A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ABC44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Capital reserve</w:t>
            </w:r>
          </w:p>
        </w:tc>
        <w:tc>
          <w:tcPr>
            <w:tcW w:w="3213" w:type="dxa"/>
            <w:tcBorders>
              <w:top w:val="single" w:sz="2" w:space="0" w:color="auto"/>
              <w:left w:val="single" w:sz="2" w:space="0" w:color="auto"/>
              <w:bottom w:val="single" w:sz="2" w:space="0" w:color="auto"/>
              <w:right w:val="single" w:sz="2" w:space="0" w:color="auto"/>
            </w:tcBorders>
            <w:vAlign w:val="center"/>
          </w:tcPr>
          <w:p w14:paraId="4D96425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4,032,753,425.09</w:t>
            </w:r>
          </w:p>
        </w:tc>
        <w:tc>
          <w:tcPr>
            <w:tcW w:w="3213" w:type="dxa"/>
            <w:tcBorders>
              <w:top w:val="single" w:sz="2" w:space="0" w:color="auto"/>
              <w:left w:val="single" w:sz="2" w:space="0" w:color="auto"/>
              <w:bottom w:val="single" w:sz="2" w:space="0" w:color="auto"/>
              <w:right w:val="single" w:sz="2" w:space="0" w:color="auto"/>
            </w:tcBorders>
            <w:vAlign w:val="center"/>
          </w:tcPr>
          <w:p w14:paraId="187B0BF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2,584,590,243.74</w:t>
            </w:r>
          </w:p>
        </w:tc>
      </w:tr>
      <w:tr w:rsidR="00F73301" w:rsidRPr="00F73301" w14:paraId="3740F13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940F1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Less: Treasury shares</w:t>
            </w:r>
          </w:p>
        </w:tc>
        <w:tc>
          <w:tcPr>
            <w:tcW w:w="3213" w:type="dxa"/>
            <w:tcBorders>
              <w:top w:val="single" w:sz="2" w:space="0" w:color="auto"/>
              <w:left w:val="single" w:sz="2" w:space="0" w:color="auto"/>
              <w:bottom w:val="single" w:sz="2" w:space="0" w:color="auto"/>
              <w:right w:val="single" w:sz="2" w:space="0" w:color="auto"/>
            </w:tcBorders>
            <w:vAlign w:val="center"/>
          </w:tcPr>
          <w:p w14:paraId="6D13A7E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1CBB0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B7EBB7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72786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2F814A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39,234,628.37</w:t>
            </w:r>
          </w:p>
        </w:tc>
        <w:tc>
          <w:tcPr>
            <w:tcW w:w="3213" w:type="dxa"/>
            <w:tcBorders>
              <w:top w:val="single" w:sz="2" w:space="0" w:color="auto"/>
              <w:left w:val="single" w:sz="2" w:space="0" w:color="auto"/>
              <w:bottom w:val="single" w:sz="2" w:space="0" w:color="auto"/>
              <w:right w:val="single" w:sz="2" w:space="0" w:color="auto"/>
            </w:tcBorders>
            <w:vAlign w:val="center"/>
          </w:tcPr>
          <w:p w14:paraId="0E19B69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28,166,283.84</w:t>
            </w:r>
          </w:p>
        </w:tc>
      </w:tr>
      <w:tr w:rsidR="00F73301" w:rsidRPr="00F73301" w14:paraId="14E4F13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EA7A5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Special reserve</w:t>
            </w:r>
          </w:p>
        </w:tc>
        <w:tc>
          <w:tcPr>
            <w:tcW w:w="3213" w:type="dxa"/>
            <w:tcBorders>
              <w:top w:val="single" w:sz="2" w:space="0" w:color="auto"/>
              <w:left w:val="single" w:sz="2" w:space="0" w:color="auto"/>
              <w:bottom w:val="single" w:sz="2" w:space="0" w:color="auto"/>
              <w:right w:val="single" w:sz="2" w:space="0" w:color="auto"/>
            </w:tcBorders>
            <w:vAlign w:val="center"/>
          </w:tcPr>
          <w:p w14:paraId="1963C7E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F8A52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5C17E9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074E6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Surplus reserve</w:t>
            </w:r>
          </w:p>
        </w:tc>
        <w:tc>
          <w:tcPr>
            <w:tcW w:w="3213" w:type="dxa"/>
            <w:tcBorders>
              <w:top w:val="single" w:sz="2" w:space="0" w:color="auto"/>
              <w:left w:val="single" w:sz="2" w:space="0" w:color="auto"/>
              <w:bottom w:val="single" w:sz="2" w:space="0" w:color="auto"/>
              <w:right w:val="single" w:sz="2" w:space="0" w:color="auto"/>
            </w:tcBorders>
            <w:vAlign w:val="center"/>
          </w:tcPr>
          <w:p w14:paraId="6956D9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256,386,393.50</w:t>
            </w:r>
          </w:p>
        </w:tc>
        <w:tc>
          <w:tcPr>
            <w:tcW w:w="3213" w:type="dxa"/>
            <w:tcBorders>
              <w:top w:val="single" w:sz="2" w:space="0" w:color="auto"/>
              <w:left w:val="single" w:sz="2" w:space="0" w:color="auto"/>
              <w:bottom w:val="single" w:sz="2" w:space="0" w:color="auto"/>
              <w:right w:val="single" w:sz="2" w:space="0" w:color="auto"/>
            </w:tcBorders>
            <w:vAlign w:val="center"/>
          </w:tcPr>
          <w:p w14:paraId="43DB0E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256,386,393.50</w:t>
            </w:r>
          </w:p>
        </w:tc>
      </w:tr>
      <w:tr w:rsidR="00F73301" w:rsidRPr="00F73301" w14:paraId="3FEA1D9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21302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General risk reserve</w:t>
            </w:r>
          </w:p>
        </w:tc>
        <w:tc>
          <w:tcPr>
            <w:tcW w:w="3213" w:type="dxa"/>
            <w:tcBorders>
              <w:top w:val="single" w:sz="2" w:space="0" w:color="auto"/>
              <w:left w:val="single" w:sz="2" w:space="0" w:color="auto"/>
              <w:bottom w:val="single" w:sz="2" w:space="0" w:color="auto"/>
              <w:right w:val="single" w:sz="2" w:space="0" w:color="auto"/>
            </w:tcBorders>
            <w:vAlign w:val="center"/>
          </w:tcPr>
          <w:p w14:paraId="334234B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EC5E4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B02B0A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7EFCF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Undistributed profit</w:t>
            </w:r>
          </w:p>
        </w:tc>
        <w:tc>
          <w:tcPr>
            <w:tcW w:w="3213" w:type="dxa"/>
            <w:tcBorders>
              <w:top w:val="single" w:sz="2" w:space="0" w:color="auto"/>
              <w:left w:val="single" w:sz="2" w:space="0" w:color="auto"/>
              <w:bottom w:val="single" w:sz="2" w:space="0" w:color="auto"/>
              <w:right w:val="single" w:sz="2" w:space="0" w:color="auto"/>
            </w:tcBorders>
            <w:vAlign w:val="center"/>
          </w:tcPr>
          <w:p w14:paraId="09BC07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2,911,513,371.39</w:t>
            </w:r>
          </w:p>
        </w:tc>
        <w:tc>
          <w:tcPr>
            <w:tcW w:w="3213" w:type="dxa"/>
            <w:tcBorders>
              <w:top w:val="single" w:sz="2" w:space="0" w:color="auto"/>
              <w:left w:val="single" w:sz="2" w:space="0" w:color="auto"/>
              <w:bottom w:val="single" w:sz="2" w:space="0" w:color="auto"/>
              <w:right w:val="single" w:sz="2" w:space="0" w:color="auto"/>
            </w:tcBorders>
            <w:vAlign w:val="center"/>
          </w:tcPr>
          <w:p w14:paraId="0D6807D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2,771,489,902.27</w:t>
            </w:r>
          </w:p>
        </w:tc>
      </w:tr>
      <w:tr w:rsidR="00F73301" w:rsidRPr="00F73301" w14:paraId="0EAF8FF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40E5A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equity attributable to the owners of the parent company</w:t>
            </w:r>
          </w:p>
        </w:tc>
        <w:tc>
          <w:tcPr>
            <w:tcW w:w="3213" w:type="dxa"/>
            <w:tcBorders>
              <w:top w:val="single" w:sz="2" w:space="0" w:color="auto"/>
              <w:left w:val="single" w:sz="2" w:space="0" w:color="auto"/>
              <w:bottom w:val="single" w:sz="2" w:space="0" w:color="auto"/>
              <w:right w:val="single" w:sz="2" w:space="0" w:color="auto"/>
            </w:tcBorders>
            <w:vAlign w:val="center"/>
          </w:tcPr>
          <w:p w14:paraId="11B79E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7,781,339,605.35</w:t>
            </w:r>
          </w:p>
        </w:tc>
        <w:tc>
          <w:tcPr>
            <w:tcW w:w="3213" w:type="dxa"/>
            <w:tcBorders>
              <w:top w:val="single" w:sz="2" w:space="0" w:color="auto"/>
              <w:left w:val="single" w:sz="2" w:space="0" w:color="auto"/>
              <w:bottom w:val="single" w:sz="2" w:space="0" w:color="auto"/>
              <w:right w:val="single" w:sz="2" w:space="0" w:color="auto"/>
            </w:tcBorders>
            <w:vAlign w:val="center"/>
          </w:tcPr>
          <w:p w14:paraId="4C4F06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6,153,405,610.35</w:t>
            </w:r>
          </w:p>
        </w:tc>
      </w:tr>
      <w:tr w:rsidR="00F73301" w:rsidRPr="00F73301" w14:paraId="222D8F5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326128"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Non-controlling interest</w:t>
            </w:r>
          </w:p>
        </w:tc>
        <w:tc>
          <w:tcPr>
            <w:tcW w:w="3213" w:type="dxa"/>
            <w:tcBorders>
              <w:top w:val="single" w:sz="2" w:space="0" w:color="auto"/>
              <w:left w:val="single" w:sz="2" w:space="0" w:color="auto"/>
              <w:bottom w:val="single" w:sz="2" w:space="0" w:color="auto"/>
              <w:right w:val="single" w:sz="2" w:space="0" w:color="auto"/>
            </w:tcBorders>
            <w:vAlign w:val="center"/>
          </w:tcPr>
          <w:p w14:paraId="27C5E30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407,824,084.79</w:t>
            </w:r>
          </w:p>
        </w:tc>
        <w:tc>
          <w:tcPr>
            <w:tcW w:w="3213" w:type="dxa"/>
            <w:tcBorders>
              <w:top w:val="single" w:sz="2" w:space="0" w:color="auto"/>
              <w:left w:val="single" w:sz="2" w:space="0" w:color="auto"/>
              <w:bottom w:val="single" w:sz="2" w:space="0" w:color="auto"/>
              <w:right w:val="single" w:sz="2" w:space="0" w:color="auto"/>
            </w:tcBorders>
            <w:vAlign w:val="center"/>
          </w:tcPr>
          <w:p w14:paraId="6DA3061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184,577,839.49</w:t>
            </w:r>
          </w:p>
        </w:tc>
      </w:tr>
      <w:tr w:rsidR="00F73301" w:rsidRPr="00F73301" w14:paraId="3358BDC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E03D7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owners' equity</w:t>
            </w:r>
          </w:p>
        </w:tc>
        <w:tc>
          <w:tcPr>
            <w:tcW w:w="3213" w:type="dxa"/>
            <w:tcBorders>
              <w:top w:val="single" w:sz="2" w:space="0" w:color="auto"/>
              <w:left w:val="single" w:sz="2" w:space="0" w:color="auto"/>
              <w:bottom w:val="single" w:sz="2" w:space="0" w:color="auto"/>
              <w:right w:val="single" w:sz="2" w:space="0" w:color="auto"/>
            </w:tcBorders>
            <w:vAlign w:val="center"/>
          </w:tcPr>
          <w:p w14:paraId="5DA1ED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8,189,163,690.14</w:t>
            </w:r>
          </w:p>
        </w:tc>
        <w:tc>
          <w:tcPr>
            <w:tcW w:w="3213" w:type="dxa"/>
            <w:tcBorders>
              <w:top w:val="single" w:sz="2" w:space="0" w:color="auto"/>
              <w:left w:val="single" w:sz="2" w:space="0" w:color="auto"/>
              <w:bottom w:val="single" w:sz="2" w:space="0" w:color="auto"/>
              <w:right w:val="single" w:sz="2" w:space="0" w:color="auto"/>
            </w:tcBorders>
            <w:vAlign w:val="center"/>
          </w:tcPr>
          <w:p w14:paraId="281471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6,337,983,449.84</w:t>
            </w:r>
          </w:p>
        </w:tc>
      </w:tr>
      <w:tr w:rsidR="00F73301" w:rsidRPr="00F73301" w14:paraId="76859DC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75584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liabilities and owners' equity</w:t>
            </w:r>
          </w:p>
        </w:tc>
        <w:tc>
          <w:tcPr>
            <w:tcW w:w="3213" w:type="dxa"/>
            <w:tcBorders>
              <w:top w:val="single" w:sz="2" w:space="0" w:color="auto"/>
              <w:left w:val="single" w:sz="2" w:space="0" w:color="auto"/>
              <w:bottom w:val="single" w:sz="2" w:space="0" w:color="auto"/>
              <w:right w:val="single" w:sz="2" w:space="0" w:color="auto"/>
            </w:tcBorders>
            <w:vAlign w:val="center"/>
          </w:tcPr>
          <w:p w14:paraId="26C8859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12,069,985,154.72</w:t>
            </w:r>
          </w:p>
        </w:tc>
        <w:tc>
          <w:tcPr>
            <w:tcW w:w="3213" w:type="dxa"/>
            <w:tcBorders>
              <w:top w:val="single" w:sz="2" w:space="0" w:color="auto"/>
              <w:left w:val="single" w:sz="2" w:space="0" w:color="auto"/>
              <w:bottom w:val="single" w:sz="2" w:space="0" w:color="auto"/>
              <w:right w:val="single" w:sz="2" w:space="0" w:color="auto"/>
            </w:tcBorders>
            <w:vAlign w:val="center"/>
          </w:tcPr>
          <w:p w14:paraId="75B9DD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9,483,238,483.20</w:t>
            </w:r>
          </w:p>
        </w:tc>
      </w:tr>
    </w:tbl>
    <w:p w14:paraId="7F02D31A" w14:textId="77777777" w:rsidR="00F73301" w:rsidRPr="00FC2420" w:rsidRDefault="00F73301" w:rsidP="00FC2420">
      <w:pPr>
        <w:snapToGrid w:val="0"/>
        <w:spacing w:beforeLines="50" w:before="156" w:afterLines="50" w:after="156"/>
        <w:jc w:val="both"/>
        <w:rPr>
          <w:rFonts w:ascii="Times New Roman" w:eastAsia="宋体" w:hAnsi="Times New Roman" w:cs="Times New Roman"/>
          <w:sz w:val="18"/>
          <w:szCs w:val="18"/>
        </w:rPr>
      </w:pPr>
      <w:r w:rsidRPr="00FC2420">
        <w:rPr>
          <w:rFonts w:ascii="Times New Roman" w:eastAsia="宋体" w:hAnsi="Times New Roman" w:cs="Times New Roman"/>
          <w:sz w:val="18"/>
          <w:szCs w:val="18"/>
        </w:rPr>
        <w:t>Legal Representative: Liang Qin    Chief Accountant: Dai Juan     Head of Accounting Department: She Jing</w:t>
      </w:r>
    </w:p>
    <w:p w14:paraId="2A69775F" w14:textId="77777777" w:rsidR="00F73301" w:rsidRPr="00F73301" w:rsidRDefault="00F73301" w:rsidP="00F73301">
      <w:pPr>
        <w:keepNext/>
        <w:keepLines/>
        <w:snapToGrid w:val="0"/>
        <w:spacing w:beforeLines="50" w:before="156" w:afterLines="50" w:after="156"/>
        <w:outlineLvl w:val="2"/>
        <w:rPr>
          <w:rFonts w:ascii="Times New Roman" w:eastAsia="宋体" w:hAnsi="Times New Roman" w:cs="Times New Roman"/>
          <w:b/>
          <w:bCs/>
          <w:sz w:val="24"/>
          <w:szCs w:val="24"/>
        </w:rPr>
      </w:pPr>
      <w:bookmarkStart w:id="98" w:name="_Toc988986"/>
      <w:r w:rsidRPr="00F73301">
        <w:rPr>
          <w:rFonts w:ascii="Times New Roman" w:eastAsia="宋体" w:hAnsi="Times New Roman" w:cs="Times New Roman"/>
          <w:b/>
          <w:bCs/>
          <w:sz w:val="24"/>
          <w:szCs w:val="24"/>
        </w:rPr>
        <w:lastRenderedPageBreak/>
        <w:t>2. Parent company balance sheet</w:t>
      </w:r>
      <w:bookmarkEnd w:id="98"/>
    </w:p>
    <w:p w14:paraId="2B1532C8"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3213"/>
        <w:gridCol w:w="3213"/>
        <w:gridCol w:w="3213"/>
      </w:tblGrid>
      <w:tr w:rsidR="00F73301" w:rsidRPr="00F73301" w14:paraId="185FB0A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49F02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E1B2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June 30, 2023</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B44FA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January 1, 2023</w:t>
            </w:r>
          </w:p>
        </w:tc>
      </w:tr>
      <w:tr w:rsidR="00F73301" w:rsidRPr="00F73301" w14:paraId="5D52A08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07BB8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assets: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B0DB05"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CF0729"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DED75A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E49BB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and bank balances</w:t>
            </w:r>
          </w:p>
        </w:tc>
        <w:tc>
          <w:tcPr>
            <w:tcW w:w="3213" w:type="dxa"/>
            <w:tcBorders>
              <w:top w:val="single" w:sz="2" w:space="0" w:color="auto"/>
              <w:left w:val="single" w:sz="2" w:space="0" w:color="auto"/>
              <w:bottom w:val="single" w:sz="2" w:space="0" w:color="auto"/>
              <w:right w:val="single" w:sz="2" w:space="0" w:color="auto"/>
            </w:tcBorders>
            <w:vAlign w:val="center"/>
          </w:tcPr>
          <w:p w14:paraId="6E371C1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2,573,531,883.22</w:t>
            </w:r>
          </w:p>
        </w:tc>
        <w:tc>
          <w:tcPr>
            <w:tcW w:w="3213" w:type="dxa"/>
            <w:tcBorders>
              <w:top w:val="single" w:sz="2" w:space="0" w:color="auto"/>
              <w:left w:val="single" w:sz="2" w:space="0" w:color="auto"/>
              <w:bottom w:val="single" w:sz="2" w:space="0" w:color="auto"/>
              <w:right w:val="single" w:sz="2" w:space="0" w:color="auto"/>
            </w:tcBorders>
            <w:vAlign w:val="center"/>
          </w:tcPr>
          <w:p w14:paraId="533E73C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1,215,581,607.13</w:t>
            </w:r>
          </w:p>
        </w:tc>
      </w:tr>
      <w:tr w:rsidR="00F73301" w:rsidRPr="00F73301" w14:paraId="29876A7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C6B2D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Held-for-trading financial assets</w:t>
            </w:r>
          </w:p>
        </w:tc>
        <w:tc>
          <w:tcPr>
            <w:tcW w:w="3213" w:type="dxa"/>
            <w:tcBorders>
              <w:top w:val="single" w:sz="2" w:space="0" w:color="auto"/>
              <w:left w:val="single" w:sz="2" w:space="0" w:color="auto"/>
              <w:bottom w:val="single" w:sz="2" w:space="0" w:color="auto"/>
              <w:right w:val="single" w:sz="2" w:space="0" w:color="auto"/>
            </w:tcBorders>
            <w:vAlign w:val="center"/>
          </w:tcPr>
          <w:p w14:paraId="16C8175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34E6D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60,000,000.00</w:t>
            </w:r>
          </w:p>
        </w:tc>
      </w:tr>
      <w:tr w:rsidR="00F73301" w:rsidRPr="00F73301" w14:paraId="39A6BF5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0D2EB4"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Derivative financial assets</w:t>
            </w:r>
          </w:p>
        </w:tc>
        <w:tc>
          <w:tcPr>
            <w:tcW w:w="3213" w:type="dxa"/>
            <w:tcBorders>
              <w:top w:val="single" w:sz="2" w:space="0" w:color="auto"/>
              <w:left w:val="single" w:sz="2" w:space="0" w:color="auto"/>
              <w:bottom w:val="single" w:sz="2" w:space="0" w:color="auto"/>
              <w:right w:val="single" w:sz="2" w:space="0" w:color="auto"/>
            </w:tcBorders>
            <w:vAlign w:val="center"/>
          </w:tcPr>
          <w:p w14:paraId="53C57B7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1D85E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25A429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065C7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Notes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081548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50,256,855.25</w:t>
            </w:r>
          </w:p>
        </w:tc>
        <w:tc>
          <w:tcPr>
            <w:tcW w:w="3213" w:type="dxa"/>
            <w:tcBorders>
              <w:top w:val="single" w:sz="2" w:space="0" w:color="auto"/>
              <w:left w:val="single" w:sz="2" w:space="0" w:color="auto"/>
              <w:bottom w:val="single" w:sz="2" w:space="0" w:color="auto"/>
              <w:right w:val="single" w:sz="2" w:space="0" w:color="auto"/>
            </w:tcBorders>
            <w:vAlign w:val="center"/>
          </w:tcPr>
          <w:p w14:paraId="339D3D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12,257,571.46</w:t>
            </w:r>
          </w:p>
        </w:tc>
      </w:tr>
      <w:tr w:rsidR="00F73301" w:rsidRPr="00F73301" w14:paraId="350B9BE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B95A6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20CDAFB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1,426,132,159.07</w:t>
            </w:r>
          </w:p>
        </w:tc>
        <w:tc>
          <w:tcPr>
            <w:tcW w:w="3213" w:type="dxa"/>
            <w:tcBorders>
              <w:top w:val="single" w:sz="2" w:space="0" w:color="auto"/>
              <w:left w:val="single" w:sz="2" w:space="0" w:color="auto"/>
              <w:bottom w:val="single" w:sz="2" w:space="0" w:color="auto"/>
              <w:right w:val="single" w:sz="2" w:space="0" w:color="auto"/>
            </w:tcBorders>
            <w:vAlign w:val="center"/>
          </w:tcPr>
          <w:p w14:paraId="0DDB67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947,279,745.53</w:t>
            </w:r>
          </w:p>
        </w:tc>
      </w:tr>
      <w:tr w:rsidR="00F73301" w:rsidRPr="00F73301" w14:paraId="3BAB96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68E78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Receivables financing</w:t>
            </w:r>
          </w:p>
        </w:tc>
        <w:tc>
          <w:tcPr>
            <w:tcW w:w="3213" w:type="dxa"/>
            <w:tcBorders>
              <w:top w:val="single" w:sz="2" w:space="0" w:color="auto"/>
              <w:left w:val="single" w:sz="2" w:space="0" w:color="auto"/>
              <w:bottom w:val="single" w:sz="2" w:space="0" w:color="auto"/>
              <w:right w:val="single" w:sz="2" w:space="0" w:color="auto"/>
            </w:tcBorders>
            <w:vAlign w:val="center"/>
          </w:tcPr>
          <w:p w14:paraId="6885F9A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97,941,177.97</w:t>
            </w:r>
          </w:p>
        </w:tc>
        <w:tc>
          <w:tcPr>
            <w:tcW w:w="3213" w:type="dxa"/>
            <w:tcBorders>
              <w:top w:val="single" w:sz="2" w:space="0" w:color="auto"/>
              <w:left w:val="single" w:sz="2" w:space="0" w:color="auto"/>
              <w:bottom w:val="single" w:sz="2" w:space="0" w:color="auto"/>
              <w:right w:val="single" w:sz="2" w:space="0" w:color="auto"/>
            </w:tcBorders>
            <w:vAlign w:val="center"/>
          </w:tcPr>
          <w:p w14:paraId="76C6976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179,001,017.43</w:t>
            </w:r>
          </w:p>
        </w:tc>
      </w:tr>
      <w:tr w:rsidR="00F73301" w:rsidRPr="00F73301" w14:paraId="5CECD8E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A64568"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Advances paid</w:t>
            </w:r>
          </w:p>
        </w:tc>
        <w:tc>
          <w:tcPr>
            <w:tcW w:w="3213" w:type="dxa"/>
            <w:tcBorders>
              <w:top w:val="single" w:sz="2" w:space="0" w:color="auto"/>
              <w:left w:val="single" w:sz="2" w:space="0" w:color="auto"/>
              <w:bottom w:val="single" w:sz="2" w:space="0" w:color="auto"/>
              <w:right w:val="single" w:sz="2" w:space="0" w:color="auto"/>
            </w:tcBorders>
            <w:vAlign w:val="center"/>
          </w:tcPr>
          <w:p w14:paraId="45C1849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12,924,595.02</w:t>
            </w:r>
          </w:p>
        </w:tc>
        <w:tc>
          <w:tcPr>
            <w:tcW w:w="3213" w:type="dxa"/>
            <w:tcBorders>
              <w:top w:val="single" w:sz="2" w:space="0" w:color="auto"/>
              <w:left w:val="single" w:sz="2" w:space="0" w:color="auto"/>
              <w:bottom w:val="single" w:sz="2" w:space="0" w:color="auto"/>
              <w:right w:val="single" w:sz="2" w:space="0" w:color="auto"/>
            </w:tcBorders>
            <w:vAlign w:val="center"/>
          </w:tcPr>
          <w:p w14:paraId="2C087E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111,224,366.27</w:t>
            </w:r>
          </w:p>
        </w:tc>
      </w:tr>
      <w:tr w:rsidR="00F73301" w:rsidRPr="00F73301" w14:paraId="36208FF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4A917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18BAE01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32,964,845.36</w:t>
            </w:r>
          </w:p>
        </w:tc>
        <w:tc>
          <w:tcPr>
            <w:tcW w:w="3213" w:type="dxa"/>
            <w:tcBorders>
              <w:top w:val="single" w:sz="2" w:space="0" w:color="auto"/>
              <w:left w:val="single" w:sz="2" w:space="0" w:color="auto"/>
              <w:bottom w:val="single" w:sz="2" w:space="0" w:color="auto"/>
              <w:right w:val="single" w:sz="2" w:space="0" w:color="auto"/>
            </w:tcBorders>
            <w:vAlign w:val="center"/>
          </w:tcPr>
          <w:p w14:paraId="5432A6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180,771,875.41</w:t>
            </w:r>
          </w:p>
        </w:tc>
      </w:tr>
      <w:tr w:rsidR="00F73301" w:rsidRPr="00F73301" w14:paraId="4B21666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3F9860"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Interest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14C563B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8EDF8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C355B7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615D4B"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Dividend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4145001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20E67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EEFB63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2929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Inventories</w:t>
            </w:r>
          </w:p>
        </w:tc>
        <w:tc>
          <w:tcPr>
            <w:tcW w:w="3213" w:type="dxa"/>
            <w:tcBorders>
              <w:top w:val="single" w:sz="2" w:space="0" w:color="auto"/>
              <w:left w:val="single" w:sz="2" w:space="0" w:color="auto"/>
              <w:bottom w:val="single" w:sz="2" w:space="0" w:color="auto"/>
              <w:right w:val="single" w:sz="2" w:space="0" w:color="auto"/>
            </w:tcBorders>
            <w:vAlign w:val="center"/>
          </w:tcPr>
          <w:p w14:paraId="4BBF55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822,547,004.95</w:t>
            </w:r>
          </w:p>
        </w:tc>
        <w:tc>
          <w:tcPr>
            <w:tcW w:w="3213" w:type="dxa"/>
            <w:tcBorders>
              <w:top w:val="single" w:sz="2" w:space="0" w:color="auto"/>
              <w:left w:val="single" w:sz="2" w:space="0" w:color="auto"/>
              <w:bottom w:val="single" w:sz="2" w:space="0" w:color="auto"/>
              <w:right w:val="single" w:sz="2" w:space="0" w:color="auto"/>
            </w:tcBorders>
            <w:vAlign w:val="center"/>
          </w:tcPr>
          <w:p w14:paraId="06380A4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903,392,615.86</w:t>
            </w:r>
          </w:p>
        </w:tc>
      </w:tr>
      <w:tr w:rsidR="00F73301" w:rsidRPr="00F73301" w14:paraId="27624BA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2F1794"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Contract assets</w:t>
            </w:r>
          </w:p>
        </w:tc>
        <w:tc>
          <w:tcPr>
            <w:tcW w:w="3213" w:type="dxa"/>
            <w:tcBorders>
              <w:top w:val="single" w:sz="2" w:space="0" w:color="auto"/>
              <w:left w:val="single" w:sz="2" w:space="0" w:color="auto"/>
              <w:bottom w:val="single" w:sz="2" w:space="0" w:color="auto"/>
              <w:right w:val="single" w:sz="2" w:space="0" w:color="auto"/>
            </w:tcBorders>
            <w:vAlign w:val="center"/>
          </w:tcPr>
          <w:p w14:paraId="52A8654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43215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BD4AA7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FC87E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Assets held for sale</w:t>
            </w:r>
          </w:p>
        </w:tc>
        <w:tc>
          <w:tcPr>
            <w:tcW w:w="3213" w:type="dxa"/>
            <w:tcBorders>
              <w:top w:val="single" w:sz="2" w:space="0" w:color="auto"/>
              <w:left w:val="single" w:sz="2" w:space="0" w:color="auto"/>
              <w:bottom w:val="single" w:sz="2" w:space="0" w:color="auto"/>
              <w:right w:val="single" w:sz="2" w:space="0" w:color="auto"/>
            </w:tcBorders>
            <w:vAlign w:val="center"/>
          </w:tcPr>
          <w:p w14:paraId="72F7758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647B2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24EF07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9D1670"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assets due within one year</w:t>
            </w:r>
          </w:p>
        </w:tc>
        <w:tc>
          <w:tcPr>
            <w:tcW w:w="3213" w:type="dxa"/>
            <w:tcBorders>
              <w:top w:val="single" w:sz="2" w:space="0" w:color="auto"/>
              <w:left w:val="single" w:sz="2" w:space="0" w:color="auto"/>
              <w:bottom w:val="single" w:sz="2" w:space="0" w:color="auto"/>
              <w:right w:val="single" w:sz="2" w:space="0" w:color="auto"/>
            </w:tcBorders>
            <w:vAlign w:val="center"/>
          </w:tcPr>
          <w:p w14:paraId="4D7293C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9C82B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95A9EF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6B93C4"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0F10A95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8,831,767.18</w:t>
            </w:r>
          </w:p>
        </w:tc>
        <w:tc>
          <w:tcPr>
            <w:tcW w:w="3213" w:type="dxa"/>
            <w:tcBorders>
              <w:top w:val="single" w:sz="2" w:space="0" w:color="auto"/>
              <w:left w:val="single" w:sz="2" w:space="0" w:color="auto"/>
              <w:bottom w:val="single" w:sz="2" w:space="0" w:color="auto"/>
              <w:right w:val="single" w:sz="2" w:space="0" w:color="auto"/>
            </w:tcBorders>
            <w:vAlign w:val="center"/>
          </w:tcPr>
          <w:p w14:paraId="0D3D07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108,385,939.51</w:t>
            </w:r>
          </w:p>
        </w:tc>
      </w:tr>
      <w:tr w:rsidR="00F73301" w:rsidRPr="00F73301" w14:paraId="2E3FAC7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90CCF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6213B66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5,025,130,288.02</w:t>
            </w:r>
          </w:p>
        </w:tc>
        <w:tc>
          <w:tcPr>
            <w:tcW w:w="3213" w:type="dxa"/>
            <w:tcBorders>
              <w:top w:val="single" w:sz="2" w:space="0" w:color="auto"/>
              <w:left w:val="single" w:sz="2" w:space="0" w:color="auto"/>
              <w:bottom w:val="single" w:sz="2" w:space="0" w:color="auto"/>
              <w:right w:val="single" w:sz="2" w:space="0" w:color="auto"/>
            </w:tcBorders>
            <w:vAlign w:val="center"/>
          </w:tcPr>
          <w:p w14:paraId="294A9B9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3,717,894,738.60</w:t>
            </w:r>
          </w:p>
        </w:tc>
      </w:tr>
      <w:tr w:rsidR="00F73301" w:rsidRPr="00F73301" w14:paraId="32C67D1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C875C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assets: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5B0246"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730D00"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65B2B83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BA794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Debt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23CB9E6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8836F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555344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51FF2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debt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28B7627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48AE5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43820D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C30DC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25F4C63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65F36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E9350B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51CC0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equity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650DDB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1,231,810,384.23</w:t>
            </w:r>
          </w:p>
        </w:tc>
        <w:tc>
          <w:tcPr>
            <w:tcW w:w="3213" w:type="dxa"/>
            <w:tcBorders>
              <w:top w:val="single" w:sz="2" w:space="0" w:color="auto"/>
              <w:left w:val="single" w:sz="2" w:space="0" w:color="auto"/>
              <w:bottom w:val="single" w:sz="2" w:space="0" w:color="auto"/>
              <w:right w:val="single" w:sz="2" w:space="0" w:color="auto"/>
            </w:tcBorders>
            <w:vAlign w:val="center"/>
          </w:tcPr>
          <w:p w14:paraId="5FB144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928,639,042.63</w:t>
            </w:r>
          </w:p>
        </w:tc>
      </w:tr>
      <w:tr w:rsidR="00F73301" w:rsidRPr="00F73301" w14:paraId="3802A3B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8D638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equity instrument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1F3068C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310E6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21890D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50827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non-current financial assets</w:t>
            </w:r>
          </w:p>
        </w:tc>
        <w:tc>
          <w:tcPr>
            <w:tcW w:w="3213" w:type="dxa"/>
            <w:tcBorders>
              <w:top w:val="single" w:sz="2" w:space="0" w:color="auto"/>
              <w:left w:val="single" w:sz="2" w:space="0" w:color="auto"/>
              <w:bottom w:val="single" w:sz="2" w:space="0" w:color="auto"/>
              <w:right w:val="single" w:sz="2" w:space="0" w:color="auto"/>
            </w:tcBorders>
            <w:vAlign w:val="center"/>
          </w:tcPr>
          <w:p w14:paraId="23A921C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444,696,592.64</w:t>
            </w:r>
          </w:p>
        </w:tc>
        <w:tc>
          <w:tcPr>
            <w:tcW w:w="3213" w:type="dxa"/>
            <w:tcBorders>
              <w:top w:val="single" w:sz="2" w:space="0" w:color="auto"/>
              <w:left w:val="single" w:sz="2" w:space="0" w:color="auto"/>
              <w:bottom w:val="single" w:sz="2" w:space="0" w:color="auto"/>
              <w:right w:val="single" w:sz="2" w:space="0" w:color="auto"/>
            </w:tcBorders>
            <w:vAlign w:val="center"/>
          </w:tcPr>
          <w:p w14:paraId="2A81013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442,446,494.05</w:t>
            </w:r>
          </w:p>
        </w:tc>
      </w:tr>
      <w:tr w:rsidR="00F73301" w:rsidRPr="00F73301" w14:paraId="3F89B00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797D9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property</w:t>
            </w:r>
          </w:p>
        </w:tc>
        <w:tc>
          <w:tcPr>
            <w:tcW w:w="3213" w:type="dxa"/>
            <w:tcBorders>
              <w:top w:val="single" w:sz="2" w:space="0" w:color="auto"/>
              <w:left w:val="single" w:sz="2" w:space="0" w:color="auto"/>
              <w:bottom w:val="single" w:sz="2" w:space="0" w:color="auto"/>
              <w:right w:val="single" w:sz="2" w:space="0" w:color="auto"/>
            </w:tcBorders>
            <w:vAlign w:val="center"/>
          </w:tcPr>
          <w:p w14:paraId="16D402D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7EBF9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D1D67C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327C5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Fixed assets</w:t>
            </w:r>
          </w:p>
        </w:tc>
        <w:tc>
          <w:tcPr>
            <w:tcW w:w="3213" w:type="dxa"/>
            <w:tcBorders>
              <w:top w:val="single" w:sz="2" w:space="0" w:color="auto"/>
              <w:left w:val="single" w:sz="2" w:space="0" w:color="auto"/>
              <w:bottom w:val="single" w:sz="2" w:space="0" w:color="auto"/>
              <w:right w:val="single" w:sz="2" w:space="0" w:color="auto"/>
            </w:tcBorders>
            <w:vAlign w:val="center"/>
          </w:tcPr>
          <w:p w14:paraId="4BD81AB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2,154,617,395.66</w:t>
            </w:r>
          </w:p>
        </w:tc>
        <w:tc>
          <w:tcPr>
            <w:tcW w:w="3213" w:type="dxa"/>
            <w:tcBorders>
              <w:top w:val="single" w:sz="2" w:space="0" w:color="auto"/>
              <w:left w:val="single" w:sz="2" w:space="0" w:color="auto"/>
              <w:bottom w:val="single" w:sz="2" w:space="0" w:color="auto"/>
              <w:right w:val="single" w:sz="2" w:space="0" w:color="auto"/>
            </w:tcBorders>
            <w:vAlign w:val="center"/>
          </w:tcPr>
          <w:p w14:paraId="3C8609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2,192,889,927.06</w:t>
            </w:r>
          </w:p>
        </w:tc>
      </w:tr>
      <w:tr w:rsidR="00F73301" w:rsidRPr="00F73301" w14:paraId="0FF35DA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23892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Construction in progress</w:t>
            </w:r>
          </w:p>
        </w:tc>
        <w:tc>
          <w:tcPr>
            <w:tcW w:w="3213" w:type="dxa"/>
            <w:tcBorders>
              <w:top w:val="single" w:sz="2" w:space="0" w:color="auto"/>
              <w:left w:val="single" w:sz="2" w:space="0" w:color="auto"/>
              <w:bottom w:val="single" w:sz="2" w:space="0" w:color="auto"/>
              <w:right w:val="single" w:sz="2" w:space="0" w:color="auto"/>
            </w:tcBorders>
            <w:vAlign w:val="center"/>
          </w:tcPr>
          <w:p w14:paraId="2A52404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101,865,740.17</w:t>
            </w:r>
          </w:p>
        </w:tc>
        <w:tc>
          <w:tcPr>
            <w:tcW w:w="3213" w:type="dxa"/>
            <w:tcBorders>
              <w:top w:val="single" w:sz="2" w:space="0" w:color="auto"/>
              <w:left w:val="single" w:sz="2" w:space="0" w:color="auto"/>
              <w:bottom w:val="single" w:sz="2" w:space="0" w:color="auto"/>
              <w:right w:val="single" w:sz="2" w:space="0" w:color="auto"/>
            </w:tcBorders>
            <w:vAlign w:val="center"/>
          </w:tcPr>
          <w:p w14:paraId="30783E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167,284,351.89</w:t>
            </w:r>
          </w:p>
        </w:tc>
      </w:tr>
      <w:tr w:rsidR="00F73301" w:rsidRPr="00F73301" w14:paraId="16A1A93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5C092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Productive biological assets</w:t>
            </w:r>
          </w:p>
        </w:tc>
        <w:tc>
          <w:tcPr>
            <w:tcW w:w="3213" w:type="dxa"/>
            <w:tcBorders>
              <w:top w:val="single" w:sz="2" w:space="0" w:color="auto"/>
              <w:left w:val="single" w:sz="2" w:space="0" w:color="auto"/>
              <w:bottom w:val="single" w:sz="2" w:space="0" w:color="auto"/>
              <w:right w:val="single" w:sz="2" w:space="0" w:color="auto"/>
            </w:tcBorders>
            <w:vAlign w:val="center"/>
          </w:tcPr>
          <w:p w14:paraId="13D846A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1B6FE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3CFABA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E5A62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Oil &amp; gas assets</w:t>
            </w:r>
          </w:p>
        </w:tc>
        <w:tc>
          <w:tcPr>
            <w:tcW w:w="3213" w:type="dxa"/>
            <w:tcBorders>
              <w:top w:val="single" w:sz="2" w:space="0" w:color="auto"/>
              <w:left w:val="single" w:sz="2" w:space="0" w:color="auto"/>
              <w:bottom w:val="single" w:sz="2" w:space="0" w:color="auto"/>
              <w:right w:val="single" w:sz="2" w:space="0" w:color="auto"/>
            </w:tcBorders>
            <w:vAlign w:val="center"/>
          </w:tcPr>
          <w:p w14:paraId="4F250E9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ACEB6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D15162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F817D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Right-of-use assets</w:t>
            </w:r>
          </w:p>
        </w:tc>
        <w:tc>
          <w:tcPr>
            <w:tcW w:w="3213" w:type="dxa"/>
            <w:tcBorders>
              <w:top w:val="single" w:sz="2" w:space="0" w:color="auto"/>
              <w:left w:val="single" w:sz="2" w:space="0" w:color="auto"/>
              <w:bottom w:val="single" w:sz="2" w:space="0" w:color="auto"/>
              <w:right w:val="single" w:sz="2" w:space="0" w:color="auto"/>
            </w:tcBorders>
            <w:vAlign w:val="center"/>
          </w:tcPr>
          <w:p w14:paraId="68B6FFC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7F2E0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EE1AAE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00F4E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Intangible assets</w:t>
            </w:r>
          </w:p>
        </w:tc>
        <w:tc>
          <w:tcPr>
            <w:tcW w:w="3213" w:type="dxa"/>
            <w:tcBorders>
              <w:top w:val="single" w:sz="2" w:space="0" w:color="auto"/>
              <w:left w:val="single" w:sz="2" w:space="0" w:color="auto"/>
              <w:bottom w:val="single" w:sz="2" w:space="0" w:color="auto"/>
              <w:right w:val="single" w:sz="2" w:space="0" w:color="auto"/>
            </w:tcBorders>
            <w:vAlign w:val="center"/>
          </w:tcPr>
          <w:p w14:paraId="78BFDD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66,139,497.25</w:t>
            </w:r>
          </w:p>
        </w:tc>
        <w:tc>
          <w:tcPr>
            <w:tcW w:w="3213" w:type="dxa"/>
            <w:tcBorders>
              <w:top w:val="single" w:sz="2" w:space="0" w:color="auto"/>
              <w:left w:val="single" w:sz="2" w:space="0" w:color="auto"/>
              <w:bottom w:val="single" w:sz="2" w:space="0" w:color="auto"/>
              <w:right w:val="single" w:sz="2" w:space="0" w:color="auto"/>
            </w:tcBorders>
            <w:vAlign w:val="center"/>
          </w:tcPr>
          <w:p w14:paraId="73A6BE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60,378,181.76</w:t>
            </w:r>
          </w:p>
        </w:tc>
      </w:tr>
      <w:tr w:rsidR="00F73301" w:rsidRPr="00F73301" w14:paraId="08A845B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667E3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Development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0105E2F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E0304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1B91B0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877EC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Goodwill</w:t>
            </w:r>
          </w:p>
        </w:tc>
        <w:tc>
          <w:tcPr>
            <w:tcW w:w="3213" w:type="dxa"/>
            <w:tcBorders>
              <w:top w:val="single" w:sz="2" w:space="0" w:color="auto"/>
              <w:left w:val="single" w:sz="2" w:space="0" w:color="auto"/>
              <w:bottom w:val="single" w:sz="2" w:space="0" w:color="auto"/>
              <w:right w:val="single" w:sz="2" w:space="0" w:color="auto"/>
            </w:tcBorders>
            <w:vAlign w:val="center"/>
          </w:tcPr>
          <w:p w14:paraId="7B18924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B1A2A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E8DEFD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4FF22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prepayments</w:t>
            </w:r>
          </w:p>
        </w:tc>
        <w:tc>
          <w:tcPr>
            <w:tcW w:w="3213" w:type="dxa"/>
            <w:tcBorders>
              <w:top w:val="single" w:sz="2" w:space="0" w:color="auto"/>
              <w:left w:val="single" w:sz="2" w:space="0" w:color="auto"/>
              <w:bottom w:val="single" w:sz="2" w:space="0" w:color="auto"/>
              <w:right w:val="single" w:sz="2" w:space="0" w:color="auto"/>
            </w:tcBorders>
            <w:vAlign w:val="center"/>
          </w:tcPr>
          <w:p w14:paraId="270A9F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64,263,651.63</w:t>
            </w:r>
          </w:p>
        </w:tc>
        <w:tc>
          <w:tcPr>
            <w:tcW w:w="3213" w:type="dxa"/>
            <w:tcBorders>
              <w:top w:val="single" w:sz="2" w:space="0" w:color="auto"/>
              <w:left w:val="single" w:sz="2" w:space="0" w:color="auto"/>
              <w:bottom w:val="single" w:sz="2" w:space="0" w:color="auto"/>
              <w:right w:val="single" w:sz="2" w:space="0" w:color="auto"/>
            </w:tcBorders>
            <w:vAlign w:val="center"/>
          </w:tcPr>
          <w:p w14:paraId="5D952A8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63,061,237.28</w:t>
            </w:r>
          </w:p>
        </w:tc>
      </w:tr>
      <w:tr w:rsidR="00F73301" w:rsidRPr="00F73301" w14:paraId="65423B5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35C5D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assets</w:t>
            </w:r>
          </w:p>
        </w:tc>
        <w:tc>
          <w:tcPr>
            <w:tcW w:w="3213" w:type="dxa"/>
            <w:tcBorders>
              <w:top w:val="single" w:sz="2" w:space="0" w:color="auto"/>
              <w:left w:val="single" w:sz="2" w:space="0" w:color="auto"/>
              <w:bottom w:val="single" w:sz="2" w:space="0" w:color="auto"/>
              <w:right w:val="single" w:sz="2" w:space="0" w:color="auto"/>
            </w:tcBorders>
            <w:vAlign w:val="center"/>
          </w:tcPr>
          <w:p w14:paraId="37F2D92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81EBD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57331E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EAC84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non-current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22121F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357,117,226.93</w:t>
            </w:r>
          </w:p>
        </w:tc>
        <w:tc>
          <w:tcPr>
            <w:tcW w:w="3213" w:type="dxa"/>
            <w:tcBorders>
              <w:top w:val="single" w:sz="2" w:space="0" w:color="auto"/>
              <w:left w:val="single" w:sz="2" w:space="0" w:color="auto"/>
              <w:bottom w:val="single" w:sz="2" w:space="0" w:color="auto"/>
              <w:right w:val="single" w:sz="2" w:space="0" w:color="auto"/>
            </w:tcBorders>
            <w:vAlign w:val="center"/>
          </w:tcPr>
          <w:p w14:paraId="2C51B4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322,610,460.08</w:t>
            </w:r>
          </w:p>
        </w:tc>
      </w:tr>
      <w:tr w:rsidR="00F73301" w:rsidRPr="00F73301" w14:paraId="71C5888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4F275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non-current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5AA5111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4,420,510,488.51</w:t>
            </w:r>
          </w:p>
        </w:tc>
        <w:tc>
          <w:tcPr>
            <w:tcW w:w="3213" w:type="dxa"/>
            <w:tcBorders>
              <w:top w:val="single" w:sz="2" w:space="0" w:color="auto"/>
              <w:left w:val="single" w:sz="2" w:space="0" w:color="auto"/>
              <w:bottom w:val="single" w:sz="2" w:space="0" w:color="auto"/>
              <w:right w:val="single" w:sz="2" w:space="0" w:color="auto"/>
            </w:tcBorders>
            <w:vAlign w:val="center"/>
          </w:tcPr>
          <w:p w14:paraId="098C989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4,177,309,694.75</w:t>
            </w:r>
          </w:p>
        </w:tc>
      </w:tr>
      <w:tr w:rsidR="00F73301" w:rsidRPr="00F73301" w14:paraId="3D04C0A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148AE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assets</w:t>
            </w:r>
          </w:p>
        </w:tc>
        <w:tc>
          <w:tcPr>
            <w:tcW w:w="3213" w:type="dxa"/>
            <w:tcBorders>
              <w:top w:val="single" w:sz="2" w:space="0" w:color="auto"/>
              <w:left w:val="single" w:sz="2" w:space="0" w:color="auto"/>
              <w:bottom w:val="single" w:sz="2" w:space="0" w:color="auto"/>
              <w:right w:val="single" w:sz="2" w:space="0" w:color="auto"/>
            </w:tcBorders>
            <w:vAlign w:val="center"/>
          </w:tcPr>
          <w:p w14:paraId="292269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9,445,640,776.53</w:t>
            </w:r>
          </w:p>
        </w:tc>
        <w:tc>
          <w:tcPr>
            <w:tcW w:w="3213" w:type="dxa"/>
            <w:tcBorders>
              <w:top w:val="single" w:sz="2" w:space="0" w:color="auto"/>
              <w:left w:val="single" w:sz="2" w:space="0" w:color="auto"/>
              <w:bottom w:val="single" w:sz="2" w:space="0" w:color="auto"/>
              <w:right w:val="single" w:sz="2" w:space="0" w:color="auto"/>
            </w:tcBorders>
            <w:vAlign w:val="center"/>
          </w:tcPr>
          <w:p w14:paraId="284012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7,895,204,433.35</w:t>
            </w:r>
          </w:p>
        </w:tc>
      </w:tr>
      <w:tr w:rsidR="00F73301" w:rsidRPr="00F73301" w14:paraId="1FD938D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607F4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liabilities: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FF4C69"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2349F5"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D604D8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6634E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Short-term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4B0816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350,142,638.89</w:t>
            </w:r>
          </w:p>
        </w:tc>
        <w:tc>
          <w:tcPr>
            <w:tcW w:w="3213" w:type="dxa"/>
            <w:tcBorders>
              <w:top w:val="single" w:sz="2" w:space="0" w:color="auto"/>
              <w:left w:val="single" w:sz="2" w:space="0" w:color="auto"/>
              <w:bottom w:val="single" w:sz="2" w:space="0" w:color="auto"/>
              <w:right w:val="single" w:sz="2" w:space="0" w:color="auto"/>
            </w:tcBorders>
            <w:vAlign w:val="center"/>
          </w:tcPr>
          <w:p w14:paraId="10468B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155,980,547.95</w:t>
            </w:r>
          </w:p>
        </w:tc>
      </w:tr>
      <w:tr w:rsidR="00F73301" w:rsidRPr="00F73301" w14:paraId="66C41E4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8A5DC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Held-for-trading financial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413D58C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83223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536B0B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CA472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Derivative financial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4718C0A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A4329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304A8E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2623B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Notes payable</w:t>
            </w:r>
          </w:p>
        </w:tc>
        <w:tc>
          <w:tcPr>
            <w:tcW w:w="3213" w:type="dxa"/>
            <w:tcBorders>
              <w:top w:val="single" w:sz="2" w:space="0" w:color="auto"/>
              <w:left w:val="single" w:sz="2" w:space="0" w:color="auto"/>
              <w:bottom w:val="single" w:sz="2" w:space="0" w:color="auto"/>
              <w:right w:val="single" w:sz="2" w:space="0" w:color="auto"/>
            </w:tcBorders>
            <w:vAlign w:val="center"/>
          </w:tcPr>
          <w:p w14:paraId="3835D98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210,409,199.11</w:t>
            </w:r>
          </w:p>
        </w:tc>
        <w:tc>
          <w:tcPr>
            <w:tcW w:w="3213" w:type="dxa"/>
            <w:tcBorders>
              <w:top w:val="single" w:sz="2" w:space="0" w:color="auto"/>
              <w:left w:val="single" w:sz="2" w:space="0" w:color="auto"/>
              <w:bottom w:val="single" w:sz="2" w:space="0" w:color="auto"/>
              <w:right w:val="single" w:sz="2" w:space="0" w:color="auto"/>
            </w:tcBorders>
            <w:vAlign w:val="center"/>
          </w:tcPr>
          <w:p w14:paraId="04E728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406,448,397.73</w:t>
            </w:r>
          </w:p>
        </w:tc>
      </w:tr>
      <w:tr w:rsidR="00F73301" w:rsidRPr="00F73301" w14:paraId="31A66B4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D1022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payable</w:t>
            </w:r>
          </w:p>
        </w:tc>
        <w:tc>
          <w:tcPr>
            <w:tcW w:w="3213" w:type="dxa"/>
            <w:tcBorders>
              <w:top w:val="single" w:sz="2" w:space="0" w:color="auto"/>
              <w:left w:val="single" w:sz="2" w:space="0" w:color="auto"/>
              <w:bottom w:val="single" w:sz="2" w:space="0" w:color="auto"/>
              <w:right w:val="single" w:sz="2" w:space="0" w:color="auto"/>
            </w:tcBorders>
            <w:vAlign w:val="center"/>
          </w:tcPr>
          <w:p w14:paraId="714BA61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857,063,418.39</w:t>
            </w:r>
          </w:p>
        </w:tc>
        <w:tc>
          <w:tcPr>
            <w:tcW w:w="3213" w:type="dxa"/>
            <w:tcBorders>
              <w:top w:val="single" w:sz="2" w:space="0" w:color="auto"/>
              <w:left w:val="single" w:sz="2" w:space="0" w:color="auto"/>
              <w:bottom w:val="single" w:sz="2" w:space="0" w:color="auto"/>
              <w:right w:val="single" w:sz="2" w:space="0" w:color="auto"/>
            </w:tcBorders>
            <w:vAlign w:val="center"/>
          </w:tcPr>
          <w:p w14:paraId="7E30CF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820,043,403.97</w:t>
            </w:r>
          </w:p>
        </w:tc>
      </w:tr>
      <w:tr w:rsidR="00F73301" w:rsidRPr="00F73301" w14:paraId="51F0041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6E6014"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Advances received</w:t>
            </w:r>
          </w:p>
        </w:tc>
        <w:tc>
          <w:tcPr>
            <w:tcW w:w="3213" w:type="dxa"/>
            <w:tcBorders>
              <w:top w:val="single" w:sz="2" w:space="0" w:color="auto"/>
              <w:left w:val="single" w:sz="2" w:space="0" w:color="auto"/>
              <w:bottom w:val="single" w:sz="2" w:space="0" w:color="auto"/>
              <w:right w:val="single" w:sz="2" w:space="0" w:color="auto"/>
            </w:tcBorders>
            <w:vAlign w:val="center"/>
          </w:tcPr>
          <w:p w14:paraId="1D68BE9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63E90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964D72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D9CFE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Contract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620AB4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84,459,723.68</w:t>
            </w:r>
          </w:p>
        </w:tc>
        <w:tc>
          <w:tcPr>
            <w:tcW w:w="3213" w:type="dxa"/>
            <w:tcBorders>
              <w:top w:val="single" w:sz="2" w:space="0" w:color="auto"/>
              <w:left w:val="single" w:sz="2" w:space="0" w:color="auto"/>
              <w:bottom w:val="single" w:sz="2" w:space="0" w:color="auto"/>
              <w:right w:val="single" w:sz="2" w:space="0" w:color="auto"/>
            </w:tcBorders>
            <w:vAlign w:val="center"/>
          </w:tcPr>
          <w:p w14:paraId="4FC23B2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135,278,305.49</w:t>
            </w:r>
          </w:p>
        </w:tc>
      </w:tr>
      <w:tr w:rsidR="00F73301" w:rsidRPr="00F73301" w14:paraId="36F8395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9F010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Employee benefits payable</w:t>
            </w:r>
          </w:p>
        </w:tc>
        <w:tc>
          <w:tcPr>
            <w:tcW w:w="3213" w:type="dxa"/>
            <w:tcBorders>
              <w:top w:val="single" w:sz="2" w:space="0" w:color="auto"/>
              <w:left w:val="single" w:sz="2" w:space="0" w:color="auto"/>
              <w:bottom w:val="single" w:sz="2" w:space="0" w:color="auto"/>
              <w:right w:val="single" w:sz="2" w:space="0" w:color="auto"/>
            </w:tcBorders>
            <w:vAlign w:val="center"/>
          </w:tcPr>
          <w:p w14:paraId="5AF67D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51,838,559.00</w:t>
            </w:r>
          </w:p>
        </w:tc>
        <w:tc>
          <w:tcPr>
            <w:tcW w:w="3213" w:type="dxa"/>
            <w:tcBorders>
              <w:top w:val="single" w:sz="2" w:space="0" w:color="auto"/>
              <w:left w:val="single" w:sz="2" w:space="0" w:color="auto"/>
              <w:bottom w:val="single" w:sz="2" w:space="0" w:color="auto"/>
              <w:right w:val="single" w:sz="2" w:space="0" w:color="auto"/>
            </w:tcBorders>
            <w:vAlign w:val="center"/>
          </w:tcPr>
          <w:p w14:paraId="3D3F0D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88,621,275.40</w:t>
            </w:r>
          </w:p>
        </w:tc>
      </w:tr>
      <w:tr w:rsidR="00F73301" w:rsidRPr="00F73301" w14:paraId="43B9653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BD556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Taxes and rates payable</w:t>
            </w:r>
          </w:p>
        </w:tc>
        <w:tc>
          <w:tcPr>
            <w:tcW w:w="3213" w:type="dxa"/>
            <w:tcBorders>
              <w:top w:val="single" w:sz="2" w:space="0" w:color="auto"/>
              <w:left w:val="single" w:sz="2" w:space="0" w:color="auto"/>
              <w:bottom w:val="single" w:sz="2" w:space="0" w:color="auto"/>
              <w:right w:val="single" w:sz="2" w:space="0" w:color="auto"/>
            </w:tcBorders>
            <w:vAlign w:val="center"/>
          </w:tcPr>
          <w:p w14:paraId="598298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19,602,712.45</w:t>
            </w:r>
          </w:p>
        </w:tc>
        <w:tc>
          <w:tcPr>
            <w:tcW w:w="3213" w:type="dxa"/>
            <w:tcBorders>
              <w:top w:val="single" w:sz="2" w:space="0" w:color="auto"/>
              <w:left w:val="single" w:sz="2" w:space="0" w:color="auto"/>
              <w:bottom w:val="single" w:sz="2" w:space="0" w:color="auto"/>
              <w:right w:val="single" w:sz="2" w:space="0" w:color="auto"/>
            </w:tcBorders>
            <w:vAlign w:val="center"/>
          </w:tcPr>
          <w:p w14:paraId="023198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6,120,435.91</w:t>
            </w:r>
          </w:p>
        </w:tc>
      </w:tr>
      <w:tr w:rsidR="00F73301" w:rsidRPr="00F73301" w14:paraId="1552694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6C5A6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payables</w:t>
            </w:r>
          </w:p>
        </w:tc>
        <w:tc>
          <w:tcPr>
            <w:tcW w:w="3213" w:type="dxa"/>
            <w:tcBorders>
              <w:top w:val="single" w:sz="2" w:space="0" w:color="auto"/>
              <w:left w:val="single" w:sz="2" w:space="0" w:color="auto"/>
              <w:bottom w:val="single" w:sz="2" w:space="0" w:color="auto"/>
              <w:right w:val="single" w:sz="2" w:space="0" w:color="auto"/>
            </w:tcBorders>
            <w:vAlign w:val="center"/>
          </w:tcPr>
          <w:p w14:paraId="69D4079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22,566,581.69</w:t>
            </w:r>
          </w:p>
        </w:tc>
        <w:tc>
          <w:tcPr>
            <w:tcW w:w="3213" w:type="dxa"/>
            <w:tcBorders>
              <w:top w:val="single" w:sz="2" w:space="0" w:color="auto"/>
              <w:left w:val="single" w:sz="2" w:space="0" w:color="auto"/>
              <w:bottom w:val="single" w:sz="2" w:space="0" w:color="auto"/>
              <w:right w:val="single" w:sz="2" w:space="0" w:color="auto"/>
            </w:tcBorders>
            <w:vAlign w:val="center"/>
          </w:tcPr>
          <w:p w14:paraId="0634093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21,915,942.22</w:t>
            </w:r>
          </w:p>
        </w:tc>
      </w:tr>
      <w:tr w:rsidR="00F73301" w:rsidRPr="00F73301" w14:paraId="2B763B6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9CE07F"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Interest payable</w:t>
            </w:r>
          </w:p>
        </w:tc>
        <w:tc>
          <w:tcPr>
            <w:tcW w:w="3213" w:type="dxa"/>
            <w:tcBorders>
              <w:top w:val="single" w:sz="2" w:space="0" w:color="auto"/>
              <w:left w:val="single" w:sz="2" w:space="0" w:color="auto"/>
              <w:bottom w:val="single" w:sz="2" w:space="0" w:color="auto"/>
              <w:right w:val="single" w:sz="2" w:space="0" w:color="auto"/>
            </w:tcBorders>
            <w:vAlign w:val="center"/>
          </w:tcPr>
          <w:p w14:paraId="3E5D219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DF1D5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46A36C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D17DE3"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Dividends payable</w:t>
            </w:r>
          </w:p>
        </w:tc>
        <w:tc>
          <w:tcPr>
            <w:tcW w:w="3213" w:type="dxa"/>
            <w:tcBorders>
              <w:top w:val="single" w:sz="2" w:space="0" w:color="auto"/>
              <w:left w:val="single" w:sz="2" w:space="0" w:color="auto"/>
              <w:bottom w:val="single" w:sz="2" w:space="0" w:color="auto"/>
              <w:right w:val="single" w:sz="2" w:space="0" w:color="auto"/>
            </w:tcBorders>
            <w:vAlign w:val="center"/>
          </w:tcPr>
          <w:p w14:paraId="0CD7526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80B9F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AB3B8B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C5580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Liabilities held for sale</w:t>
            </w:r>
          </w:p>
        </w:tc>
        <w:tc>
          <w:tcPr>
            <w:tcW w:w="3213" w:type="dxa"/>
            <w:tcBorders>
              <w:top w:val="single" w:sz="2" w:space="0" w:color="auto"/>
              <w:left w:val="single" w:sz="2" w:space="0" w:color="auto"/>
              <w:bottom w:val="single" w:sz="2" w:space="0" w:color="auto"/>
              <w:right w:val="single" w:sz="2" w:space="0" w:color="auto"/>
            </w:tcBorders>
            <w:vAlign w:val="center"/>
          </w:tcPr>
          <w:p w14:paraId="72CEBA3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C9C5B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7AD66A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C1B18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liabilities due within one year</w:t>
            </w:r>
          </w:p>
        </w:tc>
        <w:tc>
          <w:tcPr>
            <w:tcW w:w="3213" w:type="dxa"/>
            <w:tcBorders>
              <w:top w:val="single" w:sz="2" w:space="0" w:color="auto"/>
              <w:left w:val="single" w:sz="2" w:space="0" w:color="auto"/>
              <w:bottom w:val="single" w:sz="2" w:space="0" w:color="auto"/>
              <w:right w:val="single" w:sz="2" w:space="0" w:color="auto"/>
            </w:tcBorders>
            <w:vAlign w:val="center"/>
          </w:tcPr>
          <w:p w14:paraId="30C43D5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200,375,000.00</w:t>
            </w:r>
          </w:p>
        </w:tc>
        <w:tc>
          <w:tcPr>
            <w:tcW w:w="3213" w:type="dxa"/>
            <w:tcBorders>
              <w:top w:val="single" w:sz="2" w:space="0" w:color="auto"/>
              <w:left w:val="single" w:sz="2" w:space="0" w:color="auto"/>
              <w:bottom w:val="single" w:sz="2" w:space="0" w:color="auto"/>
              <w:right w:val="single" w:sz="2" w:space="0" w:color="auto"/>
            </w:tcBorders>
            <w:vAlign w:val="center"/>
          </w:tcPr>
          <w:p w14:paraId="73712BE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100,075,000.00</w:t>
            </w:r>
          </w:p>
        </w:tc>
      </w:tr>
      <w:tr w:rsidR="00F73301" w:rsidRPr="00F73301" w14:paraId="54B03C2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48D224"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2EB27A0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9,526,913.55</w:t>
            </w:r>
          </w:p>
        </w:tc>
        <w:tc>
          <w:tcPr>
            <w:tcW w:w="3213" w:type="dxa"/>
            <w:tcBorders>
              <w:top w:val="single" w:sz="2" w:space="0" w:color="auto"/>
              <w:left w:val="single" w:sz="2" w:space="0" w:color="auto"/>
              <w:bottom w:val="single" w:sz="2" w:space="0" w:color="auto"/>
              <w:right w:val="single" w:sz="2" w:space="0" w:color="auto"/>
            </w:tcBorders>
            <w:vAlign w:val="center"/>
          </w:tcPr>
          <w:p w14:paraId="0FFF6AC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16,358,763.54</w:t>
            </w:r>
          </w:p>
        </w:tc>
      </w:tr>
      <w:tr w:rsidR="00F73301" w:rsidRPr="00F73301" w14:paraId="0376F87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0027D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090539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1,805,984,746.76</w:t>
            </w:r>
          </w:p>
        </w:tc>
        <w:tc>
          <w:tcPr>
            <w:tcW w:w="3213" w:type="dxa"/>
            <w:tcBorders>
              <w:top w:val="single" w:sz="2" w:space="0" w:color="auto"/>
              <w:left w:val="single" w:sz="2" w:space="0" w:color="auto"/>
              <w:bottom w:val="single" w:sz="2" w:space="0" w:color="auto"/>
              <w:right w:val="single" w:sz="2" w:space="0" w:color="auto"/>
            </w:tcBorders>
            <w:vAlign w:val="center"/>
          </w:tcPr>
          <w:p w14:paraId="286D48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1,750,842,072.21</w:t>
            </w:r>
          </w:p>
        </w:tc>
      </w:tr>
      <w:tr w:rsidR="00F73301" w:rsidRPr="00F73301" w14:paraId="4B7254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2681F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liabilities: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558674"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13C4D2"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58C211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0D682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296297E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300,146,666.67</w:t>
            </w:r>
          </w:p>
        </w:tc>
        <w:tc>
          <w:tcPr>
            <w:tcW w:w="3213" w:type="dxa"/>
            <w:tcBorders>
              <w:top w:val="single" w:sz="2" w:space="0" w:color="auto"/>
              <w:left w:val="single" w:sz="2" w:space="0" w:color="auto"/>
              <w:bottom w:val="single" w:sz="2" w:space="0" w:color="auto"/>
              <w:right w:val="single" w:sz="2" w:space="0" w:color="auto"/>
            </w:tcBorders>
            <w:vAlign w:val="center"/>
          </w:tcPr>
          <w:p w14:paraId="466B82F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400,283,333.33</w:t>
            </w:r>
          </w:p>
        </w:tc>
      </w:tr>
      <w:tr w:rsidR="00F73301" w:rsidRPr="00F73301" w14:paraId="5A3A22C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DE1D4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Bonds payable</w:t>
            </w:r>
          </w:p>
        </w:tc>
        <w:tc>
          <w:tcPr>
            <w:tcW w:w="3213" w:type="dxa"/>
            <w:tcBorders>
              <w:top w:val="single" w:sz="2" w:space="0" w:color="auto"/>
              <w:left w:val="single" w:sz="2" w:space="0" w:color="auto"/>
              <w:bottom w:val="single" w:sz="2" w:space="0" w:color="auto"/>
              <w:right w:val="single" w:sz="2" w:space="0" w:color="auto"/>
            </w:tcBorders>
            <w:vAlign w:val="center"/>
          </w:tcPr>
          <w:p w14:paraId="6316609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858B3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B797EF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543071"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Preferred shares</w:t>
            </w:r>
          </w:p>
        </w:tc>
        <w:tc>
          <w:tcPr>
            <w:tcW w:w="3213" w:type="dxa"/>
            <w:tcBorders>
              <w:top w:val="single" w:sz="2" w:space="0" w:color="auto"/>
              <w:left w:val="single" w:sz="2" w:space="0" w:color="auto"/>
              <w:bottom w:val="single" w:sz="2" w:space="0" w:color="auto"/>
              <w:right w:val="single" w:sz="2" w:space="0" w:color="auto"/>
            </w:tcBorders>
            <w:vAlign w:val="center"/>
          </w:tcPr>
          <w:p w14:paraId="4FD308D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07C76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B5A49F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091E74"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Perpetual bonds</w:t>
            </w:r>
          </w:p>
        </w:tc>
        <w:tc>
          <w:tcPr>
            <w:tcW w:w="3213" w:type="dxa"/>
            <w:tcBorders>
              <w:top w:val="single" w:sz="2" w:space="0" w:color="auto"/>
              <w:left w:val="single" w:sz="2" w:space="0" w:color="auto"/>
              <w:bottom w:val="single" w:sz="2" w:space="0" w:color="auto"/>
              <w:right w:val="single" w:sz="2" w:space="0" w:color="auto"/>
            </w:tcBorders>
            <w:vAlign w:val="center"/>
          </w:tcPr>
          <w:p w14:paraId="5BE2159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64213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791300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D54C0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Lease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1ED339B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5A9EF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960A39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EBCB7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payables</w:t>
            </w:r>
          </w:p>
        </w:tc>
        <w:tc>
          <w:tcPr>
            <w:tcW w:w="3213" w:type="dxa"/>
            <w:tcBorders>
              <w:top w:val="single" w:sz="2" w:space="0" w:color="auto"/>
              <w:left w:val="single" w:sz="2" w:space="0" w:color="auto"/>
              <w:bottom w:val="single" w:sz="2" w:space="0" w:color="auto"/>
              <w:right w:val="single" w:sz="2" w:space="0" w:color="auto"/>
            </w:tcBorders>
            <w:vAlign w:val="center"/>
          </w:tcPr>
          <w:p w14:paraId="0BE96F0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55D88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6752A0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70849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employee benefits payable</w:t>
            </w:r>
          </w:p>
        </w:tc>
        <w:tc>
          <w:tcPr>
            <w:tcW w:w="3213" w:type="dxa"/>
            <w:tcBorders>
              <w:top w:val="single" w:sz="2" w:space="0" w:color="auto"/>
              <w:left w:val="single" w:sz="2" w:space="0" w:color="auto"/>
              <w:bottom w:val="single" w:sz="2" w:space="0" w:color="auto"/>
              <w:right w:val="single" w:sz="2" w:space="0" w:color="auto"/>
            </w:tcBorders>
            <w:vAlign w:val="center"/>
          </w:tcPr>
          <w:p w14:paraId="169B593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B9797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9280B4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D98AE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Provisions</w:t>
            </w:r>
          </w:p>
        </w:tc>
        <w:tc>
          <w:tcPr>
            <w:tcW w:w="3213" w:type="dxa"/>
            <w:tcBorders>
              <w:top w:val="single" w:sz="2" w:space="0" w:color="auto"/>
              <w:left w:val="single" w:sz="2" w:space="0" w:color="auto"/>
              <w:bottom w:val="single" w:sz="2" w:space="0" w:color="auto"/>
              <w:right w:val="single" w:sz="2" w:space="0" w:color="auto"/>
            </w:tcBorders>
            <w:vAlign w:val="center"/>
          </w:tcPr>
          <w:p w14:paraId="0FB1D91F"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E325A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195DF1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46531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w:t>
            </w:r>
          </w:p>
        </w:tc>
        <w:tc>
          <w:tcPr>
            <w:tcW w:w="3213" w:type="dxa"/>
            <w:tcBorders>
              <w:top w:val="single" w:sz="2" w:space="0" w:color="auto"/>
              <w:left w:val="single" w:sz="2" w:space="0" w:color="auto"/>
              <w:bottom w:val="single" w:sz="2" w:space="0" w:color="auto"/>
              <w:right w:val="single" w:sz="2" w:space="0" w:color="auto"/>
            </w:tcBorders>
            <w:vAlign w:val="center"/>
          </w:tcPr>
          <w:p w14:paraId="04EDF2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103,699,541.01</w:t>
            </w:r>
          </w:p>
        </w:tc>
        <w:tc>
          <w:tcPr>
            <w:tcW w:w="3213" w:type="dxa"/>
            <w:tcBorders>
              <w:top w:val="single" w:sz="2" w:space="0" w:color="auto"/>
              <w:left w:val="single" w:sz="2" w:space="0" w:color="auto"/>
              <w:bottom w:val="single" w:sz="2" w:space="0" w:color="auto"/>
              <w:right w:val="single" w:sz="2" w:space="0" w:color="auto"/>
            </w:tcBorders>
            <w:vAlign w:val="center"/>
          </w:tcPr>
          <w:p w14:paraId="3778D5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95,301,491.53</w:t>
            </w:r>
          </w:p>
        </w:tc>
      </w:tr>
      <w:tr w:rsidR="00F73301" w:rsidRPr="00F73301" w14:paraId="1D589E9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9BFF0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44934D3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140,341,557.68</w:t>
            </w:r>
          </w:p>
        </w:tc>
        <w:tc>
          <w:tcPr>
            <w:tcW w:w="3213" w:type="dxa"/>
            <w:tcBorders>
              <w:top w:val="single" w:sz="2" w:space="0" w:color="auto"/>
              <w:left w:val="single" w:sz="2" w:space="0" w:color="auto"/>
              <w:bottom w:val="single" w:sz="2" w:space="0" w:color="auto"/>
              <w:right w:val="single" w:sz="2" w:space="0" w:color="auto"/>
            </w:tcBorders>
            <w:vAlign w:val="center"/>
          </w:tcPr>
          <w:p w14:paraId="62060E1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129,637,539.89</w:t>
            </w:r>
          </w:p>
        </w:tc>
      </w:tr>
      <w:tr w:rsidR="00F73301" w:rsidRPr="00F73301" w14:paraId="23AE56C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C9E7B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non-current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3BCA58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354,050,938.00</w:t>
            </w:r>
          </w:p>
        </w:tc>
        <w:tc>
          <w:tcPr>
            <w:tcW w:w="3213" w:type="dxa"/>
            <w:tcBorders>
              <w:top w:val="single" w:sz="2" w:space="0" w:color="auto"/>
              <w:left w:val="single" w:sz="2" w:space="0" w:color="auto"/>
              <w:bottom w:val="single" w:sz="2" w:space="0" w:color="auto"/>
              <w:right w:val="single" w:sz="2" w:space="0" w:color="auto"/>
            </w:tcBorders>
            <w:vAlign w:val="center"/>
          </w:tcPr>
          <w:p w14:paraId="5CAE3E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319,316,563.00</w:t>
            </w:r>
          </w:p>
        </w:tc>
      </w:tr>
      <w:tr w:rsidR="00F73301" w:rsidRPr="00F73301" w14:paraId="32AE7A1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44473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non-current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406C0B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898,238,703.36</w:t>
            </w:r>
          </w:p>
        </w:tc>
        <w:tc>
          <w:tcPr>
            <w:tcW w:w="3213" w:type="dxa"/>
            <w:tcBorders>
              <w:top w:val="single" w:sz="2" w:space="0" w:color="auto"/>
              <w:left w:val="single" w:sz="2" w:space="0" w:color="auto"/>
              <w:bottom w:val="single" w:sz="2" w:space="0" w:color="auto"/>
              <w:right w:val="single" w:sz="2" w:space="0" w:color="auto"/>
            </w:tcBorders>
            <w:vAlign w:val="center"/>
          </w:tcPr>
          <w:p w14:paraId="0BFE37C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944,538,927.75</w:t>
            </w:r>
          </w:p>
        </w:tc>
      </w:tr>
      <w:tr w:rsidR="00F73301" w:rsidRPr="00F73301" w14:paraId="5BCFD2B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8F02B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0B69484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2,704,223,450.12</w:t>
            </w:r>
          </w:p>
        </w:tc>
        <w:tc>
          <w:tcPr>
            <w:tcW w:w="3213" w:type="dxa"/>
            <w:tcBorders>
              <w:top w:val="single" w:sz="2" w:space="0" w:color="auto"/>
              <w:left w:val="single" w:sz="2" w:space="0" w:color="auto"/>
              <w:bottom w:val="single" w:sz="2" w:space="0" w:color="auto"/>
              <w:right w:val="single" w:sz="2" w:space="0" w:color="auto"/>
            </w:tcBorders>
            <w:vAlign w:val="center"/>
          </w:tcPr>
          <w:p w14:paraId="6106C5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2,695,380,999.96</w:t>
            </w:r>
          </w:p>
        </w:tc>
      </w:tr>
      <w:tr w:rsidR="00F73301" w:rsidRPr="00F73301" w14:paraId="31A1146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D294B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Owners' equity:</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9FDDBC"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0A6A69"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54D6E5B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97F66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Share capital</w:t>
            </w:r>
          </w:p>
        </w:tc>
        <w:tc>
          <w:tcPr>
            <w:tcW w:w="3213" w:type="dxa"/>
            <w:tcBorders>
              <w:top w:val="single" w:sz="2" w:space="0" w:color="auto"/>
              <w:left w:val="single" w:sz="2" w:space="0" w:color="auto"/>
              <w:bottom w:val="single" w:sz="2" w:space="0" w:color="auto"/>
              <w:right w:val="single" w:sz="2" w:space="0" w:color="auto"/>
            </w:tcBorders>
            <w:vAlign w:val="center"/>
          </w:tcPr>
          <w:p w14:paraId="5FD592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541,451,787.00</w:t>
            </w:r>
          </w:p>
        </w:tc>
        <w:tc>
          <w:tcPr>
            <w:tcW w:w="3213" w:type="dxa"/>
            <w:tcBorders>
              <w:top w:val="single" w:sz="2" w:space="0" w:color="auto"/>
              <w:left w:val="single" w:sz="2" w:space="0" w:color="auto"/>
              <w:bottom w:val="single" w:sz="2" w:space="0" w:color="auto"/>
              <w:right w:val="single" w:sz="2" w:space="0" w:color="auto"/>
            </w:tcBorders>
            <w:vAlign w:val="center"/>
          </w:tcPr>
          <w:p w14:paraId="1F7489C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512,772,787.00</w:t>
            </w:r>
          </w:p>
        </w:tc>
      </w:tr>
      <w:tr w:rsidR="00F73301" w:rsidRPr="00F73301" w14:paraId="59C8639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37ADC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equity instruments</w:t>
            </w:r>
          </w:p>
        </w:tc>
        <w:tc>
          <w:tcPr>
            <w:tcW w:w="3213" w:type="dxa"/>
            <w:tcBorders>
              <w:top w:val="single" w:sz="2" w:space="0" w:color="auto"/>
              <w:left w:val="single" w:sz="2" w:space="0" w:color="auto"/>
              <w:bottom w:val="single" w:sz="2" w:space="0" w:color="auto"/>
              <w:right w:val="single" w:sz="2" w:space="0" w:color="auto"/>
            </w:tcBorders>
            <w:vAlign w:val="center"/>
          </w:tcPr>
          <w:p w14:paraId="1A13187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9D7CC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FD6381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A253E6"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Preferred shares</w:t>
            </w:r>
          </w:p>
        </w:tc>
        <w:tc>
          <w:tcPr>
            <w:tcW w:w="3213" w:type="dxa"/>
            <w:tcBorders>
              <w:top w:val="single" w:sz="2" w:space="0" w:color="auto"/>
              <w:left w:val="single" w:sz="2" w:space="0" w:color="auto"/>
              <w:bottom w:val="single" w:sz="2" w:space="0" w:color="auto"/>
              <w:right w:val="single" w:sz="2" w:space="0" w:color="auto"/>
            </w:tcBorders>
            <w:vAlign w:val="center"/>
          </w:tcPr>
          <w:p w14:paraId="2979A4E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B7FF9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186F8D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32FFE9"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Perpetual bonds</w:t>
            </w:r>
          </w:p>
        </w:tc>
        <w:tc>
          <w:tcPr>
            <w:tcW w:w="3213" w:type="dxa"/>
            <w:tcBorders>
              <w:top w:val="single" w:sz="2" w:space="0" w:color="auto"/>
              <w:left w:val="single" w:sz="2" w:space="0" w:color="auto"/>
              <w:bottom w:val="single" w:sz="2" w:space="0" w:color="auto"/>
              <w:right w:val="single" w:sz="2" w:space="0" w:color="auto"/>
            </w:tcBorders>
            <w:vAlign w:val="center"/>
          </w:tcPr>
          <w:p w14:paraId="7790458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C8AC4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EA304F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05151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Capital reserve</w:t>
            </w:r>
          </w:p>
        </w:tc>
        <w:tc>
          <w:tcPr>
            <w:tcW w:w="3213" w:type="dxa"/>
            <w:tcBorders>
              <w:top w:val="single" w:sz="2" w:space="0" w:color="auto"/>
              <w:left w:val="single" w:sz="2" w:space="0" w:color="auto"/>
              <w:bottom w:val="single" w:sz="2" w:space="0" w:color="auto"/>
              <w:right w:val="single" w:sz="2" w:space="0" w:color="auto"/>
            </w:tcBorders>
            <w:vAlign w:val="center"/>
          </w:tcPr>
          <w:p w14:paraId="5807DE8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4,033,190,684.21</w:t>
            </w:r>
          </w:p>
        </w:tc>
        <w:tc>
          <w:tcPr>
            <w:tcW w:w="3213" w:type="dxa"/>
            <w:tcBorders>
              <w:top w:val="single" w:sz="2" w:space="0" w:color="auto"/>
              <w:left w:val="single" w:sz="2" w:space="0" w:color="auto"/>
              <w:bottom w:val="single" w:sz="2" w:space="0" w:color="auto"/>
              <w:right w:val="single" w:sz="2" w:space="0" w:color="auto"/>
            </w:tcBorders>
            <w:vAlign w:val="center"/>
          </w:tcPr>
          <w:p w14:paraId="40F128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2,585,027,502.86</w:t>
            </w:r>
          </w:p>
        </w:tc>
      </w:tr>
      <w:tr w:rsidR="00F73301" w:rsidRPr="00F73301" w14:paraId="028EED8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020AB0"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Less: Treasury shares</w:t>
            </w:r>
          </w:p>
        </w:tc>
        <w:tc>
          <w:tcPr>
            <w:tcW w:w="3213" w:type="dxa"/>
            <w:tcBorders>
              <w:top w:val="single" w:sz="2" w:space="0" w:color="auto"/>
              <w:left w:val="single" w:sz="2" w:space="0" w:color="auto"/>
              <w:bottom w:val="single" w:sz="2" w:space="0" w:color="auto"/>
              <w:right w:val="single" w:sz="2" w:space="0" w:color="auto"/>
            </w:tcBorders>
            <w:vAlign w:val="center"/>
          </w:tcPr>
          <w:p w14:paraId="1C60DA2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9CF5C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5E7239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3B1A0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36624B0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E5E74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AF48B0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4CBE0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Special reserve</w:t>
            </w:r>
          </w:p>
        </w:tc>
        <w:tc>
          <w:tcPr>
            <w:tcW w:w="3213" w:type="dxa"/>
            <w:tcBorders>
              <w:top w:val="single" w:sz="2" w:space="0" w:color="auto"/>
              <w:left w:val="single" w:sz="2" w:space="0" w:color="auto"/>
              <w:bottom w:val="single" w:sz="2" w:space="0" w:color="auto"/>
              <w:right w:val="single" w:sz="2" w:space="0" w:color="auto"/>
            </w:tcBorders>
            <w:vAlign w:val="center"/>
          </w:tcPr>
          <w:p w14:paraId="5E22130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40547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21054B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858D4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Surplus reserve</w:t>
            </w:r>
          </w:p>
        </w:tc>
        <w:tc>
          <w:tcPr>
            <w:tcW w:w="3213" w:type="dxa"/>
            <w:tcBorders>
              <w:top w:val="single" w:sz="2" w:space="0" w:color="auto"/>
              <w:left w:val="single" w:sz="2" w:space="0" w:color="auto"/>
              <w:bottom w:val="single" w:sz="2" w:space="0" w:color="auto"/>
              <w:right w:val="single" w:sz="2" w:space="0" w:color="auto"/>
            </w:tcBorders>
            <w:vAlign w:val="center"/>
          </w:tcPr>
          <w:p w14:paraId="588A27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256,386,393.50</w:t>
            </w:r>
          </w:p>
        </w:tc>
        <w:tc>
          <w:tcPr>
            <w:tcW w:w="3213" w:type="dxa"/>
            <w:tcBorders>
              <w:top w:val="single" w:sz="2" w:space="0" w:color="auto"/>
              <w:left w:val="single" w:sz="2" w:space="0" w:color="auto"/>
              <w:bottom w:val="single" w:sz="2" w:space="0" w:color="auto"/>
              <w:right w:val="single" w:sz="2" w:space="0" w:color="auto"/>
            </w:tcBorders>
            <w:vAlign w:val="center"/>
          </w:tcPr>
          <w:p w14:paraId="471094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256,386,393.50</w:t>
            </w:r>
          </w:p>
        </w:tc>
      </w:tr>
      <w:tr w:rsidR="00F73301" w:rsidRPr="00F73301" w14:paraId="4189EC7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8FB5D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Undistributed profit</w:t>
            </w:r>
          </w:p>
        </w:tc>
        <w:tc>
          <w:tcPr>
            <w:tcW w:w="3213" w:type="dxa"/>
            <w:tcBorders>
              <w:top w:val="single" w:sz="2" w:space="0" w:color="auto"/>
              <w:left w:val="single" w:sz="2" w:space="0" w:color="auto"/>
              <w:bottom w:val="single" w:sz="2" w:space="0" w:color="auto"/>
              <w:right w:val="single" w:sz="2" w:space="0" w:color="auto"/>
            </w:tcBorders>
            <w:vAlign w:val="center"/>
          </w:tcPr>
          <w:p w14:paraId="4F3F06F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1,910,388,461.70</w:t>
            </w:r>
          </w:p>
        </w:tc>
        <w:tc>
          <w:tcPr>
            <w:tcW w:w="3213" w:type="dxa"/>
            <w:tcBorders>
              <w:top w:val="single" w:sz="2" w:space="0" w:color="auto"/>
              <w:left w:val="single" w:sz="2" w:space="0" w:color="auto"/>
              <w:bottom w:val="single" w:sz="2" w:space="0" w:color="auto"/>
              <w:right w:val="single" w:sz="2" w:space="0" w:color="auto"/>
            </w:tcBorders>
            <w:vAlign w:val="center"/>
          </w:tcPr>
          <w:p w14:paraId="3FFBFF9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1,845,636,750.03</w:t>
            </w:r>
          </w:p>
        </w:tc>
      </w:tr>
      <w:tr w:rsidR="00F73301" w:rsidRPr="00F73301" w14:paraId="018A1D7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42A26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owners' equity</w:t>
            </w:r>
          </w:p>
        </w:tc>
        <w:tc>
          <w:tcPr>
            <w:tcW w:w="3213" w:type="dxa"/>
            <w:tcBorders>
              <w:top w:val="single" w:sz="2" w:space="0" w:color="auto"/>
              <w:left w:val="single" w:sz="2" w:space="0" w:color="auto"/>
              <w:bottom w:val="single" w:sz="2" w:space="0" w:color="auto"/>
              <w:right w:val="single" w:sz="2" w:space="0" w:color="auto"/>
            </w:tcBorders>
            <w:vAlign w:val="center"/>
          </w:tcPr>
          <w:p w14:paraId="0E5CE9D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6,741,417,326.41</w:t>
            </w:r>
          </w:p>
        </w:tc>
        <w:tc>
          <w:tcPr>
            <w:tcW w:w="3213" w:type="dxa"/>
            <w:tcBorders>
              <w:top w:val="single" w:sz="2" w:space="0" w:color="auto"/>
              <w:left w:val="single" w:sz="2" w:space="0" w:color="auto"/>
              <w:bottom w:val="single" w:sz="2" w:space="0" w:color="auto"/>
              <w:right w:val="single" w:sz="2" w:space="0" w:color="auto"/>
            </w:tcBorders>
            <w:vAlign w:val="center"/>
          </w:tcPr>
          <w:p w14:paraId="1D848FB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5,199,823,433.39</w:t>
            </w:r>
          </w:p>
        </w:tc>
      </w:tr>
      <w:tr w:rsidR="00F73301" w:rsidRPr="00F73301" w14:paraId="627D5F7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98809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liabilities and owners' equity</w:t>
            </w:r>
          </w:p>
        </w:tc>
        <w:tc>
          <w:tcPr>
            <w:tcW w:w="3213" w:type="dxa"/>
            <w:tcBorders>
              <w:top w:val="single" w:sz="2" w:space="0" w:color="auto"/>
              <w:left w:val="single" w:sz="2" w:space="0" w:color="auto"/>
              <w:bottom w:val="single" w:sz="2" w:space="0" w:color="auto"/>
              <w:right w:val="single" w:sz="2" w:space="0" w:color="auto"/>
            </w:tcBorders>
            <w:vAlign w:val="center"/>
          </w:tcPr>
          <w:p w14:paraId="378938E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9,445,640,776.53</w:t>
            </w:r>
          </w:p>
        </w:tc>
        <w:tc>
          <w:tcPr>
            <w:tcW w:w="3213" w:type="dxa"/>
            <w:tcBorders>
              <w:top w:val="single" w:sz="2" w:space="0" w:color="auto"/>
              <w:left w:val="single" w:sz="2" w:space="0" w:color="auto"/>
              <w:bottom w:val="single" w:sz="2" w:space="0" w:color="auto"/>
              <w:right w:val="single" w:sz="2" w:space="0" w:color="auto"/>
            </w:tcBorders>
            <w:vAlign w:val="center"/>
          </w:tcPr>
          <w:p w14:paraId="2659EA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7,895,204,433.35</w:t>
            </w:r>
          </w:p>
        </w:tc>
      </w:tr>
    </w:tbl>
    <w:p w14:paraId="7EC51300" w14:textId="77777777" w:rsidR="00F73301" w:rsidRPr="00F73301" w:rsidRDefault="00F73301" w:rsidP="00F73301">
      <w:pPr>
        <w:keepNext/>
        <w:keepLines/>
        <w:snapToGrid w:val="0"/>
        <w:spacing w:beforeLines="50" w:before="156" w:afterLines="50" w:after="156"/>
        <w:outlineLvl w:val="2"/>
        <w:rPr>
          <w:rFonts w:ascii="Times New Roman" w:eastAsia="宋体" w:hAnsi="Times New Roman" w:cs="Times New Roman"/>
          <w:b/>
          <w:bCs/>
          <w:sz w:val="24"/>
          <w:szCs w:val="24"/>
        </w:rPr>
      </w:pPr>
      <w:bookmarkStart w:id="99" w:name="_Toc988987"/>
      <w:r w:rsidRPr="00F73301">
        <w:rPr>
          <w:rFonts w:ascii="Times New Roman" w:eastAsia="宋体" w:hAnsi="Times New Roman" w:cs="Times New Roman"/>
          <w:b/>
          <w:bCs/>
          <w:sz w:val="24"/>
          <w:szCs w:val="24"/>
        </w:rPr>
        <w:t>3. Consolidated income statement</w:t>
      </w:r>
      <w:bookmarkEnd w:id="99"/>
    </w:p>
    <w:p w14:paraId="6976E9F9"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3213"/>
        <w:gridCol w:w="3213"/>
        <w:gridCol w:w="3213"/>
      </w:tblGrid>
      <w:tr w:rsidR="00F73301" w:rsidRPr="00F73301" w14:paraId="672C1CC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FAE2C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DAC6A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2023 mid-year</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03F71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2022 mid-year</w:t>
            </w:r>
          </w:p>
        </w:tc>
      </w:tr>
      <w:tr w:rsidR="00F73301" w:rsidRPr="00F73301" w14:paraId="476742B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59DBB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 Total Operating Revenue</w:t>
            </w:r>
          </w:p>
        </w:tc>
        <w:tc>
          <w:tcPr>
            <w:tcW w:w="3213" w:type="dxa"/>
            <w:tcBorders>
              <w:top w:val="single" w:sz="2" w:space="0" w:color="auto"/>
              <w:left w:val="single" w:sz="2" w:space="0" w:color="auto"/>
              <w:bottom w:val="single" w:sz="2" w:space="0" w:color="auto"/>
              <w:right w:val="single" w:sz="2" w:space="0" w:color="auto"/>
            </w:tcBorders>
            <w:vAlign w:val="center"/>
          </w:tcPr>
          <w:p w14:paraId="6C4DA20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3213" w:type="dxa"/>
            <w:tcBorders>
              <w:top w:val="single" w:sz="2" w:space="0" w:color="auto"/>
              <w:left w:val="single" w:sz="2" w:space="0" w:color="auto"/>
              <w:bottom w:val="single" w:sz="2" w:space="0" w:color="auto"/>
              <w:right w:val="single" w:sz="2" w:space="0" w:color="auto"/>
            </w:tcBorders>
            <w:vAlign w:val="center"/>
          </w:tcPr>
          <w:p w14:paraId="794E2ED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2,951,318,679.45</w:t>
            </w:r>
          </w:p>
        </w:tc>
      </w:tr>
      <w:tr w:rsidR="00F73301" w:rsidRPr="00F73301" w14:paraId="4EF56B6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77869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Operating revenue</w:t>
            </w:r>
          </w:p>
        </w:tc>
        <w:tc>
          <w:tcPr>
            <w:tcW w:w="3213" w:type="dxa"/>
            <w:tcBorders>
              <w:top w:val="single" w:sz="2" w:space="0" w:color="auto"/>
              <w:left w:val="single" w:sz="2" w:space="0" w:color="auto"/>
              <w:bottom w:val="single" w:sz="2" w:space="0" w:color="auto"/>
              <w:right w:val="single" w:sz="2" w:space="0" w:color="auto"/>
            </w:tcBorders>
            <w:vAlign w:val="center"/>
          </w:tcPr>
          <w:p w14:paraId="0773A22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3213" w:type="dxa"/>
            <w:tcBorders>
              <w:top w:val="single" w:sz="2" w:space="0" w:color="auto"/>
              <w:left w:val="single" w:sz="2" w:space="0" w:color="auto"/>
              <w:bottom w:val="single" w:sz="2" w:space="0" w:color="auto"/>
              <w:right w:val="single" w:sz="2" w:space="0" w:color="auto"/>
            </w:tcBorders>
            <w:vAlign w:val="center"/>
          </w:tcPr>
          <w:p w14:paraId="7A2094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2,951,318,679.45</w:t>
            </w:r>
          </w:p>
        </w:tc>
      </w:tr>
      <w:tr w:rsidR="00F73301" w:rsidRPr="00F73301" w14:paraId="5499FC6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25EFE9"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income</w:t>
            </w:r>
          </w:p>
        </w:tc>
        <w:tc>
          <w:tcPr>
            <w:tcW w:w="3213" w:type="dxa"/>
            <w:tcBorders>
              <w:top w:val="single" w:sz="2" w:space="0" w:color="auto"/>
              <w:left w:val="single" w:sz="2" w:space="0" w:color="auto"/>
              <w:bottom w:val="single" w:sz="2" w:space="0" w:color="auto"/>
              <w:right w:val="single" w:sz="2" w:space="0" w:color="auto"/>
            </w:tcBorders>
            <w:vAlign w:val="center"/>
          </w:tcPr>
          <w:p w14:paraId="22719EE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E9D4E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071E2A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751519"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Premiums earned</w:t>
            </w:r>
          </w:p>
        </w:tc>
        <w:tc>
          <w:tcPr>
            <w:tcW w:w="3213" w:type="dxa"/>
            <w:tcBorders>
              <w:top w:val="single" w:sz="2" w:space="0" w:color="auto"/>
              <w:left w:val="single" w:sz="2" w:space="0" w:color="auto"/>
              <w:bottom w:val="single" w:sz="2" w:space="0" w:color="auto"/>
              <w:right w:val="single" w:sz="2" w:space="0" w:color="auto"/>
            </w:tcBorders>
            <w:vAlign w:val="center"/>
          </w:tcPr>
          <w:p w14:paraId="50B7287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98228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CC6F63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10BDF7"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Revenue from handling fees and commission</w:t>
            </w:r>
          </w:p>
        </w:tc>
        <w:tc>
          <w:tcPr>
            <w:tcW w:w="3213" w:type="dxa"/>
            <w:tcBorders>
              <w:top w:val="single" w:sz="2" w:space="0" w:color="auto"/>
              <w:left w:val="single" w:sz="2" w:space="0" w:color="auto"/>
              <w:bottom w:val="single" w:sz="2" w:space="0" w:color="auto"/>
              <w:right w:val="single" w:sz="2" w:space="0" w:color="auto"/>
            </w:tcBorders>
            <w:vAlign w:val="center"/>
          </w:tcPr>
          <w:p w14:paraId="0954877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DDDF2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940AE3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DFAEE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Total Operating Cost</w:t>
            </w:r>
          </w:p>
        </w:tc>
        <w:tc>
          <w:tcPr>
            <w:tcW w:w="3213" w:type="dxa"/>
            <w:tcBorders>
              <w:top w:val="single" w:sz="2" w:space="0" w:color="auto"/>
              <w:left w:val="single" w:sz="2" w:space="0" w:color="auto"/>
              <w:bottom w:val="single" w:sz="2" w:space="0" w:color="auto"/>
              <w:right w:val="single" w:sz="2" w:space="0" w:color="auto"/>
            </w:tcBorders>
            <w:vAlign w:val="center"/>
          </w:tcPr>
          <w:p w14:paraId="5B45025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2,146,185,766.24</w:t>
            </w:r>
          </w:p>
        </w:tc>
        <w:tc>
          <w:tcPr>
            <w:tcW w:w="3213" w:type="dxa"/>
            <w:tcBorders>
              <w:top w:val="single" w:sz="2" w:space="0" w:color="auto"/>
              <w:left w:val="single" w:sz="2" w:space="0" w:color="auto"/>
              <w:bottom w:val="single" w:sz="2" w:space="0" w:color="auto"/>
              <w:right w:val="single" w:sz="2" w:space="0" w:color="auto"/>
            </w:tcBorders>
            <w:vAlign w:val="center"/>
          </w:tcPr>
          <w:p w14:paraId="0176E5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2,229,508,412.94</w:t>
            </w:r>
          </w:p>
        </w:tc>
      </w:tr>
      <w:tr w:rsidR="00F73301" w:rsidRPr="00F73301" w14:paraId="379ECAF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68CA5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Operating cost</w:t>
            </w:r>
          </w:p>
        </w:tc>
        <w:tc>
          <w:tcPr>
            <w:tcW w:w="3213" w:type="dxa"/>
            <w:tcBorders>
              <w:top w:val="single" w:sz="2" w:space="0" w:color="auto"/>
              <w:left w:val="single" w:sz="2" w:space="0" w:color="auto"/>
              <w:bottom w:val="single" w:sz="2" w:space="0" w:color="auto"/>
              <w:right w:val="single" w:sz="2" w:space="0" w:color="auto"/>
            </w:tcBorders>
            <w:vAlign w:val="center"/>
          </w:tcPr>
          <w:p w14:paraId="3C27B7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1,834,328,758.28</w:t>
            </w:r>
          </w:p>
        </w:tc>
        <w:tc>
          <w:tcPr>
            <w:tcW w:w="3213" w:type="dxa"/>
            <w:tcBorders>
              <w:top w:val="single" w:sz="2" w:space="0" w:color="auto"/>
              <w:left w:val="single" w:sz="2" w:space="0" w:color="auto"/>
              <w:bottom w:val="single" w:sz="2" w:space="0" w:color="auto"/>
              <w:right w:val="single" w:sz="2" w:space="0" w:color="auto"/>
            </w:tcBorders>
            <w:vAlign w:val="center"/>
          </w:tcPr>
          <w:p w14:paraId="5AB6F34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1,872,146,921.57</w:t>
            </w:r>
          </w:p>
        </w:tc>
      </w:tr>
      <w:tr w:rsidR="00F73301" w:rsidRPr="00F73301" w14:paraId="21ADDB7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DD7B6F"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08D54E6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2CBF2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BED782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C922CC"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Handling fees and commission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3048B94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F902C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E50015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26FF15"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Surrender value</w:t>
            </w:r>
          </w:p>
        </w:tc>
        <w:tc>
          <w:tcPr>
            <w:tcW w:w="3213" w:type="dxa"/>
            <w:tcBorders>
              <w:top w:val="single" w:sz="2" w:space="0" w:color="auto"/>
              <w:left w:val="single" w:sz="2" w:space="0" w:color="auto"/>
              <w:bottom w:val="single" w:sz="2" w:space="0" w:color="auto"/>
              <w:right w:val="single" w:sz="2" w:space="0" w:color="auto"/>
            </w:tcBorders>
            <w:vAlign w:val="center"/>
          </w:tcPr>
          <w:p w14:paraId="731481B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C17FC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D5310F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500674"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Net payment of insurance claims</w:t>
            </w:r>
          </w:p>
        </w:tc>
        <w:tc>
          <w:tcPr>
            <w:tcW w:w="3213" w:type="dxa"/>
            <w:tcBorders>
              <w:top w:val="single" w:sz="2" w:space="0" w:color="auto"/>
              <w:left w:val="single" w:sz="2" w:space="0" w:color="auto"/>
              <w:bottom w:val="single" w:sz="2" w:space="0" w:color="auto"/>
              <w:right w:val="single" w:sz="2" w:space="0" w:color="auto"/>
            </w:tcBorders>
            <w:vAlign w:val="center"/>
          </w:tcPr>
          <w:p w14:paraId="7F144B2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95290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AA4A9A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BE820A"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Net provision of insurance policy reserve</w:t>
            </w:r>
          </w:p>
        </w:tc>
        <w:tc>
          <w:tcPr>
            <w:tcW w:w="3213" w:type="dxa"/>
            <w:tcBorders>
              <w:top w:val="single" w:sz="2" w:space="0" w:color="auto"/>
              <w:left w:val="single" w:sz="2" w:space="0" w:color="auto"/>
              <w:bottom w:val="single" w:sz="2" w:space="0" w:color="auto"/>
              <w:right w:val="single" w:sz="2" w:space="0" w:color="auto"/>
            </w:tcBorders>
            <w:vAlign w:val="center"/>
          </w:tcPr>
          <w:p w14:paraId="258F76D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CF4C0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F91040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0CF783"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Premium bonus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2E80048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3A81C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28B3D2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5594B5"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Reinsurance expenses</w:t>
            </w:r>
          </w:p>
        </w:tc>
        <w:tc>
          <w:tcPr>
            <w:tcW w:w="3213" w:type="dxa"/>
            <w:tcBorders>
              <w:top w:val="single" w:sz="2" w:space="0" w:color="auto"/>
              <w:left w:val="single" w:sz="2" w:space="0" w:color="auto"/>
              <w:bottom w:val="single" w:sz="2" w:space="0" w:color="auto"/>
              <w:right w:val="single" w:sz="2" w:space="0" w:color="auto"/>
            </w:tcBorders>
            <w:vAlign w:val="center"/>
          </w:tcPr>
          <w:p w14:paraId="4336C32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E8F85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A2E978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B4DE93"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Taxes and surcharges</w:t>
            </w:r>
          </w:p>
        </w:tc>
        <w:tc>
          <w:tcPr>
            <w:tcW w:w="3213" w:type="dxa"/>
            <w:tcBorders>
              <w:top w:val="single" w:sz="2" w:space="0" w:color="auto"/>
              <w:left w:val="single" w:sz="2" w:space="0" w:color="auto"/>
              <w:bottom w:val="single" w:sz="2" w:space="0" w:color="auto"/>
              <w:right w:val="single" w:sz="2" w:space="0" w:color="auto"/>
            </w:tcBorders>
            <w:vAlign w:val="center"/>
          </w:tcPr>
          <w:p w14:paraId="2FCB811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19,528,614.05</w:t>
            </w:r>
          </w:p>
        </w:tc>
        <w:tc>
          <w:tcPr>
            <w:tcW w:w="3213" w:type="dxa"/>
            <w:tcBorders>
              <w:top w:val="single" w:sz="2" w:space="0" w:color="auto"/>
              <w:left w:val="single" w:sz="2" w:space="0" w:color="auto"/>
              <w:bottom w:val="single" w:sz="2" w:space="0" w:color="auto"/>
              <w:right w:val="single" w:sz="2" w:space="0" w:color="auto"/>
            </w:tcBorders>
            <w:vAlign w:val="center"/>
          </w:tcPr>
          <w:p w14:paraId="2D2471C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5,578,061.95</w:t>
            </w:r>
          </w:p>
        </w:tc>
      </w:tr>
      <w:tr w:rsidR="00F73301" w:rsidRPr="00F73301" w14:paraId="732610A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779F30"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Selling expenses</w:t>
            </w:r>
          </w:p>
        </w:tc>
        <w:tc>
          <w:tcPr>
            <w:tcW w:w="3213" w:type="dxa"/>
            <w:tcBorders>
              <w:top w:val="single" w:sz="2" w:space="0" w:color="auto"/>
              <w:left w:val="single" w:sz="2" w:space="0" w:color="auto"/>
              <w:bottom w:val="single" w:sz="2" w:space="0" w:color="auto"/>
              <w:right w:val="single" w:sz="2" w:space="0" w:color="auto"/>
            </w:tcBorders>
            <w:vAlign w:val="center"/>
          </w:tcPr>
          <w:p w14:paraId="4022AE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110,024,361.15</w:t>
            </w:r>
          </w:p>
        </w:tc>
        <w:tc>
          <w:tcPr>
            <w:tcW w:w="3213" w:type="dxa"/>
            <w:tcBorders>
              <w:top w:val="single" w:sz="2" w:space="0" w:color="auto"/>
              <w:left w:val="single" w:sz="2" w:space="0" w:color="auto"/>
              <w:bottom w:val="single" w:sz="2" w:space="0" w:color="auto"/>
              <w:right w:val="single" w:sz="2" w:space="0" w:color="auto"/>
            </w:tcBorders>
            <w:vAlign w:val="center"/>
          </w:tcPr>
          <w:p w14:paraId="0D7C431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94,029,677.60</w:t>
            </w:r>
          </w:p>
        </w:tc>
      </w:tr>
      <w:tr w:rsidR="00F73301" w:rsidRPr="00F73301" w14:paraId="1567EEB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5903CD"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Administrative expenses</w:t>
            </w:r>
          </w:p>
        </w:tc>
        <w:tc>
          <w:tcPr>
            <w:tcW w:w="3213" w:type="dxa"/>
            <w:tcBorders>
              <w:top w:val="single" w:sz="2" w:space="0" w:color="auto"/>
              <w:left w:val="single" w:sz="2" w:space="0" w:color="auto"/>
              <w:bottom w:val="single" w:sz="2" w:space="0" w:color="auto"/>
              <w:right w:val="single" w:sz="2" w:space="0" w:color="auto"/>
            </w:tcBorders>
            <w:vAlign w:val="center"/>
          </w:tcPr>
          <w:p w14:paraId="6FF387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126,197,439.71</w:t>
            </w:r>
          </w:p>
        </w:tc>
        <w:tc>
          <w:tcPr>
            <w:tcW w:w="3213" w:type="dxa"/>
            <w:tcBorders>
              <w:top w:val="single" w:sz="2" w:space="0" w:color="auto"/>
              <w:left w:val="single" w:sz="2" w:space="0" w:color="auto"/>
              <w:bottom w:val="single" w:sz="2" w:space="0" w:color="auto"/>
              <w:right w:val="single" w:sz="2" w:space="0" w:color="auto"/>
            </w:tcBorders>
            <w:vAlign w:val="center"/>
          </w:tcPr>
          <w:p w14:paraId="6C946EB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110,854,295.67</w:t>
            </w:r>
          </w:p>
        </w:tc>
      </w:tr>
      <w:tr w:rsidR="00F73301" w:rsidRPr="00F73301" w14:paraId="1E5749A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3CED84"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R&amp;D expenses</w:t>
            </w:r>
          </w:p>
        </w:tc>
        <w:tc>
          <w:tcPr>
            <w:tcW w:w="3213" w:type="dxa"/>
            <w:tcBorders>
              <w:top w:val="single" w:sz="2" w:space="0" w:color="auto"/>
              <w:left w:val="single" w:sz="2" w:space="0" w:color="auto"/>
              <w:bottom w:val="single" w:sz="2" w:space="0" w:color="auto"/>
              <w:right w:val="single" w:sz="2" w:space="0" w:color="auto"/>
            </w:tcBorders>
            <w:vAlign w:val="center"/>
          </w:tcPr>
          <w:p w14:paraId="6F70CC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165,337,184.42</w:t>
            </w:r>
          </w:p>
        </w:tc>
        <w:tc>
          <w:tcPr>
            <w:tcW w:w="3213" w:type="dxa"/>
            <w:tcBorders>
              <w:top w:val="single" w:sz="2" w:space="0" w:color="auto"/>
              <w:left w:val="single" w:sz="2" w:space="0" w:color="auto"/>
              <w:bottom w:val="single" w:sz="2" w:space="0" w:color="auto"/>
              <w:right w:val="single" w:sz="2" w:space="0" w:color="auto"/>
            </w:tcBorders>
            <w:vAlign w:val="center"/>
          </w:tcPr>
          <w:p w14:paraId="555E51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160,263,439.71</w:t>
            </w:r>
          </w:p>
        </w:tc>
      </w:tr>
      <w:tr w:rsidR="00F73301" w:rsidRPr="00F73301" w14:paraId="77BE71B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B0F917"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Financial expenses</w:t>
            </w:r>
          </w:p>
        </w:tc>
        <w:tc>
          <w:tcPr>
            <w:tcW w:w="3213" w:type="dxa"/>
            <w:tcBorders>
              <w:top w:val="single" w:sz="2" w:space="0" w:color="auto"/>
              <w:left w:val="single" w:sz="2" w:space="0" w:color="auto"/>
              <w:bottom w:val="single" w:sz="2" w:space="0" w:color="auto"/>
              <w:right w:val="single" w:sz="2" w:space="0" w:color="auto"/>
            </w:tcBorders>
            <w:vAlign w:val="center"/>
          </w:tcPr>
          <w:p w14:paraId="4150990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-109,230,591.37</w:t>
            </w:r>
          </w:p>
        </w:tc>
        <w:tc>
          <w:tcPr>
            <w:tcW w:w="3213" w:type="dxa"/>
            <w:tcBorders>
              <w:top w:val="single" w:sz="2" w:space="0" w:color="auto"/>
              <w:left w:val="single" w:sz="2" w:space="0" w:color="auto"/>
              <w:bottom w:val="single" w:sz="2" w:space="0" w:color="auto"/>
              <w:right w:val="single" w:sz="2" w:space="0" w:color="auto"/>
            </w:tcBorders>
            <w:vAlign w:val="center"/>
          </w:tcPr>
          <w:p w14:paraId="4C0BB22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-13,363,983.56</w:t>
            </w:r>
          </w:p>
        </w:tc>
      </w:tr>
      <w:tr w:rsidR="00F73301" w:rsidRPr="00F73301" w14:paraId="2D36337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1E24E4"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Interest expenses</w:t>
            </w:r>
          </w:p>
        </w:tc>
        <w:tc>
          <w:tcPr>
            <w:tcW w:w="3213" w:type="dxa"/>
            <w:tcBorders>
              <w:top w:val="single" w:sz="2" w:space="0" w:color="auto"/>
              <w:left w:val="single" w:sz="2" w:space="0" w:color="auto"/>
              <w:bottom w:val="single" w:sz="2" w:space="0" w:color="auto"/>
              <w:right w:val="single" w:sz="2" w:space="0" w:color="auto"/>
            </w:tcBorders>
            <w:vAlign w:val="center"/>
          </w:tcPr>
          <w:p w14:paraId="7F7A38B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DF727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B9451C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622578" w14:textId="77777777" w:rsidR="00F73301" w:rsidRPr="00F73301" w:rsidRDefault="00F73301" w:rsidP="008C49B7">
            <w:pPr>
              <w:snapToGrid w:val="0"/>
              <w:ind w:firstLineChars="800" w:firstLine="144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income</w:t>
            </w:r>
          </w:p>
        </w:tc>
        <w:tc>
          <w:tcPr>
            <w:tcW w:w="3213" w:type="dxa"/>
            <w:tcBorders>
              <w:top w:val="single" w:sz="2" w:space="0" w:color="auto"/>
              <w:left w:val="single" w:sz="2" w:space="0" w:color="auto"/>
              <w:bottom w:val="single" w:sz="2" w:space="0" w:color="auto"/>
              <w:right w:val="single" w:sz="2" w:space="0" w:color="auto"/>
            </w:tcBorders>
            <w:vAlign w:val="center"/>
          </w:tcPr>
          <w:p w14:paraId="3744250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4CDBA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83C543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12995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Add: Other income</w:t>
            </w:r>
          </w:p>
        </w:tc>
        <w:tc>
          <w:tcPr>
            <w:tcW w:w="3213" w:type="dxa"/>
            <w:tcBorders>
              <w:top w:val="single" w:sz="2" w:space="0" w:color="auto"/>
              <w:left w:val="single" w:sz="2" w:space="0" w:color="auto"/>
              <w:bottom w:val="single" w:sz="2" w:space="0" w:color="auto"/>
              <w:right w:val="single" w:sz="2" w:space="0" w:color="auto"/>
            </w:tcBorders>
            <w:vAlign w:val="center"/>
          </w:tcPr>
          <w:p w14:paraId="189141C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21,756,005.54</w:t>
            </w:r>
          </w:p>
        </w:tc>
        <w:tc>
          <w:tcPr>
            <w:tcW w:w="3213" w:type="dxa"/>
            <w:tcBorders>
              <w:top w:val="single" w:sz="2" w:space="0" w:color="auto"/>
              <w:left w:val="single" w:sz="2" w:space="0" w:color="auto"/>
              <w:bottom w:val="single" w:sz="2" w:space="0" w:color="auto"/>
              <w:right w:val="single" w:sz="2" w:space="0" w:color="auto"/>
            </w:tcBorders>
            <w:vAlign w:val="center"/>
          </w:tcPr>
          <w:p w14:paraId="17941D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14,780,844.88</w:t>
            </w:r>
          </w:p>
        </w:tc>
      </w:tr>
      <w:tr w:rsidR="00F73301" w:rsidRPr="00F73301" w14:paraId="35F27AA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76F1CF"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47275E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35,468,139.61</w:t>
            </w:r>
          </w:p>
        </w:tc>
        <w:tc>
          <w:tcPr>
            <w:tcW w:w="3213" w:type="dxa"/>
            <w:tcBorders>
              <w:top w:val="single" w:sz="2" w:space="0" w:color="auto"/>
              <w:left w:val="single" w:sz="2" w:space="0" w:color="auto"/>
              <w:bottom w:val="single" w:sz="2" w:space="0" w:color="auto"/>
              <w:right w:val="single" w:sz="2" w:space="0" w:color="auto"/>
            </w:tcBorders>
            <w:vAlign w:val="center"/>
          </w:tcPr>
          <w:p w14:paraId="4C5D64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16,082,974.82</w:t>
            </w:r>
          </w:p>
        </w:tc>
      </w:tr>
      <w:tr w:rsidR="00F73301" w:rsidRPr="00F73301" w14:paraId="3EE6191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5722E5"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Investment income from associates and joint ventures</w:t>
            </w:r>
          </w:p>
        </w:tc>
        <w:tc>
          <w:tcPr>
            <w:tcW w:w="3213" w:type="dxa"/>
            <w:tcBorders>
              <w:top w:val="single" w:sz="2" w:space="0" w:color="auto"/>
              <w:left w:val="single" w:sz="2" w:space="0" w:color="auto"/>
              <w:bottom w:val="single" w:sz="2" w:space="0" w:color="auto"/>
              <w:right w:val="single" w:sz="2" w:space="0" w:color="auto"/>
            </w:tcBorders>
            <w:vAlign w:val="center"/>
          </w:tcPr>
          <w:p w14:paraId="53E26BB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4AC14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4CAD1D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5E3039" w14:textId="77777777" w:rsidR="00F73301" w:rsidRPr="00F73301" w:rsidRDefault="00F73301" w:rsidP="008C49B7">
            <w:pPr>
              <w:snapToGrid w:val="0"/>
              <w:ind w:firstLineChars="800" w:firstLine="1440"/>
              <w:rPr>
                <w:rFonts w:ascii="Times New Roman" w:eastAsia="宋体" w:hAnsi="Times New Roman" w:cs="Times New Roman"/>
                <w:sz w:val="18"/>
                <w:szCs w:val="18"/>
              </w:rPr>
            </w:pPr>
            <w:r w:rsidRPr="00F73301">
              <w:rPr>
                <w:rFonts w:ascii="Times New Roman" w:eastAsia="宋体" w:hAnsi="Times New Roman" w:cs="Times New Roman"/>
                <w:sz w:val="18"/>
                <w:szCs w:val="18"/>
              </w:rPr>
              <w:t>Gains from derecognition of financial assets at amortized cost</w:t>
            </w:r>
          </w:p>
        </w:tc>
        <w:tc>
          <w:tcPr>
            <w:tcW w:w="3213" w:type="dxa"/>
            <w:tcBorders>
              <w:top w:val="single" w:sz="2" w:space="0" w:color="auto"/>
              <w:left w:val="single" w:sz="2" w:space="0" w:color="auto"/>
              <w:bottom w:val="single" w:sz="2" w:space="0" w:color="auto"/>
              <w:right w:val="single" w:sz="2" w:space="0" w:color="auto"/>
            </w:tcBorders>
            <w:vAlign w:val="center"/>
          </w:tcPr>
          <w:p w14:paraId="646CC78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2EA70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BC6EF0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E03F0D"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Gains on foreign exchange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5CDFC6C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DA10E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D40DD3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CD4845"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Net exposure hedging gains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335A5FA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14425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A42989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726A62"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Gains from changes in fair value </w:t>
            </w:r>
            <w:r w:rsidRPr="00F73301">
              <w:rPr>
                <w:rFonts w:ascii="Times New Roman" w:eastAsia="宋体" w:hAnsi="Times New Roman" w:cs="Times New Roman"/>
                <w:sz w:val="18"/>
                <w:szCs w:val="18"/>
              </w:rPr>
              <w:lastRenderedPageBreak/>
              <w:t>(losses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0C67F37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-15,580,233.35</w:t>
            </w:r>
          </w:p>
        </w:tc>
        <w:tc>
          <w:tcPr>
            <w:tcW w:w="3213" w:type="dxa"/>
            <w:tcBorders>
              <w:top w:val="single" w:sz="2" w:space="0" w:color="auto"/>
              <w:left w:val="single" w:sz="2" w:space="0" w:color="auto"/>
              <w:bottom w:val="single" w:sz="2" w:space="0" w:color="auto"/>
              <w:right w:val="single" w:sz="2" w:space="0" w:color="auto"/>
            </w:tcBorders>
            <w:vAlign w:val="center"/>
          </w:tcPr>
          <w:p w14:paraId="0AF3E91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-11,218,254.41</w:t>
            </w:r>
          </w:p>
        </w:tc>
      </w:tr>
      <w:tr w:rsidR="00F73301" w:rsidRPr="00F73301" w14:paraId="0F0FA4B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E47BEB"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Credit impairment loss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1372E6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-13,889,581.05</w:t>
            </w:r>
          </w:p>
        </w:tc>
        <w:tc>
          <w:tcPr>
            <w:tcW w:w="3213" w:type="dxa"/>
            <w:tcBorders>
              <w:top w:val="single" w:sz="2" w:space="0" w:color="auto"/>
              <w:left w:val="single" w:sz="2" w:space="0" w:color="auto"/>
              <w:bottom w:val="single" w:sz="2" w:space="0" w:color="auto"/>
              <w:right w:val="single" w:sz="2" w:space="0" w:color="auto"/>
            </w:tcBorders>
            <w:vAlign w:val="center"/>
          </w:tcPr>
          <w:p w14:paraId="3A0FE6A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-14,595,165.58</w:t>
            </w:r>
          </w:p>
        </w:tc>
      </w:tr>
      <w:tr w:rsidR="00F73301" w:rsidRPr="00F73301" w14:paraId="107B402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2F3F2C"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Assets impairment loss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3D975F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-27,191,500.99</w:t>
            </w:r>
          </w:p>
        </w:tc>
        <w:tc>
          <w:tcPr>
            <w:tcW w:w="3213" w:type="dxa"/>
            <w:tcBorders>
              <w:top w:val="single" w:sz="2" w:space="0" w:color="auto"/>
              <w:left w:val="single" w:sz="2" w:space="0" w:color="auto"/>
              <w:bottom w:val="single" w:sz="2" w:space="0" w:color="auto"/>
              <w:right w:val="single" w:sz="2" w:space="0" w:color="auto"/>
            </w:tcBorders>
            <w:vAlign w:val="center"/>
          </w:tcPr>
          <w:p w14:paraId="733342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-12,866,842.09</w:t>
            </w:r>
          </w:p>
        </w:tc>
      </w:tr>
      <w:tr w:rsidR="00F73301" w:rsidRPr="00F73301" w14:paraId="2B2B370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57E876"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Gains on asset disposal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3E7DD2B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516,259.91</w:t>
            </w:r>
          </w:p>
        </w:tc>
        <w:tc>
          <w:tcPr>
            <w:tcW w:w="3213" w:type="dxa"/>
            <w:tcBorders>
              <w:top w:val="single" w:sz="2" w:space="0" w:color="auto"/>
              <w:left w:val="single" w:sz="2" w:space="0" w:color="auto"/>
              <w:bottom w:val="single" w:sz="2" w:space="0" w:color="auto"/>
              <w:right w:val="single" w:sz="2" w:space="0" w:color="auto"/>
            </w:tcBorders>
            <w:vAlign w:val="center"/>
          </w:tcPr>
          <w:p w14:paraId="7C0A1DE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616,984.20</w:t>
            </w:r>
          </w:p>
        </w:tc>
      </w:tr>
      <w:tr w:rsidR="00F73301" w:rsidRPr="00F73301" w14:paraId="24E8BE1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EB2C9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III. Operating Profit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601B3C6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479,635,710.05</w:t>
            </w:r>
          </w:p>
        </w:tc>
        <w:tc>
          <w:tcPr>
            <w:tcW w:w="3213" w:type="dxa"/>
            <w:tcBorders>
              <w:top w:val="single" w:sz="2" w:space="0" w:color="auto"/>
              <w:left w:val="single" w:sz="2" w:space="0" w:color="auto"/>
              <w:bottom w:val="single" w:sz="2" w:space="0" w:color="auto"/>
              <w:right w:val="single" w:sz="2" w:space="0" w:color="auto"/>
            </w:tcBorders>
            <w:vAlign w:val="center"/>
          </w:tcPr>
          <w:p w14:paraId="0FEA270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714,610,808.33</w:t>
            </w:r>
          </w:p>
        </w:tc>
      </w:tr>
      <w:tr w:rsidR="00F73301" w:rsidRPr="00F73301" w14:paraId="5C3C175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D1642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Add: Non-operating revenue</w:t>
            </w:r>
          </w:p>
        </w:tc>
        <w:tc>
          <w:tcPr>
            <w:tcW w:w="3213" w:type="dxa"/>
            <w:tcBorders>
              <w:top w:val="single" w:sz="2" w:space="0" w:color="auto"/>
              <w:left w:val="single" w:sz="2" w:space="0" w:color="auto"/>
              <w:bottom w:val="single" w:sz="2" w:space="0" w:color="auto"/>
              <w:right w:val="single" w:sz="2" w:space="0" w:color="auto"/>
            </w:tcBorders>
            <w:vAlign w:val="center"/>
          </w:tcPr>
          <w:p w14:paraId="6EFCFAC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1,363,917.48</w:t>
            </w:r>
          </w:p>
        </w:tc>
        <w:tc>
          <w:tcPr>
            <w:tcW w:w="3213" w:type="dxa"/>
            <w:tcBorders>
              <w:top w:val="single" w:sz="2" w:space="0" w:color="auto"/>
              <w:left w:val="single" w:sz="2" w:space="0" w:color="auto"/>
              <w:bottom w:val="single" w:sz="2" w:space="0" w:color="auto"/>
              <w:right w:val="single" w:sz="2" w:space="0" w:color="auto"/>
            </w:tcBorders>
            <w:vAlign w:val="center"/>
          </w:tcPr>
          <w:p w14:paraId="7A2E45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1,412,628.91</w:t>
            </w:r>
          </w:p>
        </w:tc>
      </w:tr>
      <w:tr w:rsidR="00F73301" w:rsidRPr="00F73301" w14:paraId="42189EA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57500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Less: Non-operating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18A5C89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6,558,907.81</w:t>
            </w:r>
          </w:p>
        </w:tc>
        <w:tc>
          <w:tcPr>
            <w:tcW w:w="3213" w:type="dxa"/>
            <w:tcBorders>
              <w:top w:val="single" w:sz="2" w:space="0" w:color="auto"/>
              <w:left w:val="single" w:sz="2" w:space="0" w:color="auto"/>
              <w:bottom w:val="single" w:sz="2" w:space="0" w:color="auto"/>
              <w:right w:val="single" w:sz="2" w:space="0" w:color="auto"/>
            </w:tcBorders>
            <w:vAlign w:val="center"/>
          </w:tcPr>
          <w:p w14:paraId="2B0D8E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6,667,614.79</w:t>
            </w:r>
          </w:p>
        </w:tc>
      </w:tr>
      <w:tr w:rsidR="00F73301" w:rsidRPr="00F73301" w14:paraId="429B197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8A2FA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IV. Total Profit (Total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6151DC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474,440,719.72</w:t>
            </w:r>
          </w:p>
        </w:tc>
        <w:tc>
          <w:tcPr>
            <w:tcW w:w="3213" w:type="dxa"/>
            <w:tcBorders>
              <w:top w:val="single" w:sz="2" w:space="0" w:color="auto"/>
              <w:left w:val="single" w:sz="2" w:space="0" w:color="auto"/>
              <w:bottom w:val="single" w:sz="2" w:space="0" w:color="auto"/>
              <w:right w:val="single" w:sz="2" w:space="0" w:color="auto"/>
            </w:tcBorders>
            <w:vAlign w:val="center"/>
          </w:tcPr>
          <w:p w14:paraId="1C7B55E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709,355,822.45</w:t>
            </w:r>
          </w:p>
        </w:tc>
      </w:tr>
      <w:tr w:rsidR="00F73301" w:rsidRPr="00F73301" w14:paraId="4A36F04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2BE96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Less: Income tax</w:t>
            </w:r>
          </w:p>
        </w:tc>
        <w:tc>
          <w:tcPr>
            <w:tcW w:w="3213" w:type="dxa"/>
            <w:tcBorders>
              <w:top w:val="single" w:sz="2" w:space="0" w:color="auto"/>
              <w:left w:val="single" w:sz="2" w:space="0" w:color="auto"/>
              <w:bottom w:val="single" w:sz="2" w:space="0" w:color="auto"/>
              <w:right w:val="single" w:sz="2" w:space="0" w:color="auto"/>
            </w:tcBorders>
            <w:vAlign w:val="center"/>
          </w:tcPr>
          <w:p w14:paraId="56A6F1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69,084,485.48</w:t>
            </w:r>
          </w:p>
        </w:tc>
        <w:tc>
          <w:tcPr>
            <w:tcW w:w="3213" w:type="dxa"/>
            <w:tcBorders>
              <w:top w:val="single" w:sz="2" w:space="0" w:color="auto"/>
              <w:left w:val="single" w:sz="2" w:space="0" w:color="auto"/>
              <w:bottom w:val="single" w:sz="2" w:space="0" w:color="auto"/>
              <w:right w:val="single" w:sz="2" w:space="0" w:color="auto"/>
            </w:tcBorders>
            <w:vAlign w:val="center"/>
          </w:tcPr>
          <w:p w14:paraId="5D8ECC0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96,154,162.85</w:t>
            </w:r>
          </w:p>
        </w:tc>
      </w:tr>
      <w:tr w:rsidR="00F73301" w:rsidRPr="00F73301" w14:paraId="5370C34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ACC0A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 Net Profit (Net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566810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405,356,234.24</w:t>
            </w:r>
          </w:p>
        </w:tc>
        <w:tc>
          <w:tcPr>
            <w:tcW w:w="3213" w:type="dxa"/>
            <w:tcBorders>
              <w:top w:val="single" w:sz="2" w:space="0" w:color="auto"/>
              <w:left w:val="single" w:sz="2" w:space="0" w:color="auto"/>
              <w:bottom w:val="single" w:sz="2" w:space="0" w:color="auto"/>
              <w:right w:val="single" w:sz="2" w:space="0" w:color="auto"/>
            </w:tcBorders>
            <w:vAlign w:val="center"/>
          </w:tcPr>
          <w:p w14:paraId="71548B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613,201,659.60</w:t>
            </w:r>
          </w:p>
        </w:tc>
      </w:tr>
      <w:tr w:rsidR="00F73301" w:rsidRPr="00F73301" w14:paraId="0CD59C9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FFEDD5" w14:textId="77777777" w:rsidR="00F73301" w:rsidRPr="00F73301" w:rsidRDefault="00F73301" w:rsidP="008C49B7">
            <w:pPr>
              <w:snapToGrid w:val="0"/>
              <w:ind w:firstLineChars="100" w:firstLine="18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i</w:t>
            </w:r>
            <w:proofErr w:type="spellEnd"/>
            <w:r w:rsidRPr="00F73301">
              <w:rPr>
                <w:rFonts w:ascii="Times New Roman" w:eastAsia="宋体" w:hAnsi="Times New Roman" w:cs="Times New Roman"/>
                <w:sz w:val="18"/>
                <w:szCs w:val="18"/>
              </w:rPr>
              <w:t>. Classified by operation continuity</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53CDF6"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111814"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371819F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E456B1"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Net profit from continuing operations (net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47DEB35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405,356,234.24</w:t>
            </w:r>
          </w:p>
        </w:tc>
        <w:tc>
          <w:tcPr>
            <w:tcW w:w="3213" w:type="dxa"/>
            <w:tcBorders>
              <w:top w:val="single" w:sz="2" w:space="0" w:color="auto"/>
              <w:left w:val="single" w:sz="2" w:space="0" w:color="auto"/>
              <w:bottom w:val="single" w:sz="2" w:space="0" w:color="auto"/>
              <w:right w:val="single" w:sz="2" w:space="0" w:color="auto"/>
            </w:tcBorders>
            <w:vAlign w:val="center"/>
          </w:tcPr>
          <w:p w14:paraId="4593184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613,201,659.60</w:t>
            </w:r>
          </w:p>
        </w:tc>
      </w:tr>
      <w:tr w:rsidR="00F73301" w:rsidRPr="00F73301" w14:paraId="0A7EAB5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A7EF78"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Net profit from discontinuing operations (net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6F9A9BE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5C719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C8A28A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80CBC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ii. Categorized by ownership</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166596"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441298"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E4666E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46B443"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Net profit attributable to shareholders of parent company (or less: net loss)</w:t>
            </w:r>
          </w:p>
        </w:tc>
        <w:tc>
          <w:tcPr>
            <w:tcW w:w="3213" w:type="dxa"/>
            <w:tcBorders>
              <w:top w:val="single" w:sz="2" w:space="0" w:color="auto"/>
              <w:left w:val="single" w:sz="2" w:space="0" w:color="auto"/>
              <w:bottom w:val="single" w:sz="2" w:space="0" w:color="auto"/>
              <w:right w:val="single" w:sz="2" w:space="0" w:color="auto"/>
            </w:tcBorders>
            <w:vAlign w:val="center"/>
          </w:tcPr>
          <w:p w14:paraId="327E324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410,749,362.62</w:t>
            </w:r>
          </w:p>
        </w:tc>
        <w:tc>
          <w:tcPr>
            <w:tcW w:w="3213" w:type="dxa"/>
            <w:tcBorders>
              <w:top w:val="single" w:sz="2" w:space="0" w:color="auto"/>
              <w:left w:val="single" w:sz="2" w:space="0" w:color="auto"/>
              <w:bottom w:val="single" w:sz="2" w:space="0" w:color="auto"/>
              <w:right w:val="single" w:sz="2" w:space="0" w:color="auto"/>
            </w:tcBorders>
            <w:vAlign w:val="center"/>
          </w:tcPr>
          <w:p w14:paraId="2E5C84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587,199,373.84</w:t>
            </w:r>
          </w:p>
        </w:tc>
      </w:tr>
      <w:tr w:rsidR="00F73301" w:rsidRPr="00F73301" w14:paraId="790847A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E7194A"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Net profit attributable to non-controlling shareholders (or less: net loss)</w:t>
            </w:r>
          </w:p>
        </w:tc>
        <w:tc>
          <w:tcPr>
            <w:tcW w:w="3213" w:type="dxa"/>
            <w:tcBorders>
              <w:top w:val="single" w:sz="2" w:space="0" w:color="auto"/>
              <w:left w:val="single" w:sz="2" w:space="0" w:color="auto"/>
              <w:bottom w:val="single" w:sz="2" w:space="0" w:color="auto"/>
              <w:right w:val="single" w:sz="2" w:space="0" w:color="auto"/>
            </w:tcBorders>
            <w:vAlign w:val="center"/>
          </w:tcPr>
          <w:p w14:paraId="05C216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-5,393,128.38</w:t>
            </w:r>
          </w:p>
        </w:tc>
        <w:tc>
          <w:tcPr>
            <w:tcW w:w="3213" w:type="dxa"/>
            <w:tcBorders>
              <w:top w:val="single" w:sz="2" w:space="0" w:color="auto"/>
              <w:left w:val="single" w:sz="2" w:space="0" w:color="auto"/>
              <w:bottom w:val="single" w:sz="2" w:space="0" w:color="auto"/>
              <w:right w:val="single" w:sz="2" w:space="0" w:color="auto"/>
            </w:tcBorders>
            <w:vAlign w:val="center"/>
          </w:tcPr>
          <w:p w14:paraId="01E63E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26,002,285.76</w:t>
            </w:r>
          </w:p>
        </w:tc>
      </w:tr>
      <w:tr w:rsidR="00F73301" w:rsidRPr="00F73301" w14:paraId="2468703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B10DA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VI. Other Comprehensive Income after Tax</w:t>
            </w:r>
          </w:p>
        </w:tc>
        <w:tc>
          <w:tcPr>
            <w:tcW w:w="3213" w:type="dxa"/>
            <w:tcBorders>
              <w:top w:val="single" w:sz="2" w:space="0" w:color="auto"/>
              <w:left w:val="single" w:sz="2" w:space="0" w:color="auto"/>
              <w:bottom w:val="single" w:sz="2" w:space="0" w:color="auto"/>
              <w:right w:val="single" w:sz="2" w:space="0" w:color="auto"/>
            </w:tcBorders>
            <w:vAlign w:val="center"/>
          </w:tcPr>
          <w:p w14:paraId="1C64F37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3213" w:type="dxa"/>
            <w:tcBorders>
              <w:top w:val="single" w:sz="2" w:space="0" w:color="auto"/>
              <w:left w:val="single" w:sz="2" w:space="0" w:color="auto"/>
              <w:bottom w:val="single" w:sz="2" w:space="0" w:color="auto"/>
              <w:right w:val="single" w:sz="2" w:space="0" w:color="auto"/>
            </w:tcBorders>
            <w:vAlign w:val="center"/>
          </w:tcPr>
          <w:p w14:paraId="67DD007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10,574,197.92</w:t>
            </w:r>
          </w:p>
        </w:tc>
      </w:tr>
      <w:tr w:rsidR="00F73301" w:rsidRPr="00F73301" w14:paraId="6B634FD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A689C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of other comprehensive income after tax, attributable to owners of the parent company</w:t>
            </w:r>
          </w:p>
        </w:tc>
        <w:tc>
          <w:tcPr>
            <w:tcW w:w="3213" w:type="dxa"/>
            <w:tcBorders>
              <w:top w:val="single" w:sz="2" w:space="0" w:color="auto"/>
              <w:left w:val="single" w:sz="2" w:space="0" w:color="auto"/>
              <w:bottom w:val="single" w:sz="2" w:space="0" w:color="auto"/>
              <w:right w:val="single" w:sz="2" w:space="0" w:color="auto"/>
            </w:tcBorders>
            <w:vAlign w:val="center"/>
          </w:tcPr>
          <w:p w14:paraId="7101A6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3213" w:type="dxa"/>
            <w:tcBorders>
              <w:top w:val="single" w:sz="2" w:space="0" w:color="auto"/>
              <w:left w:val="single" w:sz="2" w:space="0" w:color="auto"/>
              <w:bottom w:val="single" w:sz="2" w:space="0" w:color="auto"/>
              <w:right w:val="single" w:sz="2" w:space="0" w:color="auto"/>
            </w:tcBorders>
            <w:vAlign w:val="center"/>
          </w:tcPr>
          <w:p w14:paraId="674F61A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10,574,197.92</w:t>
            </w:r>
          </w:p>
        </w:tc>
      </w:tr>
      <w:tr w:rsidR="00F73301" w:rsidRPr="00F73301" w14:paraId="1B89B41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F9C537" w14:textId="77777777" w:rsidR="00F73301" w:rsidRPr="00F73301" w:rsidRDefault="00F73301" w:rsidP="008C49B7">
            <w:pPr>
              <w:snapToGrid w:val="0"/>
              <w:ind w:firstLineChars="200" w:firstLine="36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i</w:t>
            </w:r>
            <w:proofErr w:type="spellEnd"/>
            <w:r w:rsidRPr="00F73301">
              <w:rPr>
                <w:rFonts w:ascii="Times New Roman" w:eastAsia="宋体" w:hAnsi="Times New Roman" w:cs="Times New Roman"/>
                <w:sz w:val="18"/>
                <w:szCs w:val="18"/>
              </w:rPr>
              <w:t>. Other comprehensive income that will not be reclassified to profit or loss</w:t>
            </w:r>
          </w:p>
        </w:tc>
        <w:tc>
          <w:tcPr>
            <w:tcW w:w="3213" w:type="dxa"/>
            <w:tcBorders>
              <w:top w:val="single" w:sz="2" w:space="0" w:color="auto"/>
              <w:left w:val="single" w:sz="2" w:space="0" w:color="auto"/>
              <w:bottom w:val="single" w:sz="2" w:space="0" w:color="auto"/>
              <w:right w:val="single" w:sz="2" w:space="0" w:color="auto"/>
            </w:tcBorders>
            <w:vAlign w:val="center"/>
          </w:tcPr>
          <w:p w14:paraId="180FA32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F1DBC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176190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CDC84B"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1. Remeasurement gains or losses of a defined benefit plan</w:t>
            </w:r>
          </w:p>
        </w:tc>
        <w:tc>
          <w:tcPr>
            <w:tcW w:w="3213" w:type="dxa"/>
            <w:tcBorders>
              <w:top w:val="single" w:sz="2" w:space="0" w:color="auto"/>
              <w:left w:val="single" w:sz="2" w:space="0" w:color="auto"/>
              <w:bottom w:val="single" w:sz="2" w:space="0" w:color="auto"/>
              <w:right w:val="single" w:sz="2" w:space="0" w:color="auto"/>
            </w:tcBorders>
            <w:vAlign w:val="center"/>
          </w:tcPr>
          <w:p w14:paraId="4D89B01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359A8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FC0728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AA7E79"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2. Other comprehensive income using the equity method that will not be reclassified to profit or loss</w:t>
            </w:r>
          </w:p>
        </w:tc>
        <w:tc>
          <w:tcPr>
            <w:tcW w:w="3213" w:type="dxa"/>
            <w:tcBorders>
              <w:top w:val="single" w:sz="2" w:space="0" w:color="auto"/>
              <w:left w:val="single" w:sz="2" w:space="0" w:color="auto"/>
              <w:bottom w:val="single" w:sz="2" w:space="0" w:color="auto"/>
              <w:right w:val="single" w:sz="2" w:space="0" w:color="auto"/>
            </w:tcBorders>
            <w:vAlign w:val="center"/>
          </w:tcPr>
          <w:p w14:paraId="29C2E7D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45BF1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97703C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F58B98"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3. Changes in fair value of other equity instrument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7AF8F9B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8FF35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44C8D2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D8EBD1"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4. Changes in fair value of enterprise's own credit risk</w:t>
            </w:r>
          </w:p>
        </w:tc>
        <w:tc>
          <w:tcPr>
            <w:tcW w:w="3213" w:type="dxa"/>
            <w:tcBorders>
              <w:top w:val="single" w:sz="2" w:space="0" w:color="auto"/>
              <w:left w:val="single" w:sz="2" w:space="0" w:color="auto"/>
              <w:bottom w:val="single" w:sz="2" w:space="0" w:color="auto"/>
              <w:right w:val="single" w:sz="2" w:space="0" w:color="auto"/>
            </w:tcBorders>
            <w:vAlign w:val="center"/>
          </w:tcPr>
          <w:p w14:paraId="4DDB9AF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D436F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9EBB0D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CFBD4D"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5. Others</w:t>
            </w:r>
          </w:p>
        </w:tc>
        <w:tc>
          <w:tcPr>
            <w:tcW w:w="3213" w:type="dxa"/>
            <w:tcBorders>
              <w:top w:val="single" w:sz="2" w:space="0" w:color="auto"/>
              <w:left w:val="single" w:sz="2" w:space="0" w:color="auto"/>
              <w:bottom w:val="single" w:sz="2" w:space="0" w:color="auto"/>
              <w:right w:val="single" w:sz="2" w:space="0" w:color="auto"/>
            </w:tcBorders>
            <w:vAlign w:val="center"/>
          </w:tcPr>
          <w:p w14:paraId="379E0C5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4D1A0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A3EC7A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EC1A73"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ii. Other comprehensive income to be reclassified to profit or loss</w:t>
            </w:r>
          </w:p>
        </w:tc>
        <w:tc>
          <w:tcPr>
            <w:tcW w:w="3213" w:type="dxa"/>
            <w:tcBorders>
              <w:top w:val="single" w:sz="2" w:space="0" w:color="auto"/>
              <w:left w:val="single" w:sz="2" w:space="0" w:color="auto"/>
              <w:bottom w:val="single" w:sz="2" w:space="0" w:color="auto"/>
              <w:right w:val="single" w:sz="2" w:space="0" w:color="auto"/>
            </w:tcBorders>
            <w:vAlign w:val="center"/>
          </w:tcPr>
          <w:p w14:paraId="79BF68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3213" w:type="dxa"/>
            <w:tcBorders>
              <w:top w:val="single" w:sz="2" w:space="0" w:color="auto"/>
              <w:left w:val="single" w:sz="2" w:space="0" w:color="auto"/>
              <w:bottom w:val="single" w:sz="2" w:space="0" w:color="auto"/>
              <w:right w:val="single" w:sz="2" w:space="0" w:color="auto"/>
            </w:tcBorders>
            <w:vAlign w:val="center"/>
          </w:tcPr>
          <w:p w14:paraId="3F11002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10,574,197.92</w:t>
            </w:r>
          </w:p>
        </w:tc>
      </w:tr>
      <w:tr w:rsidR="00F73301" w:rsidRPr="00F73301" w14:paraId="12EBE61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7D5CEF"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1. Other comprehensive income that can be reclassified to profit or loss in equity method</w:t>
            </w:r>
          </w:p>
        </w:tc>
        <w:tc>
          <w:tcPr>
            <w:tcW w:w="3213" w:type="dxa"/>
            <w:tcBorders>
              <w:top w:val="single" w:sz="2" w:space="0" w:color="auto"/>
              <w:left w:val="single" w:sz="2" w:space="0" w:color="auto"/>
              <w:bottom w:val="single" w:sz="2" w:space="0" w:color="auto"/>
              <w:right w:val="single" w:sz="2" w:space="0" w:color="auto"/>
            </w:tcBorders>
            <w:vAlign w:val="center"/>
          </w:tcPr>
          <w:p w14:paraId="5562F07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AF4B6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FE86FF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E7B582"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2. Changes in fair value of other debt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1A2B274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8F7E2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BD5E65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1B6A75"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3. Amount of financial assets reclassified into other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2DCFF8A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82D29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B5CFE7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F25844"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4. Allowance for credit impairment of other debt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27311F8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93CE4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90F396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99F291"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5. Cash flow hedging reserves</w:t>
            </w:r>
          </w:p>
        </w:tc>
        <w:tc>
          <w:tcPr>
            <w:tcW w:w="3213" w:type="dxa"/>
            <w:tcBorders>
              <w:top w:val="single" w:sz="2" w:space="0" w:color="auto"/>
              <w:left w:val="single" w:sz="2" w:space="0" w:color="auto"/>
              <w:bottom w:val="single" w:sz="2" w:space="0" w:color="auto"/>
              <w:right w:val="single" w:sz="2" w:space="0" w:color="auto"/>
            </w:tcBorders>
            <w:vAlign w:val="center"/>
          </w:tcPr>
          <w:p w14:paraId="01FB836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EC373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38A9B6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1A485D"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6. Exchange differences on translation of foreign currency financial statements</w:t>
            </w:r>
          </w:p>
        </w:tc>
        <w:tc>
          <w:tcPr>
            <w:tcW w:w="3213" w:type="dxa"/>
            <w:tcBorders>
              <w:top w:val="single" w:sz="2" w:space="0" w:color="auto"/>
              <w:left w:val="single" w:sz="2" w:space="0" w:color="auto"/>
              <w:bottom w:val="single" w:sz="2" w:space="0" w:color="auto"/>
              <w:right w:val="single" w:sz="2" w:space="0" w:color="auto"/>
            </w:tcBorders>
            <w:vAlign w:val="center"/>
          </w:tcPr>
          <w:p w14:paraId="1356DBC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3213" w:type="dxa"/>
            <w:tcBorders>
              <w:top w:val="single" w:sz="2" w:space="0" w:color="auto"/>
              <w:left w:val="single" w:sz="2" w:space="0" w:color="auto"/>
              <w:bottom w:val="single" w:sz="2" w:space="0" w:color="auto"/>
              <w:right w:val="single" w:sz="2" w:space="0" w:color="auto"/>
            </w:tcBorders>
            <w:vAlign w:val="center"/>
          </w:tcPr>
          <w:p w14:paraId="0638FE9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10,574,197.92</w:t>
            </w:r>
          </w:p>
        </w:tc>
      </w:tr>
      <w:tr w:rsidR="00F73301" w:rsidRPr="00F73301" w14:paraId="581773C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797885"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7. Others</w:t>
            </w:r>
          </w:p>
        </w:tc>
        <w:tc>
          <w:tcPr>
            <w:tcW w:w="3213" w:type="dxa"/>
            <w:tcBorders>
              <w:top w:val="single" w:sz="2" w:space="0" w:color="auto"/>
              <w:left w:val="single" w:sz="2" w:space="0" w:color="auto"/>
              <w:bottom w:val="single" w:sz="2" w:space="0" w:color="auto"/>
              <w:right w:val="single" w:sz="2" w:space="0" w:color="auto"/>
            </w:tcBorders>
            <w:vAlign w:val="center"/>
          </w:tcPr>
          <w:p w14:paraId="5A114A9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66D57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315BFA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C121F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of tax of other comprehensive income attributable to non-controlling interests</w:t>
            </w:r>
          </w:p>
        </w:tc>
        <w:tc>
          <w:tcPr>
            <w:tcW w:w="3213" w:type="dxa"/>
            <w:tcBorders>
              <w:top w:val="single" w:sz="2" w:space="0" w:color="auto"/>
              <w:left w:val="single" w:sz="2" w:space="0" w:color="auto"/>
              <w:bottom w:val="single" w:sz="2" w:space="0" w:color="auto"/>
              <w:right w:val="single" w:sz="2" w:space="0" w:color="auto"/>
            </w:tcBorders>
            <w:vAlign w:val="center"/>
          </w:tcPr>
          <w:p w14:paraId="0A419D1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3414F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205917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66DED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VII. Total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197F77C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416,424,578.77</w:t>
            </w:r>
          </w:p>
        </w:tc>
        <w:tc>
          <w:tcPr>
            <w:tcW w:w="3213" w:type="dxa"/>
            <w:tcBorders>
              <w:top w:val="single" w:sz="2" w:space="0" w:color="auto"/>
              <w:left w:val="single" w:sz="2" w:space="0" w:color="auto"/>
              <w:bottom w:val="single" w:sz="2" w:space="0" w:color="auto"/>
              <w:right w:val="single" w:sz="2" w:space="0" w:color="auto"/>
            </w:tcBorders>
            <w:vAlign w:val="center"/>
          </w:tcPr>
          <w:p w14:paraId="4A23FF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623,775,857.52</w:t>
            </w:r>
          </w:p>
        </w:tc>
      </w:tr>
      <w:tr w:rsidR="00F73301" w:rsidRPr="00F73301" w14:paraId="4A181AA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AAB5C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Total comprehensive income attributable to owners of the parent company</w:t>
            </w:r>
          </w:p>
        </w:tc>
        <w:tc>
          <w:tcPr>
            <w:tcW w:w="3213" w:type="dxa"/>
            <w:tcBorders>
              <w:top w:val="single" w:sz="2" w:space="0" w:color="auto"/>
              <w:left w:val="single" w:sz="2" w:space="0" w:color="auto"/>
              <w:bottom w:val="single" w:sz="2" w:space="0" w:color="auto"/>
              <w:right w:val="single" w:sz="2" w:space="0" w:color="auto"/>
            </w:tcBorders>
            <w:vAlign w:val="center"/>
          </w:tcPr>
          <w:p w14:paraId="520BB56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421,817,707.15</w:t>
            </w:r>
          </w:p>
        </w:tc>
        <w:tc>
          <w:tcPr>
            <w:tcW w:w="3213" w:type="dxa"/>
            <w:tcBorders>
              <w:top w:val="single" w:sz="2" w:space="0" w:color="auto"/>
              <w:left w:val="single" w:sz="2" w:space="0" w:color="auto"/>
              <w:bottom w:val="single" w:sz="2" w:space="0" w:color="auto"/>
              <w:right w:val="single" w:sz="2" w:space="0" w:color="auto"/>
            </w:tcBorders>
            <w:vAlign w:val="center"/>
          </w:tcPr>
          <w:p w14:paraId="263B40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597,773,571.76</w:t>
            </w:r>
          </w:p>
        </w:tc>
      </w:tr>
      <w:tr w:rsidR="00F73301" w:rsidRPr="00F73301" w14:paraId="2F9ED5D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C3BC1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Total comprehensive income attributable to non-controlling interests</w:t>
            </w:r>
          </w:p>
        </w:tc>
        <w:tc>
          <w:tcPr>
            <w:tcW w:w="3213" w:type="dxa"/>
            <w:tcBorders>
              <w:top w:val="single" w:sz="2" w:space="0" w:color="auto"/>
              <w:left w:val="single" w:sz="2" w:space="0" w:color="auto"/>
              <w:bottom w:val="single" w:sz="2" w:space="0" w:color="auto"/>
              <w:right w:val="single" w:sz="2" w:space="0" w:color="auto"/>
            </w:tcBorders>
            <w:vAlign w:val="center"/>
          </w:tcPr>
          <w:p w14:paraId="051340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-5,393,128.38</w:t>
            </w:r>
          </w:p>
        </w:tc>
        <w:tc>
          <w:tcPr>
            <w:tcW w:w="3213" w:type="dxa"/>
            <w:tcBorders>
              <w:top w:val="single" w:sz="2" w:space="0" w:color="auto"/>
              <w:left w:val="single" w:sz="2" w:space="0" w:color="auto"/>
              <w:bottom w:val="single" w:sz="2" w:space="0" w:color="auto"/>
              <w:right w:val="single" w:sz="2" w:space="0" w:color="auto"/>
            </w:tcBorders>
            <w:vAlign w:val="center"/>
          </w:tcPr>
          <w:p w14:paraId="4EA51E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26,002,285.76</w:t>
            </w:r>
          </w:p>
        </w:tc>
      </w:tr>
      <w:tr w:rsidR="00F73301" w:rsidRPr="00F73301" w14:paraId="71B5B09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7E57BE" w14:textId="253A18FD" w:rsidR="00F73301" w:rsidRPr="00F73301" w:rsidRDefault="004425DE" w:rsidP="008C49B7">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VIII. </w:t>
            </w:r>
            <w:r w:rsidR="00F73301" w:rsidRPr="00F73301">
              <w:rPr>
                <w:rFonts w:ascii="Times New Roman" w:eastAsia="宋体" w:hAnsi="Times New Roman" w:cs="Times New Roman"/>
                <w:sz w:val="18"/>
                <w:szCs w:val="18"/>
              </w:rPr>
              <w:t>Earnings per share (EPS):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F90E88"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AF50A5"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033AC2F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448B36" w14:textId="77777777" w:rsidR="00F73301" w:rsidRPr="00F73301" w:rsidRDefault="00F73301" w:rsidP="008C49B7">
            <w:pPr>
              <w:snapToGrid w:val="0"/>
              <w:ind w:firstLineChars="100" w:firstLine="18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i</w:t>
            </w:r>
            <w:proofErr w:type="spellEnd"/>
            <w:r w:rsidRPr="00F73301">
              <w:rPr>
                <w:rFonts w:ascii="Times New Roman" w:eastAsia="宋体" w:hAnsi="Times New Roman" w:cs="Times New Roman"/>
                <w:sz w:val="18"/>
                <w:szCs w:val="18"/>
              </w:rPr>
              <w:t>. Basic EPS</w:t>
            </w:r>
          </w:p>
        </w:tc>
        <w:tc>
          <w:tcPr>
            <w:tcW w:w="3213" w:type="dxa"/>
            <w:tcBorders>
              <w:top w:val="single" w:sz="2" w:space="0" w:color="auto"/>
              <w:left w:val="single" w:sz="2" w:space="0" w:color="auto"/>
              <w:bottom w:val="single" w:sz="2" w:space="0" w:color="auto"/>
              <w:right w:val="single" w:sz="2" w:space="0" w:color="auto"/>
            </w:tcBorders>
            <w:vAlign w:val="center"/>
          </w:tcPr>
          <w:p w14:paraId="7A9D884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0.79</w:t>
            </w:r>
          </w:p>
        </w:tc>
        <w:tc>
          <w:tcPr>
            <w:tcW w:w="3213" w:type="dxa"/>
            <w:tcBorders>
              <w:top w:val="single" w:sz="2" w:space="0" w:color="auto"/>
              <w:left w:val="single" w:sz="2" w:space="0" w:color="auto"/>
              <w:bottom w:val="single" w:sz="2" w:space="0" w:color="auto"/>
              <w:right w:val="single" w:sz="2" w:space="0" w:color="auto"/>
            </w:tcBorders>
            <w:vAlign w:val="center"/>
          </w:tcPr>
          <w:p w14:paraId="0882210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1.15</w:t>
            </w:r>
          </w:p>
        </w:tc>
      </w:tr>
      <w:tr w:rsidR="00F73301" w:rsidRPr="00F73301" w14:paraId="2094067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56765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ii. Diluted EPS</w:t>
            </w:r>
          </w:p>
        </w:tc>
        <w:tc>
          <w:tcPr>
            <w:tcW w:w="3213" w:type="dxa"/>
            <w:tcBorders>
              <w:top w:val="single" w:sz="2" w:space="0" w:color="auto"/>
              <w:left w:val="single" w:sz="2" w:space="0" w:color="auto"/>
              <w:bottom w:val="single" w:sz="2" w:space="0" w:color="auto"/>
              <w:right w:val="single" w:sz="2" w:space="0" w:color="auto"/>
            </w:tcBorders>
            <w:vAlign w:val="center"/>
          </w:tcPr>
          <w:p w14:paraId="1007B89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0.79</w:t>
            </w:r>
          </w:p>
        </w:tc>
        <w:tc>
          <w:tcPr>
            <w:tcW w:w="3213" w:type="dxa"/>
            <w:tcBorders>
              <w:top w:val="single" w:sz="2" w:space="0" w:color="auto"/>
              <w:left w:val="single" w:sz="2" w:space="0" w:color="auto"/>
              <w:bottom w:val="single" w:sz="2" w:space="0" w:color="auto"/>
              <w:right w:val="single" w:sz="2" w:space="0" w:color="auto"/>
            </w:tcBorders>
            <w:vAlign w:val="center"/>
          </w:tcPr>
          <w:p w14:paraId="1340309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1.14</w:t>
            </w:r>
          </w:p>
        </w:tc>
      </w:tr>
    </w:tbl>
    <w:p w14:paraId="69C8CA43" w14:textId="77777777" w:rsidR="00F73301" w:rsidRPr="00FC2420" w:rsidRDefault="00F73301" w:rsidP="00F73301">
      <w:pPr>
        <w:snapToGrid w:val="0"/>
        <w:spacing w:beforeLines="50" w:before="156" w:afterLines="50" w:after="156"/>
        <w:rPr>
          <w:rFonts w:ascii="Times New Roman" w:eastAsia="宋体" w:hAnsi="Times New Roman" w:cs="Times New Roman"/>
          <w:sz w:val="18"/>
          <w:szCs w:val="18"/>
        </w:rPr>
      </w:pPr>
      <w:r w:rsidRPr="00FC2420">
        <w:rPr>
          <w:rFonts w:ascii="Times New Roman" w:eastAsia="宋体" w:hAnsi="Times New Roman" w:cs="Times New Roman"/>
          <w:sz w:val="18"/>
          <w:szCs w:val="18"/>
        </w:rPr>
        <w:t xml:space="preserve">Amongst business combination under common control in the current period, the net profit achieved by the </w:t>
      </w:r>
      <w:proofErr w:type="spellStart"/>
      <w:r w:rsidRPr="00FC2420">
        <w:rPr>
          <w:rFonts w:ascii="Times New Roman" w:eastAsia="宋体" w:hAnsi="Times New Roman" w:cs="Times New Roman"/>
          <w:sz w:val="18"/>
          <w:szCs w:val="18"/>
        </w:rPr>
        <w:t>mergee</w:t>
      </w:r>
      <w:proofErr w:type="spellEnd"/>
      <w:r w:rsidRPr="00FC2420">
        <w:rPr>
          <w:rFonts w:ascii="Times New Roman" w:eastAsia="宋体" w:hAnsi="Times New Roman" w:cs="Times New Roman"/>
          <w:sz w:val="18"/>
          <w:szCs w:val="18"/>
        </w:rPr>
        <w:t xml:space="preserve"> prior to the combination is RMB   (previous year: RMB   ).</w:t>
      </w:r>
    </w:p>
    <w:p w14:paraId="57044DAC" w14:textId="77777777" w:rsidR="00F73301" w:rsidRPr="00FC2420" w:rsidRDefault="00F73301" w:rsidP="00F73301">
      <w:pPr>
        <w:snapToGrid w:val="0"/>
        <w:spacing w:beforeLines="50" w:before="156" w:afterLines="50" w:after="156"/>
        <w:rPr>
          <w:rFonts w:ascii="Times New Roman" w:eastAsia="宋体" w:hAnsi="Times New Roman" w:cs="Times New Roman"/>
          <w:sz w:val="18"/>
          <w:szCs w:val="18"/>
        </w:rPr>
      </w:pPr>
      <w:r w:rsidRPr="00FC2420">
        <w:rPr>
          <w:rFonts w:ascii="Times New Roman" w:eastAsia="宋体" w:hAnsi="Times New Roman" w:cs="Times New Roman"/>
          <w:sz w:val="18"/>
          <w:szCs w:val="18"/>
        </w:rPr>
        <w:t>Legal Representative: Liang Qin    Chief Accountant: Dai Juan     Head of Accounting Department: She Jing</w:t>
      </w:r>
    </w:p>
    <w:p w14:paraId="5B249773" w14:textId="77777777" w:rsidR="00F73301" w:rsidRPr="00F73301" w:rsidRDefault="00F73301" w:rsidP="00F73301">
      <w:pPr>
        <w:keepNext/>
        <w:keepLines/>
        <w:snapToGrid w:val="0"/>
        <w:spacing w:beforeLines="50" w:before="156" w:afterLines="50" w:after="156"/>
        <w:outlineLvl w:val="2"/>
        <w:rPr>
          <w:rFonts w:ascii="Times New Roman" w:eastAsia="宋体" w:hAnsi="Times New Roman" w:cs="Times New Roman"/>
          <w:b/>
          <w:bCs/>
          <w:sz w:val="24"/>
          <w:szCs w:val="24"/>
        </w:rPr>
      </w:pPr>
      <w:bookmarkStart w:id="100" w:name="_Toc988988"/>
      <w:r w:rsidRPr="00F73301">
        <w:rPr>
          <w:rFonts w:ascii="Times New Roman" w:eastAsia="宋体" w:hAnsi="Times New Roman" w:cs="Times New Roman"/>
          <w:b/>
          <w:bCs/>
          <w:sz w:val="24"/>
          <w:szCs w:val="24"/>
        </w:rPr>
        <w:t>4. Income statement of the parent company</w:t>
      </w:r>
      <w:bookmarkEnd w:id="100"/>
    </w:p>
    <w:p w14:paraId="25D2FA0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3213"/>
        <w:gridCol w:w="3213"/>
        <w:gridCol w:w="3213"/>
      </w:tblGrid>
      <w:tr w:rsidR="00F73301" w:rsidRPr="00F73301" w14:paraId="5644522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CFDEC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A23D2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2023 mid-year</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10D83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2022 mid-year</w:t>
            </w:r>
          </w:p>
        </w:tc>
      </w:tr>
      <w:tr w:rsidR="00F73301" w:rsidRPr="00F73301" w14:paraId="7960825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11AD7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 Operating Revenue</w:t>
            </w:r>
          </w:p>
        </w:tc>
        <w:tc>
          <w:tcPr>
            <w:tcW w:w="3213" w:type="dxa"/>
            <w:tcBorders>
              <w:top w:val="single" w:sz="2" w:space="0" w:color="auto"/>
              <w:left w:val="single" w:sz="2" w:space="0" w:color="auto"/>
              <w:bottom w:val="single" w:sz="2" w:space="0" w:color="auto"/>
              <w:right w:val="single" w:sz="2" w:space="0" w:color="auto"/>
            </w:tcBorders>
            <w:vAlign w:val="center"/>
          </w:tcPr>
          <w:p w14:paraId="3F397B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c>
          <w:tcPr>
            <w:tcW w:w="3213" w:type="dxa"/>
            <w:tcBorders>
              <w:top w:val="single" w:sz="2" w:space="0" w:color="auto"/>
              <w:left w:val="single" w:sz="2" w:space="0" w:color="auto"/>
              <w:bottom w:val="single" w:sz="2" w:space="0" w:color="auto"/>
              <w:right w:val="single" w:sz="2" w:space="0" w:color="auto"/>
            </w:tcBorders>
            <w:vAlign w:val="center"/>
          </w:tcPr>
          <w:p w14:paraId="1B35C8A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2,454,360,991.91</w:t>
            </w:r>
          </w:p>
        </w:tc>
      </w:tr>
      <w:tr w:rsidR="00F73301" w:rsidRPr="00F73301" w14:paraId="7B33E70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7445B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Less: Operating cost</w:t>
            </w:r>
          </w:p>
        </w:tc>
        <w:tc>
          <w:tcPr>
            <w:tcW w:w="3213" w:type="dxa"/>
            <w:tcBorders>
              <w:top w:val="single" w:sz="2" w:space="0" w:color="auto"/>
              <w:left w:val="single" w:sz="2" w:space="0" w:color="auto"/>
              <w:bottom w:val="single" w:sz="2" w:space="0" w:color="auto"/>
              <w:right w:val="single" w:sz="2" w:space="0" w:color="auto"/>
            </w:tcBorders>
            <w:vAlign w:val="center"/>
          </w:tcPr>
          <w:p w14:paraId="35A3C46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1,675,798,013.65</w:t>
            </w:r>
          </w:p>
        </w:tc>
        <w:tc>
          <w:tcPr>
            <w:tcW w:w="3213" w:type="dxa"/>
            <w:tcBorders>
              <w:top w:val="single" w:sz="2" w:space="0" w:color="auto"/>
              <w:left w:val="single" w:sz="2" w:space="0" w:color="auto"/>
              <w:bottom w:val="single" w:sz="2" w:space="0" w:color="auto"/>
              <w:right w:val="single" w:sz="2" w:space="0" w:color="auto"/>
            </w:tcBorders>
            <w:vAlign w:val="center"/>
          </w:tcPr>
          <w:p w14:paraId="66B2FA2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1,719,388,240.39</w:t>
            </w:r>
          </w:p>
        </w:tc>
      </w:tr>
      <w:tr w:rsidR="00F73301" w:rsidRPr="00F73301" w14:paraId="5B58102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34276F"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Taxes and surcharges</w:t>
            </w:r>
          </w:p>
        </w:tc>
        <w:tc>
          <w:tcPr>
            <w:tcW w:w="3213" w:type="dxa"/>
            <w:tcBorders>
              <w:top w:val="single" w:sz="2" w:space="0" w:color="auto"/>
              <w:left w:val="single" w:sz="2" w:space="0" w:color="auto"/>
              <w:bottom w:val="single" w:sz="2" w:space="0" w:color="auto"/>
              <w:right w:val="single" w:sz="2" w:space="0" w:color="auto"/>
            </w:tcBorders>
            <w:vAlign w:val="center"/>
          </w:tcPr>
          <w:p w14:paraId="18D97FE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14,794,173.02</w:t>
            </w:r>
          </w:p>
        </w:tc>
        <w:tc>
          <w:tcPr>
            <w:tcW w:w="3213" w:type="dxa"/>
            <w:tcBorders>
              <w:top w:val="single" w:sz="2" w:space="0" w:color="auto"/>
              <w:left w:val="single" w:sz="2" w:space="0" w:color="auto"/>
              <w:bottom w:val="single" w:sz="2" w:space="0" w:color="auto"/>
              <w:right w:val="single" w:sz="2" w:space="0" w:color="auto"/>
            </w:tcBorders>
            <w:vAlign w:val="center"/>
          </w:tcPr>
          <w:p w14:paraId="6B0C8B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3,327,138.01</w:t>
            </w:r>
          </w:p>
        </w:tc>
      </w:tr>
      <w:tr w:rsidR="00F73301" w:rsidRPr="00F73301" w14:paraId="568B7A9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70253F"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Selling expenses</w:t>
            </w:r>
          </w:p>
        </w:tc>
        <w:tc>
          <w:tcPr>
            <w:tcW w:w="3213" w:type="dxa"/>
            <w:tcBorders>
              <w:top w:val="single" w:sz="2" w:space="0" w:color="auto"/>
              <w:left w:val="single" w:sz="2" w:space="0" w:color="auto"/>
              <w:bottom w:val="single" w:sz="2" w:space="0" w:color="auto"/>
              <w:right w:val="single" w:sz="2" w:space="0" w:color="auto"/>
            </w:tcBorders>
            <w:vAlign w:val="center"/>
          </w:tcPr>
          <w:p w14:paraId="5551B8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43,455,698.61</w:t>
            </w:r>
          </w:p>
        </w:tc>
        <w:tc>
          <w:tcPr>
            <w:tcW w:w="3213" w:type="dxa"/>
            <w:tcBorders>
              <w:top w:val="single" w:sz="2" w:space="0" w:color="auto"/>
              <w:left w:val="single" w:sz="2" w:space="0" w:color="auto"/>
              <w:bottom w:val="single" w:sz="2" w:space="0" w:color="auto"/>
              <w:right w:val="single" w:sz="2" w:space="0" w:color="auto"/>
            </w:tcBorders>
            <w:vAlign w:val="center"/>
          </w:tcPr>
          <w:p w14:paraId="3B2005C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38,772,172.51</w:t>
            </w:r>
          </w:p>
        </w:tc>
      </w:tr>
      <w:tr w:rsidR="00F73301" w:rsidRPr="00F73301" w14:paraId="7C7B36C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EBBD84"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Administrative expenses</w:t>
            </w:r>
          </w:p>
        </w:tc>
        <w:tc>
          <w:tcPr>
            <w:tcW w:w="3213" w:type="dxa"/>
            <w:tcBorders>
              <w:top w:val="single" w:sz="2" w:space="0" w:color="auto"/>
              <w:left w:val="single" w:sz="2" w:space="0" w:color="auto"/>
              <w:bottom w:val="single" w:sz="2" w:space="0" w:color="auto"/>
              <w:right w:val="single" w:sz="2" w:space="0" w:color="auto"/>
            </w:tcBorders>
            <w:vAlign w:val="center"/>
          </w:tcPr>
          <w:p w14:paraId="51D23A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79,689,768.97</w:t>
            </w:r>
          </w:p>
        </w:tc>
        <w:tc>
          <w:tcPr>
            <w:tcW w:w="3213" w:type="dxa"/>
            <w:tcBorders>
              <w:top w:val="single" w:sz="2" w:space="0" w:color="auto"/>
              <w:left w:val="single" w:sz="2" w:space="0" w:color="auto"/>
              <w:bottom w:val="single" w:sz="2" w:space="0" w:color="auto"/>
              <w:right w:val="single" w:sz="2" w:space="0" w:color="auto"/>
            </w:tcBorders>
            <w:vAlign w:val="center"/>
          </w:tcPr>
          <w:p w14:paraId="09221B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73,246,631.69</w:t>
            </w:r>
          </w:p>
        </w:tc>
      </w:tr>
      <w:tr w:rsidR="00F73301" w:rsidRPr="00F73301" w14:paraId="35714EC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F0EDF9"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R&amp;D expenses</w:t>
            </w:r>
          </w:p>
        </w:tc>
        <w:tc>
          <w:tcPr>
            <w:tcW w:w="3213" w:type="dxa"/>
            <w:tcBorders>
              <w:top w:val="single" w:sz="2" w:space="0" w:color="auto"/>
              <w:left w:val="single" w:sz="2" w:space="0" w:color="auto"/>
              <w:bottom w:val="single" w:sz="2" w:space="0" w:color="auto"/>
              <w:right w:val="single" w:sz="2" w:space="0" w:color="auto"/>
            </w:tcBorders>
            <w:vAlign w:val="center"/>
          </w:tcPr>
          <w:p w14:paraId="3EE62B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103,719,691.62</w:t>
            </w:r>
          </w:p>
        </w:tc>
        <w:tc>
          <w:tcPr>
            <w:tcW w:w="3213" w:type="dxa"/>
            <w:tcBorders>
              <w:top w:val="single" w:sz="2" w:space="0" w:color="auto"/>
              <w:left w:val="single" w:sz="2" w:space="0" w:color="auto"/>
              <w:bottom w:val="single" w:sz="2" w:space="0" w:color="auto"/>
              <w:right w:val="single" w:sz="2" w:space="0" w:color="auto"/>
            </w:tcBorders>
            <w:vAlign w:val="center"/>
          </w:tcPr>
          <w:p w14:paraId="1F12F5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96,414,756.76</w:t>
            </w:r>
          </w:p>
        </w:tc>
      </w:tr>
      <w:tr w:rsidR="00F73301" w:rsidRPr="00F73301" w14:paraId="1D5FA8E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E70ACB"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Financial expenses</w:t>
            </w:r>
          </w:p>
        </w:tc>
        <w:tc>
          <w:tcPr>
            <w:tcW w:w="3213" w:type="dxa"/>
            <w:tcBorders>
              <w:top w:val="single" w:sz="2" w:space="0" w:color="auto"/>
              <w:left w:val="single" w:sz="2" w:space="0" w:color="auto"/>
              <w:bottom w:val="single" w:sz="2" w:space="0" w:color="auto"/>
              <w:right w:val="single" w:sz="2" w:space="0" w:color="auto"/>
            </w:tcBorders>
            <w:vAlign w:val="center"/>
          </w:tcPr>
          <w:p w14:paraId="7895EE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-109,434,510.06</w:t>
            </w:r>
          </w:p>
        </w:tc>
        <w:tc>
          <w:tcPr>
            <w:tcW w:w="3213" w:type="dxa"/>
            <w:tcBorders>
              <w:top w:val="single" w:sz="2" w:space="0" w:color="auto"/>
              <w:left w:val="single" w:sz="2" w:space="0" w:color="auto"/>
              <w:bottom w:val="single" w:sz="2" w:space="0" w:color="auto"/>
              <w:right w:val="single" w:sz="2" w:space="0" w:color="auto"/>
            </w:tcBorders>
            <w:vAlign w:val="center"/>
          </w:tcPr>
          <w:p w14:paraId="2AFBEA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-14,948,324.73</w:t>
            </w:r>
          </w:p>
        </w:tc>
      </w:tr>
      <w:tr w:rsidR="00F73301" w:rsidRPr="00F73301" w14:paraId="3582F4E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E0A566"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Interest expenses</w:t>
            </w:r>
          </w:p>
        </w:tc>
        <w:tc>
          <w:tcPr>
            <w:tcW w:w="3213" w:type="dxa"/>
            <w:tcBorders>
              <w:top w:val="single" w:sz="2" w:space="0" w:color="auto"/>
              <w:left w:val="single" w:sz="2" w:space="0" w:color="auto"/>
              <w:bottom w:val="single" w:sz="2" w:space="0" w:color="auto"/>
              <w:right w:val="single" w:sz="2" w:space="0" w:color="auto"/>
            </w:tcBorders>
            <w:vAlign w:val="center"/>
          </w:tcPr>
          <w:p w14:paraId="3A362C5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4F1FC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216BE9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FA1310" w14:textId="77777777" w:rsidR="00F73301" w:rsidRPr="00F73301" w:rsidRDefault="00F73301" w:rsidP="008C49B7">
            <w:pPr>
              <w:snapToGrid w:val="0"/>
              <w:ind w:firstLineChars="700" w:firstLine="126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income</w:t>
            </w:r>
          </w:p>
        </w:tc>
        <w:tc>
          <w:tcPr>
            <w:tcW w:w="3213" w:type="dxa"/>
            <w:tcBorders>
              <w:top w:val="single" w:sz="2" w:space="0" w:color="auto"/>
              <w:left w:val="single" w:sz="2" w:space="0" w:color="auto"/>
              <w:bottom w:val="single" w:sz="2" w:space="0" w:color="auto"/>
              <w:right w:val="single" w:sz="2" w:space="0" w:color="auto"/>
            </w:tcBorders>
            <w:vAlign w:val="center"/>
          </w:tcPr>
          <w:p w14:paraId="43BA422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88970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4B77D0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9B430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Add: Other income</w:t>
            </w:r>
          </w:p>
        </w:tc>
        <w:tc>
          <w:tcPr>
            <w:tcW w:w="3213" w:type="dxa"/>
            <w:tcBorders>
              <w:top w:val="single" w:sz="2" w:space="0" w:color="auto"/>
              <w:left w:val="single" w:sz="2" w:space="0" w:color="auto"/>
              <w:bottom w:val="single" w:sz="2" w:space="0" w:color="auto"/>
              <w:right w:val="single" w:sz="2" w:space="0" w:color="auto"/>
            </w:tcBorders>
            <w:vAlign w:val="center"/>
          </w:tcPr>
          <w:p w14:paraId="28686ED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12,617,742.31</w:t>
            </w:r>
          </w:p>
        </w:tc>
        <w:tc>
          <w:tcPr>
            <w:tcW w:w="3213" w:type="dxa"/>
            <w:tcBorders>
              <w:top w:val="single" w:sz="2" w:space="0" w:color="auto"/>
              <w:left w:val="single" w:sz="2" w:space="0" w:color="auto"/>
              <w:bottom w:val="single" w:sz="2" w:space="0" w:color="auto"/>
              <w:right w:val="single" w:sz="2" w:space="0" w:color="auto"/>
            </w:tcBorders>
            <w:vAlign w:val="center"/>
          </w:tcPr>
          <w:p w14:paraId="4971FB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11,182,904.25</w:t>
            </w:r>
          </w:p>
        </w:tc>
      </w:tr>
      <w:tr w:rsidR="00F73301" w:rsidRPr="00F73301" w14:paraId="2529DC8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454930"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4315C51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35,639,989.62</w:t>
            </w:r>
          </w:p>
        </w:tc>
        <w:tc>
          <w:tcPr>
            <w:tcW w:w="3213" w:type="dxa"/>
            <w:tcBorders>
              <w:top w:val="single" w:sz="2" w:space="0" w:color="auto"/>
              <w:left w:val="single" w:sz="2" w:space="0" w:color="auto"/>
              <w:bottom w:val="single" w:sz="2" w:space="0" w:color="auto"/>
              <w:right w:val="single" w:sz="2" w:space="0" w:color="auto"/>
            </w:tcBorders>
            <w:vAlign w:val="center"/>
          </w:tcPr>
          <w:p w14:paraId="35374A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17,183,936.05</w:t>
            </w:r>
          </w:p>
        </w:tc>
      </w:tr>
      <w:tr w:rsidR="00F73301" w:rsidRPr="00F73301" w14:paraId="3B2FFC1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FE63F0"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Investment income from associates and joint ventures</w:t>
            </w:r>
          </w:p>
        </w:tc>
        <w:tc>
          <w:tcPr>
            <w:tcW w:w="3213" w:type="dxa"/>
            <w:tcBorders>
              <w:top w:val="single" w:sz="2" w:space="0" w:color="auto"/>
              <w:left w:val="single" w:sz="2" w:space="0" w:color="auto"/>
              <w:bottom w:val="single" w:sz="2" w:space="0" w:color="auto"/>
              <w:right w:val="single" w:sz="2" w:space="0" w:color="auto"/>
            </w:tcBorders>
            <w:vAlign w:val="center"/>
          </w:tcPr>
          <w:p w14:paraId="274CC4C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26EBC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7FEFA4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E62305" w14:textId="77777777" w:rsidR="00F73301" w:rsidRPr="00F73301" w:rsidRDefault="00F73301" w:rsidP="008C49B7">
            <w:pPr>
              <w:snapToGrid w:val="0"/>
              <w:ind w:firstLineChars="700" w:firstLine="1260"/>
              <w:rPr>
                <w:rFonts w:ascii="Times New Roman" w:eastAsia="宋体" w:hAnsi="Times New Roman" w:cs="Times New Roman"/>
                <w:sz w:val="18"/>
                <w:szCs w:val="18"/>
              </w:rPr>
            </w:pPr>
            <w:r w:rsidRPr="00F73301">
              <w:rPr>
                <w:rFonts w:ascii="Times New Roman" w:eastAsia="宋体" w:hAnsi="Times New Roman" w:cs="Times New Roman"/>
                <w:sz w:val="18"/>
                <w:szCs w:val="18"/>
              </w:rPr>
              <w:t>Gains from derecognition of financial assets at amortized cost</w:t>
            </w:r>
          </w:p>
        </w:tc>
        <w:tc>
          <w:tcPr>
            <w:tcW w:w="3213" w:type="dxa"/>
            <w:tcBorders>
              <w:top w:val="single" w:sz="2" w:space="0" w:color="auto"/>
              <w:left w:val="single" w:sz="2" w:space="0" w:color="auto"/>
              <w:bottom w:val="single" w:sz="2" w:space="0" w:color="auto"/>
              <w:right w:val="single" w:sz="2" w:space="0" w:color="auto"/>
            </w:tcBorders>
            <w:vAlign w:val="center"/>
          </w:tcPr>
          <w:p w14:paraId="29DA408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EB0A8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C88077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D4B349"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Net exposure hedging gains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39EEDF8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01CFA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15E176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9268B8"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Gains from changes in fair value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60C83F8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-15,580,233.35</w:t>
            </w:r>
          </w:p>
        </w:tc>
        <w:tc>
          <w:tcPr>
            <w:tcW w:w="3213" w:type="dxa"/>
            <w:tcBorders>
              <w:top w:val="single" w:sz="2" w:space="0" w:color="auto"/>
              <w:left w:val="single" w:sz="2" w:space="0" w:color="auto"/>
              <w:bottom w:val="single" w:sz="2" w:space="0" w:color="auto"/>
              <w:right w:val="single" w:sz="2" w:space="0" w:color="auto"/>
            </w:tcBorders>
            <w:vAlign w:val="center"/>
          </w:tcPr>
          <w:p w14:paraId="7D3ABC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-11,218,254.41</w:t>
            </w:r>
          </w:p>
        </w:tc>
      </w:tr>
      <w:tr w:rsidR="00F73301" w:rsidRPr="00F73301" w14:paraId="5A72D42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B56892"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Credit impairment loss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477976D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-24,687,662.81</w:t>
            </w:r>
          </w:p>
        </w:tc>
        <w:tc>
          <w:tcPr>
            <w:tcW w:w="3213" w:type="dxa"/>
            <w:tcBorders>
              <w:top w:val="single" w:sz="2" w:space="0" w:color="auto"/>
              <w:left w:val="single" w:sz="2" w:space="0" w:color="auto"/>
              <w:bottom w:val="single" w:sz="2" w:space="0" w:color="auto"/>
              <w:right w:val="single" w:sz="2" w:space="0" w:color="auto"/>
            </w:tcBorders>
            <w:vAlign w:val="center"/>
          </w:tcPr>
          <w:p w14:paraId="19CFF8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-17,891,081.47</w:t>
            </w:r>
          </w:p>
        </w:tc>
      </w:tr>
      <w:tr w:rsidR="00F73301" w:rsidRPr="00F73301" w14:paraId="43DFDE5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41215A"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Assets impairment loss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17A93C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-28,013,316.71</w:t>
            </w:r>
          </w:p>
        </w:tc>
        <w:tc>
          <w:tcPr>
            <w:tcW w:w="3213" w:type="dxa"/>
            <w:tcBorders>
              <w:top w:val="single" w:sz="2" w:space="0" w:color="auto"/>
              <w:left w:val="single" w:sz="2" w:space="0" w:color="auto"/>
              <w:bottom w:val="single" w:sz="2" w:space="0" w:color="auto"/>
              <w:right w:val="single" w:sz="2" w:space="0" w:color="auto"/>
            </w:tcBorders>
            <w:vAlign w:val="center"/>
          </w:tcPr>
          <w:p w14:paraId="5295475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-22,480,380.47</w:t>
            </w:r>
          </w:p>
        </w:tc>
      </w:tr>
      <w:tr w:rsidR="00F73301" w:rsidRPr="00F73301" w14:paraId="5CE7B84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621089"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Gains on asset disposal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132162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370,254.38</w:t>
            </w:r>
          </w:p>
        </w:tc>
        <w:tc>
          <w:tcPr>
            <w:tcW w:w="3213" w:type="dxa"/>
            <w:tcBorders>
              <w:top w:val="single" w:sz="2" w:space="0" w:color="auto"/>
              <w:left w:val="single" w:sz="2" w:space="0" w:color="auto"/>
              <w:bottom w:val="single" w:sz="2" w:space="0" w:color="auto"/>
              <w:right w:val="single" w:sz="2" w:space="0" w:color="auto"/>
            </w:tcBorders>
            <w:vAlign w:val="center"/>
          </w:tcPr>
          <w:p w14:paraId="02DC6A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1,106,188.07</w:t>
            </w:r>
          </w:p>
        </w:tc>
      </w:tr>
      <w:tr w:rsidR="00F73301" w:rsidRPr="00F73301" w14:paraId="7A98C57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95A2F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Operating Profit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47998B1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388,155,768.22</w:t>
            </w:r>
          </w:p>
        </w:tc>
        <w:tc>
          <w:tcPr>
            <w:tcW w:w="3213" w:type="dxa"/>
            <w:tcBorders>
              <w:top w:val="single" w:sz="2" w:space="0" w:color="auto"/>
              <w:left w:val="single" w:sz="2" w:space="0" w:color="auto"/>
              <w:bottom w:val="single" w:sz="2" w:space="0" w:color="auto"/>
              <w:right w:val="single" w:sz="2" w:space="0" w:color="auto"/>
            </w:tcBorders>
            <w:vAlign w:val="center"/>
          </w:tcPr>
          <w:p w14:paraId="6878BA8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516,043,689.30</w:t>
            </w:r>
          </w:p>
        </w:tc>
      </w:tr>
      <w:tr w:rsidR="00F73301" w:rsidRPr="00F73301" w14:paraId="0C3D8DB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DBC90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Add: Non-operating revenue</w:t>
            </w:r>
          </w:p>
        </w:tc>
        <w:tc>
          <w:tcPr>
            <w:tcW w:w="3213" w:type="dxa"/>
            <w:tcBorders>
              <w:top w:val="single" w:sz="2" w:space="0" w:color="auto"/>
              <w:left w:val="single" w:sz="2" w:space="0" w:color="auto"/>
              <w:bottom w:val="single" w:sz="2" w:space="0" w:color="auto"/>
              <w:right w:val="single" w:sz="2" w:space="0" w:color="auto"/>
            </w:tcBorders>
            <w:vAlign w:val="center"/>
          </w:tcPr>
          <w:p w14:paraId="77BB31D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1,076,408.45</w:t>
            </w:r>
          </w:p>
        </w:tc>
        <w:tc>
          <w:tcPr>
            <w:tcW w:w="3213" w:type="dxa"/>
            <w:tcBorders>
              <w:top w:val="single" w:sz="2" w:space="0" w:color="auto"/>
              <w:left w:val="single" w:sz="2" w:space="0" w:color="auto"/>
              <w:bottom w:val="single" w:sz="2" w:space="0" w:color="auto"/>
              <w:right w:val="single" w:sz="2" w:space="0" w:color="auto"/>
            </w:tcBorders>
            <w:vAlign w:val="center"/>
          </w:tcPr>
          <w:p w14:paraId="6374A0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596,865.38</w:t>
            </w:r>
          </w:p>
        </w:tc>
      </w:tr>
      <w:tr w:rsidR="00F73301" w:rsidRPr="00F73301" w14:paraId="0EE5D51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716E3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Less: Non-operating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0A9DB5D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5,925,797.75</w:t>
            </w:r>
          </w:p>
        </w:tc>
        <w:tc>
          <w:tcPr>
            <w:tcW w:w="3213" w:type="dxa"/>
            <w:tcBorders>
              <w:top w:val="single" w:sz="2" w:space="0" w:color="auto"/>
              <w:left w:val="single" w:sz="2" w:space="0" w:color="auto"/>
              <w:bottom w:val="single" w:sz="2" w:space="0" w:color="auto"/>
              <w:right w:val="single" w:sz="2" w:space="0" w:color="auto"/>
            </w:tcBorders>
            <w:vAlign w:val="center"/>
          </w:tcPr>
          <w:p w14:paraId="5F565AC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6,400,043.31</w:t>
            </w:r>
          </w:p>
        </w:tc>
      </w:tr>
      <w:tr w:rsidR="00F73301" w:rsidRPr="00F73301" w14:paraId="356DCC6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2DC2A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III. Total Profit (Total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509169F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383,306,378.92</w:t>
            </w:r>
          </w:p>
        </w:tc>
        <w:tc>
          <w:tcPr>
            <w:tcW w:w="3213" w:type="dxa"/>
            <w:tcBorders>
              <w:top w:val="single" w:sz="2" w:space="0" w:color="auto"/>
              <w:left w:val="single" w:sz="2" w:space="0" w:color="auto"/>
              <w:bottom w:val="single" w:sz="2" w:space="0" w:color="auto"/>
              <w:right w:val="single" w:sz="2" w:space="0" w:color="auto"/>
            </w:tcBorders>
            <w:vAlign w:val="center"/>
          </w:tcPr>
          <w:p w14:paraId="759A244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510,240,511.37</w:t>
            </w:r>
          </w:p>
        </w:tc>
      </w:tr>
      <w:tr w:rsidR="00F73301" w:rsidRPr="00F73301" w14:paraId="4F176F0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4819F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Less: Income tax</w:t>
            </w:r>
          </w:p>
        </w:tc>
        <w:tc>
          <w:tcPr>
            <w:tcW w:w="3213" w:type="dxa"/>
            <w:tcBorders>
              <w:top w:val="single" w:sz="2" w:space="0" w:color="auto"/>
              <w:left w:val="single" w:sz="2" w:space="0" w:color="auto"/>
              <w:bottom w:val="single" w:sz="2" w:space="0" w:color="auto"/>
              <w:right w:val="single" w:sz="2" w:space="0" w:color="auto"/>
            </w:tcBorders>
            <w:vAlign w:val="center"/>
          </w:tcPr>
          <w:p w14:paraId="7919AE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47,828,773.75</w:t>
            </w:r>
          </w:p>
        </w:tc>
        <w:tc>
          <w:tcPr>
            <w:tcW w:w="3213" w:type="dxa"/>
            <w:tcBorders>
              <w:top w:val="single" w:sz="2" w:space="0" w:color="auto"/>
              <w:left w:val="single" w:sz="2" w:space="0" w:color="auto"/>
              <w:bottom w:val="single" w:sz="2" w:space="0" w:color="auto"/>
              <w:right w:val="single" w:sz="2" w:space="0" w:color="auto"/>
            </w:tcBorders>
            <w:vAlign w:val="center"/>
          </w:tcPr>
          <w:p w14:paraId="695077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66,787,892.46</w:t>
            </w:r>
          </w:p>
        </w:tc>
      </w:tr>
      <w:tr w:rsidR="00F73301" w:rsidRPr="00F73301" w14:paraId="695CF3B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0B957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IV. Net Profit (Net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4471F75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335,477,605.17</w:t>
            </w:r>
          </w:p>
        </w:tc>
        <w:tc>
          <w:tcPr>
            <w:tcW w:w="3213" w:type="dxa"/>
            <w:tcBorders>
              <w:top w:val="single" w:sz="2" w:space="0" w:color="auto"/>
              <w:left w:val="single" w:sz="2" w:space="0" w:color="auto"/>
              <w:bottom w:val="single" w:sz="2" w:space="0" w:color="auto"/>
              <w:right w:val="single" w:sz="2" w:space="0" w:color="auto"/>
            </w:tcBorders>
            <w:vAlign w:val="center"/>
          </w:tcPr>
          <w:p w14:paraId="632A507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443,452,618.91</w:t>
            </w:r>
          </w:p>
        </w:tc>
      </w:tr>
      <w:tr w:rsidR="00F73301" w:rsidRPr="00F73301" w14:paraId="33D24AF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FE8634" w14:textId="77777777" w:rsidR="00F73301" w:rsidRPr="00F73301" w:rsidRDefault="00F73301" w:rsidP="008C49B7">
            <w:pPr>
              <w:snapToGrid w:val="0"/>
              <w:ind w:firstLineChars="100" w:firstLine="18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i</w:t>
            </w:r>
            <w:proofErr w:type="spellEnd"/>
            <w:r w:rsidRPr="00F73301">
              <w:rPr>
                <w:rFonts w:ascii="Times New Roman" w:eastAsia="宋体" w:hAnsi="Times New Roman" w:cs="Times New Roman"/>
                <w:sz w:val="18"/>
                <w:szCs w:val="18"/>
              </w:rPr>
              <w:t>. Net profit from continuing operations (net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186F40C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335,477,605.17</w:t>
            </w:r>
          </w:p>
        </w:tc>
        <w:tc>
          <w:tcPr>
            <w:tcW w:w="3213" w:type="dxa"/>
            <w:tcBorders>
              <w:top w:val="single" w:sz="2" w:space="0" w:color="auto"/>
              <w:left w:val="single" w:sz="2" w:space="0" w:color="auto"/>
              <w:bottom w:val="single" w:sz="2" w:space="0" w:color="auto"/>
              <w:right w:val="single" w:sz="2" w:space="0" w:color="auto"/>
            </w:tcBorders>
            <w:vAlign w:val="center"/>
          </w:tcPr>
          <w:p w14:paraId="7F13C0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443,452,618.91</w:t>
            </w:r>
          </w:p>
        </w:tc>
      </w:tr>
      <w:tr w:rsidR="00F73301" w:rsidRPr="00F73301" w14:paraId="20E937A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91C0A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ii. Net profit from discontinued operations (net losses are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63990DA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AE907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338F26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08659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 Other Comprehensive Income after Tax</w:t>
            </w:r>
          </w:p>
        </w:tc>
        <w:tc>
          <w:tcPr>
            <w:tcW w:w="3213" w:type="dxa"/>
            <w:tcBorders>
              <w:top w:val="single" w:sz="2" w:space="0" w:color="auto"/>
              <w:left w:val="single" w:sz="2" w:space="0" w:color="auto"/>
              <w:bottom w:val="single" w:sz="2" w:space="0" w:color="auto"/>
              <w:right w:val="single" w:sz="2" w:space="0" w:color="auto"/>
            </w:tcBorders>
            <w:vAlign w:val="center"/>
          </w:tcPr>
          <w:p w14:paraId="132D7E7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59485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6E887A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B8D148" w14:textId="77777777" w:rsidR="00F73301" w:rsidRPr="00F73301" w:rsidRDefault="00F73301" w:rsidP="008C49B7">
            <w:pPr>
              <w:snapToGrid w:val="0"/>
              <w:ind w:firstLineChars="200" w:firstLine="36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i</w:t>
            </w:r>
            <w:proofErr w:type="spellEnd"/>
            <w:r w:rsidRPr="00F73301">
              <w:rPr>
                <w:rFonts w:ascii="Times New Roman" w:eastAsia="宋体" w:hAnsi="Times New Roman" w:cs="Times New Roman"/>
                <w:sz w:val="18"/>
                <w:szCs w:val="18"/>
              </w:rPr>
              <w:t>. Other comprehensive income that will not be reclassified to profit or loss</w:t>
            </w:r>
          </w:p>
        </w:tc>
        <w:tc>
          <w:tcPr>
            <w:tcW w:w="3213" w:type="dxa"/>
            <w:tcBorders>
              <w:top w:val="single" w:sz="2" w:space="0" w:color="auto"/>
              <w:left w:val="single" w:sz="2" w:space="0" w:color="auto"/>
              <w:bottom w:val="single" w:sz="2" w:space="0" w:color="auto"/>
              <w:right w:val="single" w:sz="2" w:space="0" w:color="auto"/>
            </w:tcBorders>
            <w:vAlign w:val="center"/>
          </w:tcPr>
          <w:p w14:paraId="7F418BE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A0E11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343056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A9BA89"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1. Remeasurement gains or losses of a defined benefit plan</w:t>
            </w:r>
          </w:p>
        </w:tc>
        <w:tc>
          <w:tcPr>
            <w:tcW w:w="3213" w:type="dxa"/>
            <w:tcBorders>
              <w:top w:val="single" w:sz="2" w:space="0" w:color="auto"/>
              <w:left w:val="single" w:sz="2" w:space="0" w:color="auto"/>
              <w:bottom w:val="single" w:sz="2" w:space="0" w:color="auto"/>
              <w:right w:val="single" w:sz="2" w:space="0" w:color="auto"/>
            </w:tcBorders>
            <w:vAlign w:val="center"/>
          </w:tcPr>
          <w:p w14:paraId="0765E69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4B4FD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5FA078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325A70"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2. Other comprehensive income </w:t>
            </w:r>
            <w:r w:rsidRPr="00F73301">
              <w:rPr>
                <w:rFonts w:ascii="Times New Roman" w:eastAsia="宋体" w:hAnsi="Times New Roman" w:cs="Times New Roman"/>
                <w:sz w:val="18"/>
                <w:szCs w:val="18"/>
              </w:rPr>
              <w:lastRenderedPageBreak/>
              <w:t>using the equity method that will not be reclassified to profit or loss</w:t>
            </w:r>
          </w:p>
        </w:tc>
        <w:tc>
          <w:tcPr>
            <w:tcW w:w="3213" w:type="dxa"/>
            <w:tcBorders>
              <w:top w:val="single" w:sz="2" w:space="0" w:color="auto"/>
              <w:left w:val="single" w:sz="2" w:space="0" w:color="auto"/>
              <w:bottom w:val="single" w:sz="2" w:space="0" w:color="auto"/>
              <w:right w:val="single" w:sz="2" w:space="0" w:color="auto"/>
            </w:tcBorders>
            <w:vAlign w:val="center"/>
          </w:tcPr>
          <w:p w14:paraId="0FC472B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71FCB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02607F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006FE3"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3. Changes in fair value of other equity instrument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6FD10BD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C00FA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FB8818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0B3C7B"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4. Changes in fair value of enterprise's own credit risk</w:t>
            </w:r>
          </w:p>
        </w:tc>
        <w:tc>
          <w:tcPr>
            <w:tcW w:w="3213" w:type="dxa"/>
            <w:tcBorders>
              <w:top w:val="single" w:sz="2" w:space="0" w:color="auto"/>
              <w:left w:val="single" w:sz="2" w:space="0" w:color="auto"/>
              <w:bottom w:val="single" w:sz="2" w:space="0" w:color="auto"/>
              <w:right w:val="single" w:sz="2" w:space="0" w:color="auto"/>
            </w:tcBorders>
            <w:vAlign w:val="center"/>
          </w:tcPr>
          <w:p w14:paraId="201C20A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1DE3C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2426A7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E7E25"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5. Others</w:t>
            </w:r>
          </w:p>
        </w:tc>
        <w:tc>
          <w:tcPr>
            <w:tcW w:w="3213" w:type="dxa"/>
            <w:tcBorders>
              <w:top w:val="single" w:sz="2" w:space="0" w:color="auto"/>
              <w:left w:val="single" w:sz="2" w:space="0" w:color="auto"/>
              <w:bottom w:val="single" w:sz="2" w:space="0" w:color="auto"/>
              <w:right w:val="single" w:sz="2" w:space="0" w:color="auto"/>
            </w:tcBorders>
            <w:vAlign w:val="center"/>
          </w:tcPr>
          <w:p w14:paraId="324A4AC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22848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2AF032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FBE92B"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ii. Other comprehensive income to be reclassified to profit or loss</w:t>
            </w:r>
          </w:p>
        </w:tc>
        <w:tc>
          <w:tcPr>
            <w:tcW w:w="3213" w:type="dxa"/>
            <w:tcBorders>
              <w:top w:val="single" w:sz="2" w:space="0" w:color="auto"/>
              <w:left w:val="single" w:sz="2" w:space="0" w:color="auto"/>
              <w:bottom w:val="single" w:sz="2" w:space="0" w:color="auto"/>
              <w:right w:val="single" w:sz="2" w:space="0" w:color="auto"/>
            </w:tcBorders>
            <w:vAlign w:val="center"/>
          </w:tcPr>
          <w:p w14:paraId="332CF37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84AB5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F2269F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18A604"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1. Other comprehensive income that can be reclassified to profit or loss in equity method</w:t>
            </w:r>
          </w:p>
        </w:tc>
        <w:tc>
          <w:tcPr>
            <w:tcW w:w="3213" w:type="dxa"/>
            <w:tcBorders>
              <w:top w:val="single" w:sz="2" w:space="0" w:color="auto"/>
              <w:left w:val="single" w:sz="2" w:space="0" w:color="auto"/>
              <w:bottom w:val="single" w:sz="2" w:space="0" w:color="auto"/>
              <w:right w:val="single" w:sz="2" w:space="0" w:color="auto"/>
            </w:tcBorders>
            <w:vAlign w:val="center"/>
          </w:tcPr>
          <w:p w14:paraId="5FA5BFC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BBAE8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5B425A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475616"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2. Changes in fair value of other debt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39BE566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062B3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AAE7C6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168277"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3. Amount of financial assets reclassified into other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1997EB8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3404F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BA6D08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E72FCB"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4. Allowance for credit impairment of other debt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5A21574F"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1F665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0E5160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99D314"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5. Cash flow hedging reserves</w:t>
            </w:r>
          </w:p>
        </w:tc>
        <w:tc>
          <w:tcPr>
            <w:tcW w:w="3213" w:type="dxa"/>
            <w:tcBorders>
              <w:top w:val="single" w:sz="2" w:space="0" w:color="auto"/>
              <w:left w:val="single" w:sz="2" w:space="0" w:color="auto"/>
              <w:bottom w:val="single" w:sz="2" w:space="0" w:color="auto"/>
              <w:right w:val="single" w:sz="2" w:space="0" w:color="auto"/>
            </w:tcBorders>
            <w:vAlign w:val="center"/>
          </w:tcPr>
          <w:p w14:paraId="1D43ADF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758E6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7891C5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8AFA1C"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6. Exchange differences on translation of foreign currency financial statements</w:t>
            </w:r>
          </w:p>
        </w:tc>
        <w:tc>
          <w:tcPr>
            <w:tcW w:w="3213" w:type="dxa"/>
            <w:tcBorders>
              <w:top w:val="single" w:sz="2" w:space="0" w:color="auto"/>
              <w:left w:val="single" w:sz="2" w:space="0" w:color="auto"/>
              <w:bottom w:val="single" w:sz="2" w:space="0" w:color="auto"/>
              <w:right w:val="single" w:sz="2" w:space="0" w:color="auto"/>
            </w:tcBorders>
            <w:vAlign w:val="center"/>
          </w:tcPr>
          <w:p w14:paraId="21A9EFC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602C1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5D7750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1029B6"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7. Others</w:t>
            </w:r>
          </w:p>
        </w:tc>
        <w:tc>
          <w:tcPr>
            <w:tcW w:w="3213" w:type="dxa"/>
            <w:tcBorders>
              <w:top w:val="single" w:sz="2" w:space="0" w:color="auto"/>
              <w:left w:val="single" w:sz="2" w:space="0" w:color="auto"/>
              <w:bottom w:val="single" w:sz="2" w:space="0" w:color="auto"/>
              <w:right w:val="single" w:sz="2" w:space="0" w:color="auto"/>
            </w:tcBorders>
            <w:vAlign w:val="center"/>
          </w:tcPr>
          <w:p w14:paraId="211D26A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61827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8BEA9E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B1B7B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VI. Total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0DE161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335,477,605.17</w:t>
            </w:r>
          </w:p>
        </w:tc>
        <w:tc>
          <w:tcPr>
            <w:tcW w:w="3213" w:type="dxa"/>
            <w:tcBorders>
              <w:top w:val="single" w:sz="2" w:space="0" w:color="auto"/>
              <w:left w:val="single" w:sz="2" w:space="0" w:color="auto"/>
              <w:bottom w:val="single" w:sz="2" w:space="0" w:color="auto"/>
              <w:right w:val="single" w:sz="2" w:space="0" w:color="auto"/>
            </w:tcBorders>
            <w:vAlign w:val="center"/>
          </w:tcPr>
          <w:p w14:paraId="1A6B7D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443,452,618.91</w:t>
            </w:r>
          </w:p>
        </w:tc>
      </w:tr>
      <w:tr w:rsidR="00F73301" w:rsidRPr="00F73301" w14:paraId="4509040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87FF4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VII. Earnings per Share (EPS):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58CE70"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F46666"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34496EA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EBC055" w14:textId="77777777" w:rsidR="00F73301" w:rsidRPr="00F73301" w:rsidRDefault="00F73301" w:rsidP="008C49B7">
            <w:pPr>
              <w:snapToGrid w:val="0"/>
              <w:ind w:firstLineChars="100" w:firstLine="18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i</w:t>
            </w:r>
            <w:proofErr w:type="spellEnd"/>
            <w:r w:rsidRPr="00F73301">
              <w:rPr>
                <w:rFonts w:ascii="Times New Roman" w:eastAsia="宋体" w:hAnsi="Times New Roman" w:cs="Times New Roman"/>
                <w:sz w:val="18"/>
                <w:szCs w:val="18"/>
              </w:rPr>
              <w:t>. Basic EPS</w:t>
            </w:r>
          </w:p>
        </w:tc>
        <w:tc>
          <w:tcPr>
            <w:tcW w:w="3213" w:type="dxa"/>
            <w:tcBorders>
              <w:top w:val="single" w:sz="2" w:space="0" w:color="auto"/>
              <w:left w:val="single" w:sz="2" w:space="0" w:color="auto"/>
              <w:bottom w:val="single" w:sz="2" w:space="0" w:color="auto"/>
              <w:right w:val="single" w:sz="2" w:space="0" w:color="auto"/>
            </w:tcBorders>
            <w:vAlign w:val="center"/>
          </w:tcPr>
          <w:p w14:paraId="403E3D2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BD6E9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35319E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25D80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ii. Diluted EPS</w:t>
            </w:r>
          </w:p>
        </w:tc>
        <w:tc>
          <w:tcPr>
            <w:tcW w:w="3213" w:type="dxa"/>
            <w:tcBorders>
              <w:top w:val="single" w:sz="2" w:space="0" w:color="auto"/>
              <w:left w:val="single" w:sz="2" w:space="0" w:color="auto"/>
              <w:bottom w:val="single" w:sz="2" w:space="0" w:color="auto"/>
              <w:right w:val="single" w:sz="2" w:space="0" w:color="auto"/>
            </w:tcBorders>
            <w:vAlign w:val="center"/>
          </w:tcPr>
          <w:p w14:paraId="46DE421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9A3E41" w14:textId="77777777" w:rsidR="00F73301" w:rsidRPr="00F73301" w:rsidRDefault="00F73301" w:rsidP="008C49B7">
            <w:pPr>
              <w:snapToGrid w:val="0"/>
              <w:jc w:val="right"/>
              <w:rPr>
                <w:rFonts w:ascii="Times New Roman" w:eastAsia="宋体" w:hAnsi="Times New Roman" w:cs="Times New Roman"/>
                <w:sz w:val="18"/>
                <w:szCs w:val="18"/>
              </w:rPr>
            </w:pPr>
          </w:p>
        </w:tc>
      </w:tr>
    </w:tbl>
    <w:p w14:paraId="3616A2E4" w14:textId="77777777" w:rsidR="00F73301" w:rsidRPr="00F73301" w:rsidRDefault="00F73301" w:rsidP="00F73301">
      <w:pPr>
        <w:keepNext/>
        <w:keepLines/>
        <w:snapToGrid w:val="0"/>
        <w:spacing w:beforeLines="50" w:before="156" w:afterLines="50" w:after="156"/>
        <w:outlineLvl w:val="2"/>
        <w:rPr>
          <w:rFonts w:ascii="Times New Roman" w:eastAsia="宋体" w:hAnsi="Times New Roman" w:cs="Times New Roman"/>
          <w:b/>
          <w:bCs/>
          <w:sz w:val="24"/>
          <w:szCs w:val="24"/>
        </w:rPr>
      </w:pPr>
      <w:bookmarkStart w:id="101" w:name="_Toc988989"/>
      <w:r w:rsidRPr="00F73301">
        <w:rPr>
          <w:rFonts w:ascii="Times New Roman" w:eastAsia="宋体" w:hAnsi="Times New Roman" w:cs="Times New Roman"/>
          <w:b/>
          <w:bCs/>
          <w:sz w:val="24"/>
          <w:szCs w:val="24"/>
        </w:rPr>
        <w:t>5. Consolidated statement of cash flows</w:t>
      </w:r>
      <w:bookmarkEnd w:id="101"/>
    </w:p>
    <w:p w14:paraId="1D73E018"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3213"/>
        <w:gridCol w:w="3213"/>
        <w:gridCol w:w="3213"/>
      </w:tblGrid>
      <w:tr w:rsidR="00F73301" w:rsidRPr="00F73301" w14:paraId="7B53ECD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68B55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017C0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2023 mid-year</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0120C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2022 mid-year</w:t>
            </w:r>
          </w:p>
        </w:tc>
      </w:tr>
      <w:tr w:rsidR="00F73301" w:rsidRPr="00F73301" w14:paraId="5CED1F2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B0E0A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 Cash Flows from Operating Activities: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A70829"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F0EE27"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0C2780F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D175A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sale of goods and the rendering of services</w:t>
            </w:r>
          </w:p>
        </w:tc>
        <w:tc>
          <w:tcPr>
            <w:tcW w:w="3213" w:type="dxa"/>
            <w:tcBorders>
              <w:top w:val="single" w:sz="2" w:space="0" w:color="auto"/>
              <w:left w:val="single" w:sz="2" w:space="0" w:color="auto"/>
              <w:bottom w:val="single" w:sz="2" w:space="0" w:color="auto"/>
              <w:right w:val="single" w:sz="2" w:space="0" w:color="auto"/>
            </w:tcBorders>
            <w:vAlign w:val="center"/>
          </w:tcPr>
          <w:p w14:paraId="719BA15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2,452,430,301.15</w:t>
            </w:r>
          </w:p>
        </w:tc>
        <w:tc>
          <w:tcPr>
            <w:tcW w:w="3213" w:type="dxa"/>
            <w:tcBorders>
              <w:top w:val="single" w:sz="2" w:space="0" w:color="auto"/>
              <w:left w:val="single" w:sz="2" w:space="0" w:color="auto"/>
              <w:bottom w:val="single" w:sz="2" w:space="0" w:color="auto"/>
              <w:right w:val="single" w:sz="2" w:space="0" w:color="auto"/>
            </w:tcBorders>
            <w:vAlign w:val="center"/>
          </w:tcPr>
          <w:p w14:paraId="7A899B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2,277,856,067.76</w:t>
            </w:r>
          </w:p>
        </w:tc>
      </w:tr>
      <w:tr w:rsidR="00F73301" w:rsidRPr="00F73301" w14:paraId="7560B08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8A5FB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in customer bank deposits and due to banks and other financial institutions</w:t>
            </w:r>
          </w:p>
        </w:tc>
        <w:tc>
          <w:tcPr>
            <w:tcW w:w="3213" w:type="dxa"/>
            <w:tcBorders>
              <w:top w:val="single" w:sz="2" w:space="0" w:color="auto"/>
              <w:left w:val="single" w:sz="2" w:space="0" w:color="auto"/>
              <w:bottom w:val="single" w:sz="2" w:space="0" w:color="auto"/>
              <w:right w:val="single" w:sz="2" w:space="0" w:color="auto"/>
            </w:tcBorders>
            <w:vAlign w:val="center"/>
          </w:tcPr>
          <w:p w14:paraId="7186B1D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6268F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F6B384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620A9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in loans from the central bank</w:t>
            </w:r>
          </w:p>
        </w:tc>
        <w:tc>
          <w:tcPr>
            <w:tcW w:w="3213" w:type="dxa"/>
            <w:tcBorders>
              <w:top w:val="single" w:sz="2" w:space="0" w:color="auto"/>
              <w:left w:val="single" w:sz="2" w:space="0" w:color="auto"/>
              <w:bottom w:val="single" w:sz="2" w:space="0" w:color="auto"/>
              <w:right w:val="single" w:sz="2" w:space="0" w:color="auto"/>
            </w:tcBorders>
            <w:vAlign w:val="center"/>
          </w:tcPr>
          <w:p w14:paraId="613DC00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FD106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F49C65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5AD51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in funds borrowed from other financial institutions</w:t>
            </w:r>
          </w:p>
        </w:tc>
        <w:tc>
          <w:tcPr>
            <w:tcW w:w="3213" w:type="dxa"/>
            <w:tcBorders>
              <w:top w:val="single" w:sz="2" w:space="0" w:color="auto"/>
              <w:left w:val="single" w:sz="2" w:space="0" w:color="auto"/>
              <w:bottom w:val="single" w:sz="2" w:space="0" w:color="auto"/>
              <w:right w:val="single" w:sz="2" w:space="0" w:color="auto"/>
            </w:tcBorders>
            <w:vAlign w:val="center"/>
          </w:tcPr>
          <w:p w14:paraId="2AAE5A6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CFFDD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D2F476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4B027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premiums received on original insurance contracts</w:t>
            </w:r>
          </w:p>
        </w:tc>
        <w:tc>
          <w:tcPr>
            <w:tcW w:w="3213" w:type="dxa"/>
            <w:tcBorders>
              <w:top w:val="single" w:sz="2" w:space="0" w:color="auto"/>
              <w:left w:val="single" w:sz="2" w:space="0" w:color="auto"/>
              <w:bottom w:val="single" w:sz="2" w:space="0" w:color="auto"/>
              <w:right w:val="single" w:sz="2" w:space="0" w:color="auto"/>
            </w:tcBorders>
            <w:vAlign w:val="center"/>
          </w:tcPr>
          <w:p w14:paraId="24A9BF8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24ADE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FC14D7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D45E1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received from re-insurance business</w:t>
            </w:r>
          </w:p>
        </w:tc>
        <w:tc>
          <w:tcPr>
            <w:tcW w:w="3213" w:type="dxa"/>
            <w:tcBorders>
              <w:top w:val="single" w:sz="2" w:space="0" w:color="auto"/>
              <w:left w:val="single" w:sz="2" w:space="0" w:color="auto"/>
              <w:bottom w:val="single" w:sz="2" w:space="0" w:color="auto"/>
              <w:right w:val="single" w:sz="2" w:space="0" w:color="auto"/>
            </w:tcBorders>
            <w:vAlign w:val="center"/>
          </w:tcPr>
          <w:p w14:paraId="632A805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8B016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8A54CB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C5BD0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in deposits and investments from insurers</w:t>
            </w:r>
          </w:p>
        </w:tc>
        <w:tc>
          <w:tcPr>
            <w:tcW w:w="3213" w:type="dxa"/>
            <w:tcBorders>
              <w:top w:val="single" w:sz="2" w:space="0" w:color="auto"/>
              <w:left w:val="single" w:sz="2" w:space="0" w:color="auto"/>
              <w:bottom w:val="single" w:sz="2" w:space="0" w:color="auto"/>
              <w:right w:val="single" w:sz="2" w:space="0" w:color="auto"/>
            </w:tcBorders>
            <w:vAlign w:val="center"/>
          </w:tcPr>
          <w:p w14:paraId="1DF2680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8C9E6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629A76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7D52B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received from interest, fees and commission</w:t>
            </w:r>
          </w:p>
        </w:tc>
        <w:tc>
          <w:tcPr>
            <w:tcW w:w="3213" w:type="dxa"/>
            <w:tcBorders>
              <w:top w:val="single" w:sz="2" w:space="0" w:color="auto"/>
              <w:left w:val="single" w:sz="2" w:space="0" w:color="auto"/>
              <w:bottom w:val="single" w:sz="2" w:space="0" w:color="auto"/>
              <w:right w:val="single" w:sz="2" w:space="0" w:color="auto"/>
            </w:tcBorders>
            <w:vAlign w:val="center"/>
          </w:tcPr>
          <w:p w14:paraId="6ADAF37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BB3D4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ACC6C5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08DF1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in funds deposit</w:t>
            </w:r>
          </w:p>
        </w:tc>
        <w:tc>
          <w:tcPr>
            <w:tcW w:w="3213" w:type="dxa"/>
            <w:tcBorders>
              <w:top w:val="single" w:sz="2" w:space="0" w:color="auto"/>
              <w:left w:val="single" w:sz="2" w:space="0" w:color="auto"/>
              <w:bottom w:val="single" w:sz="2" w:space="0" w:color="auto"/>
              <w:right w:val="single" w:sz="2" w:space="0" w:color="auto"/>
            </w:tcBorders>
            <w:vAlign w:val="center"/>
          </w:tcPr>
          <w:p w14:paraId="5A63045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AA640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EDE89D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65DD0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in repurchase business funds</w:t>
            </w:r>
          </w:p>
        </w:tc>
        <w:tc>
          <w:tcPr>
            <w:tcW w:w="3213" w:type="dxa"/>
            <w:tcBorders>
              <w:top w:val="single" w:sz="2" w:space="0" w:color="auto"/>
              <w:left w:val="single" w:sz="2" w:space="0" w:color="auto"/>
              <w:bottom w:val="single" w:sz="2" w:space="0" w:color="auto"/>
              <w:right w:val="single" w:sz="2" w:space="0" w:color="auto"/>
            </w:tcBorders>
            <w:vAlign w:val="center"/>
          </w:tcPr>
          <w:p w14:paraId="31DCA2E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61E6C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473879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5A4C7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income from securities trading brokerage business</w:t>
            </w:r>
          </w:p>
        </w:tc>
        <w:tc>
          <w:tcPr>
            <w:tcW w:w="3213" w:type="dxa"/>
            <w:tcBorders>
              <w:top w:val="single" w:sz="2" w:space="0" w:color="auto"/>
              <w:left w:val="single" w:sz="2" w:space="0" w:color="auto"/>
              <w:bottom w:val="single" w:sz="2" w:space="0" w:color="auto"/>
              <w:right w:val="single" w:sz="2" w:space="0" w:color="auto"/>
            </w:tcBorders>
            <w:vAlign w:val="center"/>
          </w:tcPr>
          <w:p w14:paraId="1534C29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1994F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D90335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26765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Tax refunds received</w:t>
            </w:r>
          </w:p>
        </w:tc>
        <w:tc>
          <w:tcPr>
            <w:tcW w:w="3213" w:type="dxa"/>
            <w:tcBorders>
              <w:top w:val="single" w:sz="2" w:space="0" w:color="auto"/>
              <w:left w:val="single" w:sz="2" w:space="0" w:color="auto"/>
              <w:bottom w:val="single" w:sz="2" w:space="0" w:color="auto"/>
              <w:right w:val="single" w:sz="2" w:space="0" w:color="auto"/>
            </w:tcBorders>
            <w:vAlign w:val="center"/>
          </w:tcPr>
          <w:p w14:paraId="6197AFF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14,608,149.92</w:t>
            </w:r>
          </w:p>
        </w:tc>
        <w:tc>
          <w:tcPr>
            <w:tcW w:w="3213" w:type="dxa"/>
            <w:tcBorders>
              <w:top w:val="single" w:sz="2" w:space="0" w:color="auto"/>
              <w:left w:val="single" w:sz="2" w:space="0" w:color="auto"/>
              <w:bottom w:val="single" w:sz="2" w:space="0" w:color="auto"/>
              <w:right w:val="single" w:sz="2" w:space="0" w:color="auto"/>
            </w:tcBorders>
            <w:vAlign w:val="center"/>
          </w:tcPr>
          <w:p w14:paraId="134588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163,969,692.82</w:t>
            </w:r>
          </w:p>
        </w:tc>
      </w:tr>
      <w:tr w:rsidR="00F73301" w:rsidRPr="00F73301" w14:paraId="4E3A220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0F483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received relating to other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7552EA5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96,123,721.95</w:t>
            </w:r>
          </w:p>
        </w:tc>
        <w:tc>
          <w:tcPr>
            <w:tcW w:w="3213" w:type="dxa"/>
            <w:tcBorders>
              <w:top w:val="single" w:sz="2" w:space="0" w:color="auto"/>
              <w:left w:val="single" w:sz="2" w:space="0" w:color="auto"/>
              <w:bottom w:val="single" w:sz="2" w:space="0" w:color="auto"/>
              <w:right w:val="single" w:sz="2" w:space="0" w:color="auto"/>
            </w:tcBorders>
            <w:vAlign w:val="center"/>
          </w:tcPr>
          <w:p w14:paraId="08F5869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256,990,450.93</w:t>
            </w:r>
          </w:p>
        </w:tc>
      </w:tr>
      <w:tr w:rsidR="00F73301" w:rsidRPr="00F73301" w14:paraId="468DF20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957F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inflows from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5DEF7E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2,563,162,173.02</w:t>
            </w:r>
          </w:p>
        </w:tc>
        <w:tc>
          <w:tcPr>
            <w:tcW w:w="3213" w:type="dxa"/>
            <w:tcBorders>
              <w:top w:val="single" w:sz="2" w:space="0" w:color="auto"/>
              <w:left w:val="single" w:sz="2" w:space="0" w:color="auto"/>
              <w:bottom w:val="single" w:sz="2" w:space="0" w:color="auto"/>
              <w:right w:val="single" w:sz="2" w:space="0" w:color="auto"/>
            </w:tcBorders>
            <w:vAlign w:val="center"/>
          </w:tcPr>
          <w:p w14:paraId="47DEB9E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2,698,816,211.51</w:t>
            </w:r>
          </w:p>
        </w:tc>
      </w:tr>
      <w:tr w:rsidR="00F73301" w:rsidRPr="00F73301" w14:paraId="45E0EB8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8B226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paid for purchase of goods and services</w:t>
            </w:r>
          </w:p>
        </w:tc>
        <w:tc>
          <w:tcPr>
            <w:tcW w:w="3213" w:type="dxa"/>
            <w:tcBorders>
              <w:top w:val="single" w:sz="2" w:space="0" w:color="auto"/>
              <w:left w:val="single" w:sz="2" w:space="0" w:color="auto"/>
              <w:bottom w:val="single" w:sz="2" w:space="0" w:color="auto"/>
              <w:right w:val="single" w:sz="2" w:space="0" w:color="auto"/>
            </w:tcBorders>
            <w:vAlign w:val="center"/>
          </w:tcPr>
          <w:p w14:paraId="4AB4A3A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1,632,313,479.29</w:t>
            </w:r>
          </w:p>
        </w:tc>
        <w:tc>
          <w:tcPr>
            <w:tcW w:w="3213" w:type="dxa"/>
            <w:tcBorders>
              <w:top w:val="single" w:sz="2" w:space="0" w:color="auto"/>
              <w:left w:val="single" w:sz="2" w:space="0" w:color="auto"/>
              <w:bottom w:val="single" w:sz="2" w:space="0" w:color="auto"/>
              <w:right w:val="single" w:sz="2" w:space="0" w:color="auto"/>
            </w:tcBorders>
            <w:vAlign w:val="center"/>
          </w:tcPr>
          <w:p w14:paraId="0EF7721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1,513,576,028.72</w:t>
            </w:r>
          </w:p>
        </w:tc>
      </w:tr>
      <w:tr w:rsidR="00F73301" w:rsidRPr="00F73301" w14:paraId="14AE2A3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B911C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of loans and advances to clients</w:t>
            </w:r>
          </w:p>
        </w:tc>
        <w:tc>
          <w:tcPr>
            <w:tcW w:w="3213" w:type="dxa"/>
            <w:tcBorders>
              <w:top w:val="single" w:sz="2" w:space="0" w:color="auto"/>
              <w:left w:val="single" w:sz="2" w:space="0" w:color="auto"/>
              <w:bottom w:val="single" w:sz="2" w:space="0" w:color="auto"/>
              <w:right w:val="single" w:sz="2" w:space="0" w:color="auto"/>
            </w:tcBorders>
            <w:vAlign w:val="center"/>
          </w:tcPr>
          <w:p w14:paraId="36EB064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5CEAF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52AB9D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76EC0"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Net increase in deposits with central bank and other financial institutions</w:t>
            </w:r>
          </w:p>
        </w:tc>
        <w:tc>
          <w:tcPr>
            <w:tcW w:w="3213" w:type="dxa"/>
            <w:tcBorders>
              <w:top w:val="single" w:sz="2" w:space="0" w:color="auto"/>
              <w:left w:val="single" w:sz="2" w:space="0" w:color="auto"/>
              <w:bottom w:val="single" w:sz="2" w:space="0" w:color="auto"/>
              <w:right w:val="single" w:sz="2" w:space="0" w:color="auto"/>
            </w:tcBorders>
            <w:vAlign w:val="center"/>
          </w:tcPr>
          <w:p w14:paraId="6480C0F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77E8C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21A733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2958B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insurance indemnities of original insurance contracts</w:t>
            </w:r>
          </w:p>
        </w:tc>
        <w:tc>
          <w:tcPr>
            <w:tcW w:w="3213" w:type="dxa"/>
            <w:tcBorders>
              <w:top w:val="single" w:sz="2" w:space="0" w:color="auto"/>
              <w:left w:val="single" w:sz="2" w:space="0" w:color="auto"/>
              <w:bottom w:val="single" w:sz="2" w:space="0" w:color="auto"/>
              <w:right w:val="single" w:sz="2" w:space="0" w:color="auto"/>
            </w:tcBorders>
            <w:vAlign w:val="center"/>
          </w:tcPr>
          <w:p w14:paraId="143DEB0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6E575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52A2C0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C3A69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in funds lent</w:t>
            </w:r>
          </w:p>
        </w:tc>
        <w:tc>
          <w:tcPr>
            <w:tcW w:w="3213" w:type="dxa"/>
            <w:tcBorders>
              <w:top w:val="single" w:sz="2" w:space="0" w:color="auto"/>
              <w:left w:val="single" w:sz="2" w:space="0" w:color="auto"/>
              <w:bottom w:val="single" w:sz="2" w:space="0" w:color="auto"/>
              <w:right w:val="single" w:sz="2" w:space="0" w:color="auto"/>
            </w:tcBorders>
            <w:vAlign w:val="center"/>
          </w:tcPr>
          <w:p w14:paraId="1BDA574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522A3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36EDA6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E84DF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received from interest, fees and commission</w:t>
            </w:r>
          </w:p>
        </w:tc>
        <w:tc>
          <w:tcPr>
            <w:tcW w:w="3213" w:type="dxa"/>
            <w:tcBorders>
              <w:top w:val="single" w:sz="2" w:space="0" w:color="auto"/>
              <w:left w:val="single" w:sz="2" w:space="0" w:color="auto"/>
              <w:bottom w:val="single" w:sz="2" w:space="0" w:color="auto"/>
              <w:right w:val="single" w:sz="2" w:space="0" w:color="auto"/>
            </w:tcBorders>
            <w:vAlign w:val="center"/>
          </w:tcPr>
          <w:p w14:paraId="5404619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1FA0F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C8C80D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BE785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policy bonus</w:t>
            </w:r>
          </w:p>
        </w:tc>
        <w:tc>
          <w:tcPr>
            <w:tcW w:w="3213" w:type="dxa"/>
            <w:tcBorders>
              <w:top w:val="single" w:sz="2" w:space="0" w:color="auto"/>
              <w:left w:val="single" w:sz="2" w:space="0" w:color="auto"/>
              <w:bottom w:val="single" w:sz="2" w:space="0" w:color="auto"/>
              <w:right w:val="single" w:sz="2" w:space="0" w:color="auto"/>
            </w:tcBorders>
            <w:vAlign w:val="center"/>
          </w:tcPr>
          <w:p w14:paraId="1C1C6FC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F9505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05C6E1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375A0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paid to and on behalf of employees</w:t>
            </w:r>
          </w:p>
        </w:tc>
        <w:tc>
          <w:tcPr>
            <w:tcW w:w="3213" w:type="dxa"/>
            <w:tcBorders>
              <w:top w:val="single" w:sz="2" w:space="0" w:color="auto"/>
              <w:left w:val="single" w:sz="2" w:space="0" w:color="auto"/>
              <w:bottom w:val="single" w:sz="2" w:space="0" w:color="auto"/>
              <w:right w:val="single" w:sz="2" w:space="0" w:color="auto"/>
            </w:tcBorders>
            <w:vAlign w:val="center"/>
          </w:tcPr>
          <w:p w14:paraId="6786631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505,062,544.18</w:t>
            </w:r>
          </w:p>
        </w:tc>
        <w:tc>
          <w:tcPr>
            <w:tcW w:w="3213" w:type="dxa"/>
            <w:tcBorders>
              <w:top w:val="single" w:sz="2" w:space="0" w:color="auto"/>
              <w:left w:val="single" w:sz="2" w:space="0" w:color="auto"/>
              <w:bottom w:val="single" w:sz="2" w:space="0" w:color="auto"/>
              <w:right w:val="single" w:sz="2" w:space="0" w:color="auto"/>
            </w:tcBorders>
            <w:vAlign w:val="center"/>
          </w:tcPr>
          <w:p w14:paraId="29933B7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457,358,760.50</w:t>
            </w:r>
          </w:p>
        </w:tc>
      </w:tr>
      <w:tr w:rsidR="00F73301" w:rsidRPr="00F73301" w14:paraId="1CDAEBA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F739F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taxes and rates</w:t>
            </w:r>
          </w:p>
        </w:tc>
        <w:tc>
          <w:tcPr>
            <w:tcW w:w="3213" w:type="dxa"/>
            <w:tcBorders>
              <w:top w:val="single" w:sz="2" w:space="0" w:color="auto"/>
              <w:left w:val="single" w:sz="2" w:space="0" w:color="auto"/>
              <w:bottom w:val="single" w:sz="2" w:space="0" w:color="auto"/>
              <w:right w:val="single" w:sz="2" w:space="0" w:color="auto"/>
            </w:tcBorders>
            <w:vAlign w:val="center"/>
          </w:tcPr>
          <w:p w14:paraId="5B78D1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86,765,050.16</w:t>
            </w:r>
          </w:p>
        </w:tc>
        <w:tc>
          <w:tcPr>
            <w:tcW w:w="3213" w:type="dxa"/>
            <w:tcBorders>
              <w:top w:val="single" w:sz="2" w:space="0" w:color="auto"/>
              <w:left w:val="single" w:sz="2" w:space="0" w:color="auto"/>
              <w:bottom w:val="single" w:sz="2" w:space="0" w:color="auto"/>
              <w:right w:val="single" w:sz="2" w:space="0" w:color="auto"/>
            </w:tcBorders>
            <w:vAlign w:val="center"/>
          </w:tcPr>
          <w:p w14:paraId="4516F5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47,703,526.90</w:t>
            </w:r>
          </w:p>
        </w:tc>
      </w:tr>
      <w:tr w:rsidR="00F73301" w:rsidRPr="00F73301" w14:paraId="5FD34AA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8E187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payments related to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074C6D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68,469,837.26</w:t>
            </w:r>
          </w:p>
        </w:tc>
        <w:tc>
          <w:tcPr>
            <w:tcW w:w="3213" w:type="dxa"/>
            <w:tcBorders>
              <w:top w:val="single" w:sz="2" w:space="0" w:color="auto"/>
              <w:left w:val="single" w:sz="2" w:space="0" w:color="auto"/>
              <w:bottom w:val="single" w:sz="2" w:space="0" w:color="auto"/>
              <w:right w:val="single" w:sz="2" w:space="0" w:color="auto"/>
            </w:tcBorders>
            <w:vAlign w:val="center"/>
          </w:tcPr>
          <w:p w14:paraId="1A057E8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180,105,962.41</w:t>
            </w:r>
          </w:p>
        </w:tc>
      </w:tr>
      <w:tr w:rsidR="00F73301" w:rsidRPr="00F73301" w14:paraId="3F2775F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E37AB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outflows from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7CE802C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2,292,610,910.89</w:t>
            </w:r>
          </w:p>
        </w:tc>
        <w:tc>
          <w:tcPr>
            <w:tcW w:w="3213" w:type="dxa"/>
            <w:tcBorders>
              <w:top w:val="single" w:sz="2" w:space="0" w:color="auto"/>
              <w:left w:val="single" w:sz="2" w:space="0" w:color="auto"/>
              <w:bottom w:val="single" w:sz="2" w:space="0" w:color="auto"/>
              <w:right w:val="single" w:sz="2" w:space="0" w:color="auto"/>
            </w:tcBorders>
            <w:vAlign w:val="center"/>
          </w:tcPr>
          <w:p w14:paraId="6BBFFBB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2,198,744,278.53</w:t>
            </w:r>
          </w:p>
        </w:tc>
      </w:tr>
      <w:tr w:rsidR="00F73301" w:rsidRPr="00F73301" w14:paraId="40E94B4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E5554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flows from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640568B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270,551,262.13</w:t>
            </w:r>
          </w:p>
        </w:tc>
        <w:tc>
          <w:tcPr>
            <w:tcW w:w="3213" w:type="dxa"/>
            <w:tcBorders>
              <w:top w:val="single" w:sz="2" w:space="0" w:color="auto"/>
              <w:left w:val="single" w:sz="2" w:space="0" w:color="auto"/>
              <w:bottom w:val="single" w:sz="2" w:space="0" w:color="auto"/>
              <w:right w:val="single" w:sz="2" w:space="0" w:color="auto"/>
            </w:tcBorders>
            <w:vAlign w:val="center"/>
          </w:tcPr>
          <w:p w14:paraId="3E904D1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500,071,932.98</w:t>
            </w:r>
          </w:p>
        </w:tc>
      </w:tr>
      <w:tr w:rsidR="00F73301" w:rsidRPr="00F73301" w14:paraId="77583AE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FAF02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Cash Flows from Investing Activities: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DB51C5"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DCD15B"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4353B0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D91F5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withdrawal of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3A93271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14:paraId="3A4F6DD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5,003,831.75</w:t>
            </w:r>
          </w:p>
        </w:tc>
      </w:tr>
      <w:tr w:rsidR="00F73301" w:rsidRPr="00F73301" w14:paraId="10835AF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2558C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investment income</w:t>
            </w:r>
          </w:p>
        </w:tc>
        <w:tc>
          <w:tcPr>
            <w:tcW w:w="3213" w:type="dxa"/>
            <w:tcBorders>
              <w:top w:val="single" w:sz="2" w:space="0" w:color="auto"/>
              <w:left w:val="single" w:sz="2" w:space="0" w:color="auto"/>
              <w:bottom w:val="single" w:sz="2" w:space="0" w:color="auto"/>
              <w:right w:val="single" w:sz="2" w:space="0" w:color="auto"/>
            </w:tcBorders>
            <w:vAlign w:val="center"/>
          </w:tcPr>
          <w:p w14:paraId="08CC76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3,537,699.25</w:t>
            </w:r>
          </w:p>
        </w:tc>
        <w:tc>
          <w:tcPr>
            <w:tcW w:w="3213" w:type="dxa"/>
            <w:tcBorders>
              <w:top w:val="single" w:sz="2" w:space="0" w:color="auto"/>
              <w:left w:val="single" w:sz="2" w:space="0" w:color="auto"/>
              <w:bottom w:val="single" w:sz="2" w:space="0" w:color="auto"/>
              <w:right w:val="single" w:sz="2" w:space="0" w:color="auto"/>
            </w:tcBorders>
            <w:vAlign w:val="center"/>
          </w:tcPr>
          <w:p w14:paraId="26E0936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19,157,181.45</w:t>
            </w:r>
          </w:p>
        </w:tc>
      </w:tr>
      <w:tr w:rsidR="00F73301" w:rsidRPr="00F73301" w14:paraId="7A0460A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4678D3"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receipts from the disposal of fixed assets, intangible assets and other long-term assets</w:t>
            </w:r>
          </w:p>
        </w:tc>
        <w:tc>
          <w:tcPr>
            <w:tcW w:w="3213" w:type="dxa"/>
            <w:tcBorders>
              <w:top w:val="single" w:sz="2" w:space="0" w:color="auto"/>
              <w:left w:val="single" w:sz="2" w:space="0" w:color="auto"/>
              <w:bottom w:val="single" w:sz="2" w:space="0" w:color="auto"/>
              <w:right w:val="single" w:sz="2" w:space="0" w:color="auto"/>
            </w:tcBorders>
            <w:vAlign w:val="center"/>
          </w:tcPr>
          <w:p w14:paraId="1C95F31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5,597,048.62</w:t>
            </w:r>
          </w:p>
        </w:tc>
        <w:tc>
          <w:tcPr>
            <w:tcW w:w="3213" w:type="dxa"/>
            <w:tcBorders>
              <w:top w:val="single" w:sz="2" w:space="0" w:color="auto"/>
              <w:left w:val="single" w:sz="2" w:space="0" w:color="auto"/>
              <w:bottom w:val="single" w:sz="2" w:space="0" w:color="auto"/>
              <w:right w:val="single" w:sz="2" w:space="0" w:color="auto"/>
            </w:tcBorders>
            <w:vAlign w:val="center"/>
          </w:tcPr>
          <w:p w14:paraId="3F9CB6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579,400.00</w:t>
            </w:r>
          </w:p>
        </w:tc>
      </w:tr>
      <w:tr w:rsidR="00F73301" w:rsidRPr="00F73301" w14:paraId="6590C8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FD2E94"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receipts from the disposal of subsidiaries &amp; other business units</w:t>
            </w:r>
          </w:p>
        </w:tc>
        <w:tc>
          <w:tcPr>
            <w:tcW w:w="3213" w:type="dxa"/>
            <w:tcBorders>
              <w:top w:val="single" w:sz="2" w:space="0" w:color="auto"/>
              <w:left w:val="single" w:sz="2" w:space="0" w:color="auto"/>
              <w:bottom w:val="single" w:sz="2" w:space="0" w:color="auto"/>
              <w:right w:val="single" w:sz="2" w:space="0" w:color="auto"/>
            </w:tcBorders>
            <w:vAlign w:val="center"/>
          </w:tcPr>
          <w:p w14:paraId="4FF0AEE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734E5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E0A3DF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559FE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receipts related to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35E392E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181,578,359.99</w:t>
            </w:r>
          </w:p>
        </w:tc>
        <w:tc>
          <w:tcPr>
            <w:tcW w:w="3213" w:type="dxa"/>
            <w:tcBorders>
              <w:top w:val="single" w:sz="2" w:space="0" w:color="auto"/>
              <w:left w:val="single" w:sz="2" w:space="0" w:color="auto"/>
              <w:bottom w:val="single" w:sz="2" w:space="0" w:color="auto"/>
              <w:right w:val="single" w:sz="2" w:space="0" w:color="auto"/>
            </w:tcBorders>
            <w:vAlign w:val="center"/>
          </w:tcPr>
          <w:p w14:paraId="768817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1,012,789,515.30</w:t>
            </w:r>
          </w:p>
        </w:tc>
      </w:tr>
      <w:tr w:rsidR="00F73301" w:rsidRPr="00F73301" w14:paraId="5711EE8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F8953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inflows from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6081EA7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250,713,107.86</w:t>
            </w:r>
          </w:p>
        </w:tc>
        <w:tc>
          <w:tcPr>
            <w:tcW w:w="3213" w:type="dxa"/>
            <w:tcBorders>
              <w:top w:val="single" w:sz="2" w:space="0" w:color="auto"/>
              <w:left w:val="single" w:sz="2" w:space="0" w:color="auto"/>
              <w:bottom w:val="single" w:sz="2" w:space="0" w:color="auto"/>
              <w:right w:val="single" w:sz="2" w:space="0" w:color="auto"/>
            </w:tcBorders>
            <w:vAlign w:val="center"/>
          </w:tcPr>
          <w:p w14:paraId="730D0F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1,037,529,928.50</w:t>
            </w:r>
          </w:p>
        </w:tc>
      </w:tr>
      <w:tr w:rsidR="00F73301" w:rsidRPr="00F73301" w14:paraId="64E5E30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F8387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the acquisition of fixed assets, intangible assets and other long-term assets</w:t>
            </w:r>
          </w:p>
        </w:tc>
        <w:tc>
          <w:tcPr>
            <w:tcW w:w="3213" w:type="dxa"/>
            <w:tcBorders>
              <w:top w:val="single" w:sz="2" w:space="0" w:color="auto"/>
              <w:left w:val="single" w:sz="2" w:space="0" w:color="auto"/>
              <w:bottom w:val="single" w:sz="2" w:space="0" w:color="auto"/>
              <w:right w:val="single" w:sz="2" w:space="0" w:color="auto"/>
            </w:tcBorders>
            <w:vAlign w:val="center"/>
          </w:tcPr>
          <w:p w14:paraId="7E9AE00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262,988,113.51</w:t>
            </w:r>
          </w:p>
        </w:tc>
        <w:tc>
          <w:tcPr>
            <w:tcW w:w="3213" w:type="dxa"/>
            <w:tcBorders>
              <w:top w:val="single" w:sz="2" w:space="0" w:color="auto"/>
              <w:left w:val="single" w:sz="2" w:space="0" w:color="auto"/>
              <w:bottom w:val="single" w:sz="2" w:space="0" w:color="auto"/>
              <w:right w:val="single" w:sz="2" w:space="0" w:color="auto"/>
            </w:tcBorders>
            <w:vAlign w:val="center"/>
          </w:tcPr>
          <w:p w14:paraId="1691729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544,425,555.67</w:t>
            </w:r>
          </w:p>
        </w:tc>
      </w:tr>
      <w:tr w:rsidR="00F73301" w:rsidRPr="00F73301" w14:paraId="0C751FE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44152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68ED6D0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17,830,331.94</w:t>
            </w:r>
          </w:p>
        </w:tc>
        <w:tc>
          <w:tcPr>
            <w:tcW w:w="3213" w:type="dxa"/>
            <w:tcBorders>
              <w:top w:val="single" w:sz="2" w:space="0" w:color="auto"/>
              <w:left w:val="single" w:sz="2" w:space="0" w:color="auto"/>
              <w:bottom w:val="single" w:sz="2" w:space="0" w:color="auto"/>
              <w:right w:val="single" w:sz="2" w:space="0" w:color="auto"/>
            </w:tcBorders>
            <w:vAlign w:val="center"/>
          </w:tcPr>
          <w:p w14:paraId="777CDE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388,228,138.00</w:t>
            </w:r>
          </w:p>
        </w:tc>
      </w:tr>
      <w:tr w:rsidR="00F73301" w:rsidRPr="00F73301" w14:paraId="56C8590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55A5EE"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in pledged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64CB5A1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4C6B9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99494B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0BF480"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payments for the acquisition of subsidiaries &amp; other business units</w:t>
            </w:r>
          </w:p>
        </w:tc>
        <w:tc>
          <w:tcPr>
            <w:tcW w:w="3213" w:type="dxa"/>
            <w:tcBorders>
              <w:top w:val="single" w:sz="2" w:space="0" w:color="auto"/>
              <w:left w:val="single" w:sz="2" w:space="0" w:color="auto"/>
              <w:bottom w:val="single" w:sz="2" w:space="0" w:color="auto"/>
              <w:right w:val="single" w:sz="2" w:space="0" w:color="auto"/>
            </w:tcBorders>
            <w:vAlign w:val="center"/>
          </w:tcPr>
          <w:p w14:paraId="68AFAA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162,575,790.01</w:t>
            </w:r>
          </w:p>
        </w:tc>
        <w:tc>
          <w:tcPr>
            <w:tcW w:w="3213" w:type="dxa"/>
            <w:tcBorders>
              <w:top w:val="single" w:sz="2" w:space="0" w:color="auto"/>
              <w:left w:val="single" w:sz="2" w:space="0" w:color="auto"/>
              <w:bottom w:val="single" w:sz="2" w:space="0" w:color="auto"/>
              <w:right w:val="single" w:sz="2" w:space="0" w:color="auto"/>
            </w:tcBorders>
            <w:vAlign w:val="center"/>
          </w:tcPr>
          <w:p w14:paraId="36313A4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F57493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195CA2"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payments related to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0C03A9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44,814,600.07</w:t>
            </w:r>
          </w:p>
        </w:tc>
        <w:tc>
          <w:tcPr>
            <w:tcW w:w="3213" w:type="dxa"/>
            <w:tcBorders>
              <w:top w:val="single" w:sz="2" w:space="0" w:color="auto"/>
              <w:left w:val="single" w:sz="2" w:space="0" w:color="auto"/>
              <w:bottom w:val="single" w:sz="2" w:space="0" w:color="auto"/>
              <w:right w:val="single" w:sz="2" w:space="0" w:color="auto"/>
            </w:tcBorders>
            <w:vAlign w:val="center"/>
          </w:tcPr>
          <w:p w14:paraId="038062B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937,429,979.73</w:t>
            </w:r>
          </w:p>
        </w:tc>
      </w:tr>
      <w:tr w:rsidR="00F73301" w:rsidRPr="00F73301" w14:paraId="7A99114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9FA05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outflows from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40D5E9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488,208,835.53</w:t>
            </w:r>
          </w:p>
        </w:tc>
        <w:tc>
          <w:tcPr>
            <w:tcW w:w="3213" w:type="dxa"/>
            <w:tcBorders>
              <w:top w:val="single" w:sz="2" w:space="0" w:color="auto"/>
              <w:left w:val="single" w:sz="2" w:space="0" w:color="auto"/>
              <w:bottom w:val="single" w:sz="2" w:space="0" w:color="auto"/>
              <w:right w:val="single" w:sz="2" w:space="0" w:color="auto"/>
            </w:tcBorders>
            <w:vAlign w:val="center"/>
          </w:tcPr>
          <w:p w14:paraId="6979A41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1,870,083,673.40</w:t>
            </w:r>
          </w:p>
        </w:tc>
      </w:tr>
      <w:tr w:rsidR="00F73301" w:rsidRPr="00F73301" w14:paraId="6C64EA1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387B2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flows from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5AD86C9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-237,495,727.67</w:t>
            </w:r>
          </w:p>
        </w:tc>
        <w:tc>
          <w:tcPr>
            <w:tcW w:w="3213" w:type="dxa"/>
            <w:tcBorders>
              <w:top w:val="single" w:sz="2" w:space="0" w:color="auto"/>
              <w:left w:val="single" w:sz="2" w:space="0" w:color="auto"/>
              <w:bottom w:val="single" w:sz="2" w:space="0" w:color="auto"/>
              <w:right w:val="single" w:sz="2" w:space="0" w:color="auto"/>
            </w:tcBorders>
            <w:vAlign w:val="center"/>
          </w:tcPr>
          <w:p w14:paraId="3BCAC14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-832,553,744.90</w:t>
            </w:r>
          </w:p>
        </w:tc>
      </w:tr>
      <w:tr w:rsidR="00F73301" w:rsidRPr="00F73301" w14:paraId="32105D4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75BB3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III. Cash Flows from Financing Activities: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9C09D2"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3172DE"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3C589BD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D65FB4"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absorbing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1322551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1,472,662,356.10</w:t>
            </w:r>
          </w:p>
        </w:tc>
        <w:tc>
          <w:tcPr>
            <w:tcW w:w="3213" w:type="dxa"/>
            <w:tcBorders>
              <w:top w:val="single" w:sz="2" w:space="0" w:color="auto"/>
              <w:left w:val="single" w:sz="2" w:space="0" w:color="auto"/>
              <w:bottom w:val="single" w:sz="2" w:space="0" w:color="auto"/>
              <w:right w:val="single" w:sz="2" w:space="0" w:color="auto"/>
            </w:tcBorders>
            <w:vAlign w:val="center"/>
          </w:tcPr>
          <w:p w14:paraId="2727C90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AAD21B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5F4FB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Cash received by subsidiaries from non-controlling shareholders as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1981D35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95320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19872F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F2536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217650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731,103,016.22</w:t>
            </w:r>
          </w:p>
        </w:tc>
        <w:tc>
          <w:tcPr>
            <w:tcW w:w="3213" w:type="dxa"/>
            <w:tcBorders>
              <w:top w:val="single" w:sz="2" w:space="0" w:color="auto"/>
              <w:left w:val="single" w:sz="2" w:space="0" w:color="auto"/>
              <w:bottom w:val="single" w:sz="2" w:space="0" w:color="auto"/>
              <w:right w:val="single" w:sz="2" w:space="0" w:color="auto"/>
            </w:tcBorders>
            <w:vAlign w:val="center"/>
          </w:tcPr>
          <w:p w14:paraId="52FD7C5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551,525,998.01</w:t>
            </w:r>
          </w:p>
        </w:tc>
      </w:tr>
      <w:tr w:rsidR="00F73301" w:rsidRPr="00F73301" w14:paraId="369A1D6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7E771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receipts related to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7EACA57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55CCA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8BEC1A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67E63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inflows from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19F7C35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2,203,765,372.32</w:t>
            </w:r>
          </w:p>
        </w:tc>
        <w:tc>
          <w:tcPr>
            <w:tcW w:w="3213" w:type="dxa"/>
            <w:tcBorders>
              <w:top w:val="single" w:sz="2" w:space="0" w:color="auto"/>
              <w:left w:val="single" w:sz="2" w:space="0" w:color="auto"/>
              <w:bottom w:val="single" w:sz="2" w:space="0" w:color="auto"/>
              <w:right w:val="single" w:sz="2" w:space="0" w:color="auto"/>
            </w:tcBorders>
            <w:vAlign w:val="center"/>
          </w:tcPr>
          <w:p w14:paraId="510DC80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551,525,998.01</w:t>
            </w:r>
          </w:p>
        </w:tc>
      </w:tr>
      <w:tr w:rsidR="00F73301" w:rsidRPr="00F73301" w14:paraId="57C6969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18F89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the repayment of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7E05A48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275,811,515.93</w:t>
            </w:r>
          </w:p>
        </w:tc>
        <w:tc>
          <w:tcPr>
            <w:tcW w:w="3213" w:type="dxa"/>
            <w:tcBorders>
              <w:top w:val="single" w:sz="2" w:space="0" w:color="auto"/>
              <w:left w:val="single" w:sz="2" w:space="0" w:color="auto"/>
              <w:bottom w:val="single" w:sz="2" w:space="0" w:color="auto"/>
              <w:right w:val="single" w:sz="2" w:space="0" w:color="auto"/>
            </w:tcBorders>
            <w:vAlign w:val="center"/>
          </w:tcPr>
          <w:p w14:paraId="3985A98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438,857,367.37</w:t>
            </w:r>
          </w:p>
        </w:tc>
      </w:tr>
      <w:tr w:rsidR="00F73301" w:rsidRPr="00F73301" w14:paraId="7D56804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8CB95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distribution of dividends or profits and for interest expenses</w:t>
            </w:r>
          </w:p>
        </w:tc>
        <w:tc>
          <w:tcPr>
            <w:tcW w:w="3213" w:type="dxa"/>
            <w:tcBorders>
              <w:top w:val="single" w:sz="2" w:space="0" w:color="auto"/>
              <w:left w:val="single" w:sz="2" w:space="0" w:color="auto"/>
              <w:bottom w:val="single" w:sz="2" w:space="0" w:color="auto"/>
              <w:right w:val="single" w:sz="2" w:space="0" w:color="auto"/>
            </w:tcBorders>
            <w:vAlign w:val="center"/>
          </w:tcPr>
          <w:p w14:paraId="49AEE9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285,839,512.83</w:t>
            </w:r>
          </w:p>
        </w:tc>
        <w:tc>
          <w:tcPr>
            <w:tcW w:w="3213" w:type="dxa"/>
            <w:tcBorders>
              <w:top w:val="single" w:sz="2" w:space="0" w:color="auto"/>
              <w:left w:val="single" w:sz="2" w:space="0" w:color="auto"/>
              <w:bottom w:val="single" w:sz="2" w:space="0" w:color="auto"/>
              <w:right w:val="single" w:sz="2" w:space="0" w:color="auto"/>
            </w:tcBorders>
            <w:vAlign w:val="center"/>
          </w:tcPr>
          <w:p w14:paraId="564DAF9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120,563,966.54</w:t>
            </w:r>
          </w:p>
        </w:tc>
      </w:tr>
      <w:tr w:rsidR="00F73301" w:rsidRPr="00F73301" w14:paraId="5747B7F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835198"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Dividends or profit paid to non-controlling shareholders of subsidiaries</w:t>
            </w:r>
          </w:p>
        </w:tc>
        <w:tc>
          <w:tcPr>
            <w:tcW w:w="3213" w:type="dxa"/>
            <w:tcBorders>
              <w:top w:val="single" w:sz="2" w:space="0" w:color="auto"/>
              <w:left w:val="single" w:sz="2" w:space="0" w:color="auto"/>
              <w:bottom w:val="single" w:sz="2" w:space="0" w:color="auto"/>
              <w:right w:val="single" w:sz="2" w:space="0" w:color="auto"/>
            </w:tcBorders>
            <w:vAlign w:val="center"/>
          </w:tcPr>
          <w:p w14:paraId="1ADE2A8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12760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3ED156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69B0D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payments related to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72B1D25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10,670,468.69</w:t>
            </w:r>
          </w:p>
        </w:tc>
        <w:tc>
          <w:tcPr>
            <w:tcW w:w="3213" w:type="dxa"/>
            <w:tcBorders>
              <w:top w:val="single" w:sz="2" w:space="0" w:color="auto"/>
              <w:left w:val="single" w:sz="2" w:space="0" w:color="auto"/>
              <w:bottom w:val="single" w:sz="2" w:space="0" w:color="auto"/>
              <w:right w:val="single" w:sz="2" w:space="0" w:color="auto"/>
            </w:tcBorders>
            <w:vAlign w:val="center"/>
          </w:tcPr>
          <w:p w14:paraId="2AE024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2,460,000.00</w:t>
            </w:r>
          </w:p>
        </w:tc>
      </w:tr>
      <w:tr w:rsidR="00F73301" w:rsidRPr="00F73301" w14:paraId="7238E1F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5A447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outflows from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470075F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572,321,497.45</w:t>
            </w:r>
          </w:p>
        </w:tc>
        <w:tc>
          <w:tcPr>
            <w:tcW w:w="3213" w:type="dxa"/>
            <w:tcBorders>
              <w:top w:val="single" w:sz="2" w:space="0" w:color="auto"/>
              <w:left w:val="single" w:sz="2" w:space="0" w:color="auto"/>
              <w:bottom w:val="single" w:sz="2" w:space="0" w:color="auto"/>
              <w:right w:val="single" w:sz="2" w:space="0" w:color="auto"/>
            </w:tcBorders>
            <w:vAlign w:val="center"/>
          </w:tcPr>
          <w:p w14:paraId="77BB946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561,881,333.91</w:t>
            </w:r>
          </w:p>
        </w:tc>
      </w:tr>
      <w:tr w:rsidR="00F73301" w:rsidRPr="00F73301" w14:paraId="48EA266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40F97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flows from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56AF7A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1,631,443,874.87</w:t>
            </w:r>
          </w:p>
        </w:tc>
        <w:tc>
          <w:tcPr>
            <w:tcW w:w="3213" w:type="dxa"/>
            <w:tcBorders>
              <w:top w:val="single" w:sz="2" w:space="0" w:color="auto"/>
              <w:left w:val="single" w:sz="2" w:space="0" w:color="auto"/>
              <w:bottom w:val="single" w:sz="2" w:space="0" w:color="auto"/>
              <w:right w:val="single" w:sz="2" w:space="0" w:color="auto"/>
            </w:tcBorders>
            <w:vAlign w:val="center"/>
          </w:tcPr>
          <w:p w14:paraId="2508427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-10,355,335.90</w:t>
            </w:r>
          </w:p>
        </w:tc>
      </w:tr>
      <w:tr w:rsidR="00F73301" w:rsidRPr="00F73301" w14:paraId="457360D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CFCAC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IV. Effect of Foreign Exchange Rate </w:t>
            </w:r>
            <w:r w:rsidRPr="00F73301">
              <w:rPr>
                <w:rFonts w:ascii="Times New Roman" w:eastAsia="宋体" w:hAnsi="Times New Roman" w:cs="Times New Roman"/>
                <w:sz w:val="18"/>
                <w:szCs w:val="18"/>
              </w:rPr>
              <w:lastRenderedPageBreak/>
              <w:t>Changes on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13A234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91,857,181.69</w:t>
            </w:r>
          </w:p>
        </w:tc>
        <w:tc>
          <w:tcPr>
            <w:tcW w:w="3213" w:type="dxa"/>
            <w:tcBorders>
              <w:top w:val="single" w:sz="2" w:space="0" w:color="auto"/>
              <w:left w:val="single" w:sz="2" w:space="0" w:color="auto"/>
              <w:bottom w:val="single" w:sz="2" w:space="0" w:color="auto"/>
              <w:right w:val="single" w:sz="2" w:space="0" w:color="auto"/>
            </w:tcBorders>
            <w:vAlign w:val="center"/>
          </w:tcPr>
          <w:p w14:paraId="50CC37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14,123,371.32</w:t>
            </w:r>
          </w:p>
        </w:tc>
      </w:tr>
      <w:tr w:rsidR="00F73301" w:rsidRPr="00F73301" w14:paraId="44ADA93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57E5D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 Net Increase in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25191DA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1,756,356,591.02</w:t>
            </w:r>
          </w:p>
        </w:tc>
        <w:tc>
          <w:tcPr>
            <w:tcW w:w="3213" w:type="dxa"/>
            <w:tcBorders>
              <w:top w:val="single" w:sz="2" w:space="0" w:color="auto"/>
              <w:left w:val="single" w:sz="2" w:space="0" w:color="auto"/>
              <w:bottom w:val="single" w:sz="2" w:space="0" w:color="auto"/>
              <w:right w:val="single" w:sz="2" w:space="0" w:color="auto"/>
            </w:tcBorders>
            <w:vAlign w:val="center"/>
          </w:tcPr>
          <w:p w14:paraId="4F92901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-328,713,776.50</w:t>
            </w:r>
          </w:p>
        </w:tc>
      </w:tr>
      <w:tr w:rsidR="00F73301" w:rsidRPr="00F73301" w14:paraId="4B71A7D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40FF3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Add: Opening balance of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398CAE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1,429,416,363.84</w:t>
            </w:r>
          </w:p>
        </w:tc>
        <w:tc>
          <w:tcPr>
            <w:tcW w:w="3213" w:type="dxa"/>
            <w:tcBorders>
              <w:top w:val="single" w:sz="2" w:space="0" w:color="auto"/>
              <w:left w:val="single" w:sz="2" w:space="0" w:color="auto"/>
              <w:bottom w:val="single" w:sz="2" w:space="0" w:color="auto"/>
              <w:right w:val="single" w:sz="2" w:space="0" w:color="auto"/>
            </w:tcBorders>
            <w:vAlign w:val="center"/>
          </w:tcPr>
          <w:p w14:paraId="6517570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1,058,650,806.36</w:t>
            </w:r>
          </w:p>
        </w:tc>
      </w:tr>
      <w:tr w:rsidR="00F73301" w:rsidRPr="00F73301" w14:paraId="2E341D8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41B5B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VI. Closing Balance of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0DE4B4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3,185,772,954.86</w:t>
            </w:r>
          </w:p>
        </w:tc>
        <w:tc>
          <w:tcPr>
            <w:tcW w:w="3213" w:type="dxa"/>
            <w:tcBorders>
              <w:top w:val="single" w:sz="2" w:space="0" w:color="auto"/>
              <w:left w:val="single" w:sz="2" w:space="0" w:color="auto"/>
              <w:bottom w:val="single" w:sz="2" w:space="0" w:color="auto"/>
              <w:right w:val="single" w:sz="2" w:space="0" w:color="auto"/>
            </w:tcBorders>
            <w:vAlign w:val="center"/>
          </w:tcPr>
          <w:p w14:paraId="19E2D5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729,937,029.86</w:t>
            </w:r>
          </w:p>
        </w:tc>
      </w:tr>
    </w:tbl>
    <w:p w14:paraId="205CFF56" w14:textId="77777777" w:rsidR="00F73301" w:rsidRPr="00F73301" w:rsidRDefault="00F73301" w:rsidP="00F73301">
      <w:pPr>
        <w:keepNext/>
        <w:keepLines/>
        <w:snapToGrid w:val="0"/>
        <w:spacing w:beforeLines="50" w:before="156" w:afterLines="50" w:after="156"/>
        <w:outlineLvl w:val="2"/>
        <w:rPr>
          <w:rFonts w:ascii="Times New Roman" w:eastAsia="宋体" w:hAnsi="Times New Roman" w:cs="Times New Roman"/>
          <w:b/>
          <w:bCs/>
          <w:sz w:val="24"/>
          <w:szCs w:val="24"/>
        </w:rPr>
      </w:pPr>
      <w:bookmarkStart w:id="102" w:name="_Toc988990"/>
      <w:r w:rsidRPr="00F73301">
        <w:rPr>
          <w:rFonts w:ascii="Times New Roman" w:eastAsia="宋体" w:hAnsi="Times New Roman" w:cs="Times New Roman"/>
          <w:b/>
          <w:bCs/>
          <w:sz w:val="24"/>
          <w:szCs w:val="24"/>
        </w:rPr>
        <w:t>6. Parent company statement of cash flows</w:t>
      </w:r>
      <w:bookmarkEnd w:id="102"/>
    </w:p>
    <w:p w14:paraId="2ABC4A6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3213"/>
        <w:gridCol w:w="3213"/>
        <w:gridCol w:w="3213"/>
      </w:tblGrid>
      <w:tr w:rsidR="00F73301" w:rsidRPr="00F73301" w14:paraId="5854113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801CA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D8F3F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2023 mid-year</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13F96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2022 mid-year</w:t>
            </w:r>
          </w:p>
        </w:tc>
      </w:tr>
      <w:tr w:rsidR="00F73301" w:rsidRPr="00F73301" w14:paraId="31027E0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24CC7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 Cash Flows from Operating Activities: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C58DA9"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D8535A"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FE4CE2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AAE18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sale of goods and the rendering of services</w:t>
            </w:r>
          </w:p>
        </w:tc>
        <w:tc>
          <w:tcPr>
            <w:tcW w:w="3213" w:type="dxa"/>
            <w:tcBorders>
              <w:top w:val="single" w:sz="2" w:space="0" w:color="auto"/>
              <w:left w:val="single" w:sz="2" w:space="0" w:color="auto"/>
              <w:bottom w:val="single" w:sz="2" w:space="0" w:color="auto"/>
              <w:right w:val="single" w:sz="2" w:space="0" w:color="auto"/>
            </w:tcBorders>
            <w:vAlign w:val="center"/>
          </w:tcPr>
          <w:p w14:paraId="019B27A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2,215,090,177.25</w:t>
            </w:r>
          </w:p>
        </w:tc>
        <w:tc>
          <w:tcPr>
            <w:tcW w:w="3213" w:type="dxa"/>
            <w:tcBorders>
              <w:top w:val="single" w:sz="2" w:space="0" w:color="auto"/>
              <w:left w:val="single" w:sz="2" w:space="0" w:color="auto"/>
              <w:bottom w:val="single" w:sz="2" w:space="0" w:color="auto"/>
              <w:right w:val="single" w:sz="2" w:space="0" w:color="auto"/>
            </w:tcBorders>
            <w:vAlign w:val="center"/>
          </w:tcPr>
          <w:p w14:paraId="384DE8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2,584,747,948.82</w:t>
            </w:r>
          </w:p>
        </w:tc>
      </w:tr>
      <w:tr w:rsidR="00F73301" w:rsidRPr="00F73301" w14:paraId="394E873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C4A8A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Tax refunds received</w:t>
            </w:r>
          </w:p>
        </w:tc>
        <w:tc>
          <w:tcPr>
            <w:tcW w:w="3213" w:type="dxa"/>
            <w:tcBorders>
              <w:top w:val="single" w:sz="2" w:space="0" w:color="auto"/>
              <w:left w:val="single" w:sz="2" w:space="0" w:color="auto"/>
              <w:bottom w:val="single" w:sz="2" w:space="0" w:color="auto"/>
              <w:right w:val="single" w:sz="2" w:space="0" w:color="auto"/>
            </w:tcBorders>
            <w:vAlign w:val="center"/>
          </w:tcPr>
          <w:p w14:paraId="3E86A7E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4,966,912.84</w:t>
            </w:r>
          </w:p>
        </w:tc>
        <w:tc>
          <w:tcPr>
            <w:tcW w:w="3213" w:type="dxa"/>
            <w:tcBorders>
              <w:top w:val="single" w:sz="2" w:space="0" w:color="auto"/>
              <w:left w:val="single" w:sz="2" w:space="0" w:color="auto"/>
              <w:bottom w:val="single" w:sz="2" w:space="0" w:color="auto"/>
              <w:right w:val="single" w:sz="2" w:space="0" w:color="auto"/>
            </w:tcBorders>
            <w:vAlign w:val="center"/>
          </w:tcPr>
          <w:p w14:paraId="4EE4C4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122,895,900.48</w:t>
            </w:r>
          </w:p>
        </w:tc>
      </w:tr>
      <w:tr w:rsidR="00F73301" w:rsidRPr="00F73301" w14:paraId="579457C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A5475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received relating to other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23AF3E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68,945,747.95</w:t>
            </w:r>
          </w:p>
        </w:tc>
        <w:tc>
          <w:tcPr>
            <w:tcW w:w="3213" w:type="dxa"/>
            <w:tcBorders>
              <w:top w:val="single" w:sz="2" w:space="0" w:color="auto"/>
              <w:left w:val="single" w:sz="2" w:space="0" w:color="auto"/>
              <w:bottom w:val="single" w:sz="2" w:space="0" w:color="auto"/>
              <w:right w:val="single" w:sz="2" w:space="0" w:color="auto"/>
            </w:tcBorders>
            <w:vAlign w:val="center"/>
          </w:tcPr>
          <w:p w14:paraId="1507640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189,930,075.40</w:t>
            </w:r>
          </w:p>
        </w:tc>
      </w:tr>
      <w:tr w:rsidR="00F73301" w:rsidRPr="00F73301" w14:paraId="0CF93AB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F91A5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inflows from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1F74E87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2,289,002,838.04</w:t>
            </w:r>
          </w:p>
        </w:tc>
        <w:tc>
          <w:tcPr>
            <w:tcW w:w="3213" w:type="dxa"/>
            <w:tcBorders>
              <w:top w:val="single" w:sz="2" w:space="0" w:color="auto"/>
              <w:left w:val="single" w:sz="2" w:space="0" w:color="auto"/>
              <w:bottom w:val="single" w:sz="2" w:space="0" w:color="auto"/>
              <w:right w:val="single" w:sz="2" w:space="0" w:color="auto"/>
            </w:tcBorders>
            <w:vAlign w:val="center"/>
          </w:tcPr>
          <w:p w14:paraId="63068A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2,897,573,924.70</w:t>
            </w:r>
          </w:p>
        </w:tc>
      </w:tr>
      <w:tr w:rsidR="00F73301" w:rsidRPr="00F73301" w14:paraId="1544F25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4F0E8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paid for purchase of goods and services</w:t>
            </w:r>
          </w:p>
        </w:tc>
        <w:tc>
          <w:tcPr>
            <w:tcW w:w="3213" w:type="dxa"/>
            <w:tcBorders>
              <w:top w:val="single" w:sz="2" w:space="0" w:color="auto"/>
              <w:left w:val="single" w:sz="2" w:space="0" w:color="auto"/>
              <w:bottom w:val="single" w:sz="2" w:space="0" w:color="auto"/>
              <w:right w:val="single" w:sz="2" w:space="0" w:color="auto"/>
            </w:tcBorders>
            <w:vAlign w:val="center"/>
          </w:tcPr>
          <w:p w14:paraId="03EDD8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1,953,422,685.24</w:t>
            </w:r>
          </w:p>
        </w:tc>
        <w:tc>
          <w:tcPr>
            <w:tcW w:w="3213" w:type="dxa"/>
            <w:tcBorders>
              <w:top w:val="single" w:sz="2" w:space="0" w:color="auto"/>
              <w:left w:val="single" w:sz="2" w:space="0" w:color="auto"/>
              <w:bottom w:val="single" w:sz="2" w:space="0" w:color="auto"/>
              <w:right w:val="single" w:sz="2" w:space="0" w:color="auto"/>
            </w:tcBorders>
            <w:vAlign w:val="center"/>
          </w:tcPr>
          <w:p w14:paraId="56A865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2,084,277,790.95</w:t>
            </w:r>
          </w:p>
        </w:tc>
      </w:tr>
      <w:tr w:rsidR="00F73301" w:rsidRPr="00F73301" w14:paraId="7D897F1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11690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paid to and on behalf of employees</w:t>
            </w:r>
          </w:p>
        </w:tc>
        <w:tc>
          <w:tcPr>
            <w:tcW w:w="3213" w:type="dxa"/>
            <w:tcBorders>
              <w:top w:val="single" w:sz="2" w:space="0" w:color="auto"/>
              <w:left w:val="single" w:sz="2" w:space="0" w:color="auto"/>
              <w:bottom w:val="single" w:sz="2" w:space="0" w:color="auto"/>
              <w:right w:val="single" w:sz="2" w:space="0" w:color="auto"/>
            </w:tcBorders>
            <w:vAlign w:val="center"/>
          </w:tcPr>
          <w:p w14:paraId="63F78D6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285,891,204.71</w:t>
            </w:r>
          </w:p>
        </w:tc>
        <w:tc>
          <w:tcPr>
            <w:tcW w:w="3213" w:type="dxa"/>
            <w:tcBorders>
              <w:top w:val="single" w:sz="2" w:space="0" w:color="auto"/>
              <w:left w:val="single" w:sz="2" w:space="0" w:color="auto"/>
              <w:bottom w:val="single" w:sz="2" w:space="0" w:color="auto"/>
              <w:right w:val="single" w:sz="2" w:space="0" w:color="auto"/>
            </w:tcBorders>
            <w:vAlign w:val="center"/>
          </w:tcPr>
          <w:p w14:paraId="2AF7BF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276,834,954.91</w:t>
            </w:r>
          </w:p>
        </w:tc>
      </w:tr>
      <w:tr w:rsidR="00F73301" w:rsidRPr="00F73301" w14:paraId="42057AB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DE945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taxes and rates</w:t>
            </w:r>
          </w:p>
        </w:tc>
        <w:tc>
          <w:tcPr>
            <w:tcW w:w="3213" w:type="dxa"/>
            <w:tcBorders>
              <w:top w:val="single" w:sz="2" w:space="0" w:color="auto"/>
              <w:left w:val="single" w:sz="2" w:space="0" w:color="auto"/>
              <w:bottom w:val="single" w:sz="2" w:space="0" w:color="auto"/>
              <w:right w:val="single" w:sz="2" w:space="0" w:color="auto"/>
            </w:tcBorders>
            <w:vAlign w:val="center"/>
          </w:tcPr>
          <w:p w14:paraId="5BECA8F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45,967,214.84</w:t>
            </w:r>
          </w:p>
        </w:tc>
        <w:tc>
          <w:tcPr>
            <w:tcW w:w="3213" w:type="dxa"/>
            <w:tcBorders>
              <w:top w:val="single" w:sz="2" w:space="0" w:color="auto"/>
              <w:left w:val="single" w:sz="2" w:space="0" w:color="auto"/>
              <w:bottom w:val="single" w:sz="2" w:space="0" w:color="auto"/>
              <w:right w:val="single" w:sz="2" w:space="0" w:color="auto"/>
            </w:tcBorders>
            <w:vAlign w:val="center"/>
          </w:tcPr>
          <w:p w14:paraId="211BC9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20,232,878.02</w:t>
            </w:r>
          </w:p>
        </w:tc>
      </w:tr>
      <w:tr w:rsidR="00F73301" w:rsidRPr="00F73301" w14:paraId="5509F5D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40A03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payments related to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354FDFA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35,557,638.56</w:t>
            </w:r>
          </w:p>
        </w:tc>
        <w:tc>
          <w:tcPr>
            <w:tcW w:w="3213" w:type="dxa"/>
            <w:tcBorders>
              <w:top w:val="single" w:sz="2" w:space="0" w:color="auto"/>
              <w:left w:val="single" w:sz="2" w:space="0" w:color="auto"/>
              <w:bottom w:val="single" w:sz="2" w:space="0" w:color="auto"/>
              <w:right w:val="single" w:sz="2" w:space="0" w:color="auto"/>
            </w:tcBorders>
            <w:vAlign w:val="center"/>
          </w:tcPr>
          <w:p w14:paraId="544423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165,644,477.68</w:t>
            </w:r>
          </w:p>
        </w:tc>
      </w:tr>
      <w:tr w:rsidR="00F73301" w:rsidRPr="00F73301" w14:paraId="0B98559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2928E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outflows from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1812D9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2,320,838,743.35</w:t>
            </w:r>
          </w:p>
        </w:tc>
        <w:tc>
          <w:tcPr>
            <w:tcW w:w="3213" w:type="dxa"/>
            <w:tcBorders>
              <w:top w:val="single" w:sz="2" w:space="0" w:color="auto"/>
              <w:left w:val="single" w:sz="2" w:space="0" w:color="auto"/>
              <w:bottom w:val="single" w:sz="2" w:space="0" w:color="auto"/>
              <w:right w:val="single" w:sz="2" w:space="0" w:color="auto"/>
            </w:tcBorders>
            <w:vAlign w:val="center"/>
          </w:tcPr>
          <w:p w14:paraId="263648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2,546,990,101.56</w:t>
            </w:r>
          </w:p>
        </w:tc>
      </w:tr>
      <w:tr w:rsidR="00F73301" w:rsidRPr="00F73301" w14:paraId="787E96A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190D4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flows from operating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521F1AD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-31,835,905.31</w:t>
            </w:r>
          </w:p>
        </w:tc>
        <w:tc>
          <w:tcPr>
            <w:tcW w:w="3213" w:type="dxa"/>
            <w:tcBorders>
              <w:top w:val="single" w:sz="2" w:space="0" w:color="auto"/>
              <w:left w:val="single" w:sz="2" w:space="0" w:color="auto"/>
              <w:bottom w:val="single" w:sz="2" w:space="0" w:color="auto"/>
              <w:right w:val="single" w:sz="2" w:space="0" w:color="auto"/>
            </w:tcBorders>
            <w:vAlign w:val="center"/>
          </w:tcPr>
          <w:p w14:paraId="0E5546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350,583,823.14</w:t>
            </w:r>
          </w:p>
        </w:tc>
      </w:tr>
      <w:tr w:rsidR="00F73301" w:rsidRPr="00F73301" w14:paraId="16A0EEA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65A18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Cash Flows from Investing Activities: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F2F921"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4C6A90"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6273C2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F05C6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withdrawal of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3E16A0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14:paraId="051F20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23,003,831.75</w:t>
            </w:r>
          </w:p>
        </w:tc>
      </w:tr>
      <w:tr w:rsidR="00F73301" w:rsidRPr="00F73301" w14:paraId="4332A0D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3BB2F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investment income</w:t>
            </w:r>
          </w:p>
        </w:tc>
        <w:tc>
          <w:tcPr>
            <w:tcW w:w="3213" w:type="dxa"/>
            <w:tcBorders>
              <w:top w:val="single" w:sz="2" w:space="0" w:color="auto"/>
              <w:left w:val="single" w:sz="2" w:space="0" w:color="auto"/>
              <w:bottom w:val="single" w:sz="2" w:space="0" w:color="auto"/>
              <w:right w:val="single" w:sz="2" w:space="0" w:color="auto"/>
            </w:tcBorders>
            <w:vAlign w:val="center"/>
          </w:tcPr>
          <w:p w14:paraId="5F4E28F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3,063,684.91</w:t>
            </w:r>
          </w:p>
        </w:tc>
        <w:tc>
          <w:tcPr>
            <w:tcW w:w="3213" w:type="dxa"/>
            <w:tcBorders>
              <w:top w:val="single" w:sz="2" w:space="0" w:color="auto"/>
              <w:left w:val="single" w:sz="2" w:space="0" w:color="auto"/>
              <w:bottom w:val="single" w:sz="2" w:space="0" w:color="auto"/>
              <w:right w:val="single" w:sz="2" w:space="0" w:color="auto"/>
            </w:tcBorders>
            <w:vAlign w:val="center"/>
          </w:tcPr>
          <w:p w14:paraId="5486673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18,642,309.57</w:t>
            </w:r>
          </w:p>
        </w:tc>
      </w:tr>
      <w:tr w:rsidR="00F73301" w:rsidRPr="00F73301" w14:paraId="2464F51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52301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receipts from the disposal of fixed assets, intangible assets and other long-term assets</w:t>
            </w:r>
          </w:p>
        </w:tc>
        <w:tc>
          <w:tcPr>
            <w:tcW w:w="3213" w:type="dxa"/>
            <w:tcBorders>
              <w:top w:val="single" w:sz="2" w:space="0" w:color="auto"/>
              <w:left w:val="single" w:sz="2" w:space="0" w:color="auto"/>
              <w:bottom w:val="single" w:sz="2" w:space="0" w:color="auto"/>
              <w:right w:val="single" w:sz="2" w:space="0" w:color="auto"/>
            </w:tcBorders>
            <w:vAlign w:val="center"/>
          </w:tcPr>
          <w:p w14:paraId="540C2B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1,781,300.86</w:t>
            </w:r>
          </w:p>
        </w:tc>
        <w:tc>
          <w:tcPr>
            <w:tcW w:w="3213" w:type="dxa"/>
            <w:tcBorders>
              <w:top w:val="single" w:sz="2" w:space="0" w:color="auto"/>
              <w:left w:val="single" w:sz="2" w:space="0" w:color="auto"/>
              <w:bottom w:val="single" w:sz="2" w:space="0" w:color="auto"/>
              <w:right w:val="single" w:sz="2" w:space="0" w:color="auto"/>
            </w:tcBorders>
            <w:vAlign w:val="center"/>
          </w:tcPr>
          <w:p w14:paraId="71FD7B0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70,900.00</w:t>
            </w:r>
          </w:p>
        </w:tc>
      </w:tr>
      <w:tr w:rsidR="00F73301" w:rsidRPr="00F73301" w14:paraId="61B62F6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1C16E7"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receipts from the disposal of subsidiaries &amp; other business units</w:t>
            </w:r>
          </w:p>
        </w:tc>
        <w:tc>
          <w:tcPr>
            <w:tcW w:w="3213" w:type="dxa"/>
            <w:tcBorders>
              <w:top w:val="single" w:sz="2" w:space="0" w:color="auto"/>
              <w:left w:val="single" w:sz="2" w:space="0" w:color="auto"/>
              <w:bottom w:val="single" w:sz="2" w:space="0" w:color="auto"/>
              <w:right w:val="single" w:sz="2" w:space="0" w:color="auto"/>
            </w:tcBorders>
            <w:vAlign w:val="center"/>
          </w:tcPr>
          <w:p w14:paraId="60A76CB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0194C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4D6558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462FD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receipts related to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10A6B46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226,798,266.52</w:t>
            </w:r>
          </w:p>
        </w:tc>
        <w:tc>
          <w:tcPr>
            <w:tcW w:w="3213" w:type="dxa"/>
            <w:tcBorders>
              <w:top w:val="single" w:sz="2" w:space="0" w:color="auto"/>
              <w:left w:val="single" w:sz="2" w:space="0" w:color="auto"/>
              <w:bottom w:val="single" w:sz="2" w:space="0" w:color="auto"/>
              <w:right w:val="single" w:sz="2" w:space="0" w:color="auto"/>
            </w:tcBorders>
            <w:vAlign w:val="center"/>
          </w:tcPr>
          <w:p w14:paraId="6664D1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989,769,515.30</w:t>
            </w:r>
          </w:p>
        </w:tc>
      </w:tr>
      <w:tr w:rsidR="00F73301" w:rsidRPr="00F73301" w14:paraId="080A6B7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9AF89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inflows from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6D40E5E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291,643,252.29</w:t>
            </w:r>
          </w:p>
        </w:tc>
        <w:tc>
          <w:tcPr>
            <w:tcW w:w="3213" w:type="dxa"/>
            <w:tcBorders>
              <w:top w:val="single" w:sz="2" w:space="0" w:color="auto"/>
              <w:left w:val="single" w:sz="2" w:space="0" w:color="auto"/>
              <w:bottom w:val="single" w:sz="2" w:space="0" w:color="auto"/>
              <w:right w:val="single" w:sz="2" w:space="0" w:color="auto"/>
            </w:tcBorders>
            <w:vAlign w:val="center"/>
          </w:tcPr>
          <w:p w14:paraId="6DC05F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1,031,486,556.62</w:t>
            </w:r>
          </w:p>
        </w:tc>
      </w:tr>
      <w:tr w:rsidR="00F73301" w:rsidRPr="00F73301" w14:paraId="2B5EA45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CA22B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the acquisition of fixed assets, intangible assets and other long-term assets</w:t>
            </w:r>
          </w:p>
        </w:tc>
        <w:tc>
          <w:tcPr>
            <w:tcW w:w="3213" w:type="dxa"/>
            <w:tcBorders>
              <w:top w:val="single" w:sz="2" w:space="0" w:color="auto"/>
              <w:left w:val="single" w:sz="2" w:space="0" w:color="auto"/>
              <w:bottom w:val="single" w:sz="2" w:space="0" w:color="auto"/>
              <w:right w:val="single" w:sz="2" w:space="0" w:color="auto"/>
            </w:tcBorders>
            <w:vAlign w:val="center"/>
          </w:tcPr>
          <w:p w14:paraId="6FA319A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70,057,251.57</w:t>
            </w:r>
          </w:p>
        </w:tc>
        <w:tc>
          <w:tcPr>
            <w:tcW w:w="3213" w:type="dxa"/>
            <w:tcBorders>
              <w:top w:val="single" w:sz="2" w:space="0" w:color="auto"/>
              <w:left w:val="single" w:sz="2" w:space="0" w:color="auto"/>
              <w:bottom w:val="single" w:sz="2" w:space="0" w:color="auto"/>
              <w:right w:val="single" w:sz="2" w:space="0" w:color="auto"/>
            </w:tcBorders>
            <w:vAlign w:val="center"/>
          </w:tcPr>
          <w:p w14:paraId="5F1B0A1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390,868,394.76</w:t>
            </w:r>
          </w:p>
        </w:tc>
      </w:tr>
      <w:tr w:rsidR="00F73301" w:rsidRPr="00F73301" w14:paraId="426D61D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D2855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6F52A3E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49,930,331.94</w:t>
            </w:r>
          </w:p>
        </w:tc>
        <w:tc>
          <w:tcPr>
            <w:tcW w:w="3213" w:type="dxa"/>
            <w:tcBorders>
              <w:top w:val="single" w:sz="2" w:space="0" w:color="auto"/>
              <w:left w:val="single" w:sz="2" w:space="0" w:color="auto"/>
              <w:bottom w:val="single" w:sz="2" w:space="0" w:color="auto"/>
              <w:right w:val="single" w:sz="2" w:space="0" w:color="auto"/>
            </w:tcBorders>
            <w:vAlign w:val="center"/>
          </w:tcPr>
          <w:p w14:paraId="50680A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435,491,381.73</w:t>
            </w:r>
          </w:p>
        </w:tc>
      </w:tr>
      <w:tr w:rsidR="00F73301" w:rsidRPr="00F73301" w14:paraId="62923BE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4F3F48"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payments for the acquisition of subsidiaries &amp; other business units</w:t>
            </w:r>
          </w:p>
        </w:tc>
        <w:tc>
          <w:tcPr>
            <w:tcW w:w="3213" w:type="dxa"/>
            <w:tcBorders>
              <w:top w:val="single" w:sz="2" w:space="0" w:color="auto"/>
              <w:left w:val="single" w:sz="2" w:space="0" w:color="auto"/>
              <w:bottom w:val="single" w:sz="2" w:space="0" w:color="auto"/>
              <w:right w:val="single" w:sz="2" w:space="0" w:color="auto"/>
            </w:tcBorders>
            <w:vAlign w:val="center"/>
          </w:tcPr>
          <w:p w14:paraId="703BA6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293,760,000.00</w:t>
            </w:r>
          </w:p>
        </w:tc>
        <w:tc>
          <w:tcPr>
            <w:tcW w:w="3213" w:type="dxa"/>
            <w:tcBorders>
              <w:top w:val="single" w:sz="2" w:space="0" w:color="auto"/>
              <w:left w:val="single" w:sz="2" w:space="0" w:color="auto"/>
              <w:bottom w:val="single" w:sz="2" w:space="0" w:color="auto"/>
              <w:right w:val="single" w:sz="2" w:space="0" w:color="auto"/>
            </w:tcBorders>
            <w:vAlign w:val="center"/>
          </w:tcPr>
          <w:p w14:paraId="3B73BFC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909429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1095E9"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payments related to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5A53DDB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6CA5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937,429,979.73</w:t>
            </w:r>
          </w:p>
        </w:tc>
      </w:tr>
      <w:tr w:rsidR="00F73301" w:rsidRPr="00F73301" w14:paraId="3177217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4D01E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outflows from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7C500E8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413,747,583.51</w:t>
            </w:r>
          </w:p>
        </w:tc>
        <w:tc>
          <w:tcPr>
            <w:tcW w:w="3213" w:type="dxa"/>
            <w:tcBorders>
              <w:top w:val="single" w:sz="2" w:space="0" w:color="auto"/>
              <w:left w:val="single" w:sz="2" w:space="0" w:color="auto"/>
              <w:bottom w:val="single" w:sz="2" w:space="0" w:color="auto"/>
              <w:right w:val="single" w:sz="2" w:space="0" w:color="auto"/>
            </w:tcBorders>
            <w:vAlign w:val="center"/>
          </w:tcPr>
          <w:p w14:paraId="264B4A8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1,763,789,756.22</w:t>
            </w:r>
          </w:p>
        </w:tc>
      </w:tr>
      <w:tr w:rsidR="00F73301" w:rsidRPr="00F73301" w14:paraId="11E6A4C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4AC45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flows from investing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495A303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-122,104,331.22</w:t>
            </w:r>
          </w:p>
        </w:tc>
        <w:tc>
          <w:tcPr>
            <w:tcW w:w="3213" w:type="dxa"/>
            <w:tcBorders>
              <w:top w:val="single" w:sz="2" w:space="0" w:color="auto"/>
              <w:left w:val="single" w:sz="2" w:space="0" w:color="auto"/>
              <w:bottom w:val="single" w:sz="2" w:space="0" w:color="auto"/>
              <w:right w:val="single" w:sz="2" w:space="0" w:color="auto"/>
            </w:tcBorders>
            <w:vAlign w:val="center"/>
          </w:tcPr>
          <w:p w14:paraId="23F891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-732,303,199.60</w:t>
            </w:r>
          </w:p>
        </w:tc>
      </w:tr>
      <w:tr w:rsidR="00F73301" w:rsidRPr="00F73301" w14:paraId="2ADA95B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4CEF1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III. Cash Flows from Financing Activities: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7D1C0D"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A9D844"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46F62DA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AEBF10"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absorbing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30E48F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1,470,369,156.10</w:t>
            </w:r>
          </w:p>
        </w:tc>
        <w:tc>
          <w:tcPr>
            <w:tcW w:w="3213" w:type="dxa"/>
            <w:tcBorders>
              <w:top w:val="single" w:sz="2" w:space="0" w:color="auto"/>
              <w:left w:val="single" w:sz="2" w:space="0" w:color="auto"/>
              <w:bottom w:val="single" w:sz="2" w:space="0" w:color="auto"/>
              <w:right w:val="single" w:sz="2" w:space="0" w:color="auto"/>
            </w:tcBorders>
            <w:vAlign w:val="center"/>
          </w:tcPr>
          <w:p w14:paraId="4B4F943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3D7D1F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41CBB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receipts from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1031DF5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400,000,000.00</w:t>
            </w:r>
          </w:p>
        </w:tc>
        <w:tc>
          <w:tcPr>
            <w:tcW w:w="3213" w:type="dxa"/>
            <w:tcBorders>
              <w:top w:val="single" w:sz="2" w:space="0" w:color="auto"/>
              <w:left w:val="single" w:sz="2" w:space="0" w:color="auto"/>
              <w:bottom w:val="single" w:sz="2" w:space="0" w:color="auto"/>
              <w:right w:val="single" w:sz="2" w:space="0" w:color="auto"/>
            </w:tcBorders>
            <w:vAlign w:val="center"/>
          </w:tcPr>
          <w:p w14:paraId="6452B43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490,797,440.00</w:t>
            </w:r>
          </w:p>
        </w:tc>
      </w:tr>
      <w:tr w:rsidR="00F73301" w:rsidRPr="00F73301" w14:paraId="0ECFB1B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9E7E25"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receipts related to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705A189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81,646,534.23</w:t>
            </w:r>
          </w:p>
        </w:tc>
        <w:tc>
          <w:tcPr>
            <w:tcW w:w="3213" w:type="dxa"/>
            <w:tcBorders>
              <w:top w:val="single" w:sz="2" w:space="0" w:color="auto"/>
              <w:left w:val="single" w:sz="2" w:space="0" w:color="auto"/>
              <w:bottom w:val="single" w:sz="2" w:space="0" w:color="auto"/>
              <w:right w:val="single" w:sz="2" w:space="0" w:color="auto"/>
            </w:tcBorders>
            <w:vAlign w:val="center"/>
          </w:tcPr>
          <w:p w14:paraId="4B6F7B0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3A5B33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E131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inflows from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6A308B7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1,952,015,690.33</w:t>
            </w:r>
          </w:p>
        </w:tc>
        <w:tc>
          <w:tcPr>
            <w:tcW w:w="3213" w:type="dxa"/>
            <w:tcBorders>
              <w:top w:val="single" w:sz="2" w:space="0" w:color="auto"/>
              <w:left w:val="single" w:sz="2" w:space="0" w:color="auto"/>
              <w:bottom w:val="single" w:sz="2" w:space="0" w:color="auto"/>
              <w:right w:val="single" w:sz="2" w:space="0" w:color="auto"/>
            </w:tcBorders>
            <w:vAlign w:val="center"/>
          </w:tcPr>
          <w:p w14:paraId="6364232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490,797,440.00</w:t>
            </w:r>
          </w:p>
        </w:tc>
      </w:tr>
      <w:tr w:rsidR="00F73301" w:rsidRPr="00F73301" w14:paraId="2ADFB6A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D8035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Cash payments for the repayment of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3805F93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205,000,000.00</w:t>
            </w:r>
          </w:p>
        </w:tc>
        <w:tc>
          <w:tcPr>
            <w:tcW w:w="3213" w:type="dxa"/>
            <w:tcBorders>
              <w:top w:val="single" w:sz="2" w:space="0" w:color="auto"/>
              <w:left w:val="single" w:sz="2" w:space="0" w:color="auto"/>
              <w:bottom w:val="single" w:sz="2" w:space="0" w:color="auto"/>
              <w:right w:val="single" w:sz="2" w:space="0" w:color="auto"/>
            </w:tcBorders>
            <w:vAlign w:val="center"/>
          </w:tcPr>
          <w:p w14:paraId="583601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434,908,140.00</w:t>
            </w:r>
          </w:p>
        </w:tc>
      </w:tr>
      <w:tr w:rsidR="00F73301" w:rsidRPr="00F73301" w14:paraId="509E2A8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6E613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Cash payments for distribution of </w:t>
            </w:r>
            <w:r w:rsidRPr="00F73301">
              <w:rPr>
                <w:rFonts w:ascii="Times New Roman" w:eastAsia="宋体" w:hAnsi="Times New Roman" w:cs="Times New Roman"/>
                <w:sz w:val="18"/>
                <w:szCs w:val="18"/>
              </w:rPr>
              <w:lastRenderedPageBreak/>
              <w:t>dividends or profits and for interest expenses</w:t>
            </w:r>
          </w:p>
        </w:tc>
        <w:tc>
          <w:tcPr>
            <w:tcW w:w="3213" w:type="dxa"/>
            <w:tcBorders>
              <w:top w:val="single" w:sz="2" w:space="0" w:color="auto"/>
              <w:left w:val="single" w:sz="2" w:space="0" w:color="auto"/>
              <w:bottom w:val="single" w:sz="2" w:space="0" w:color="auto"/>
              <w:right w:val="single" w:sz="2" w:space="0" w:color="auto"/>
            </w:tcBorders>
            <w:vAlign w:val="center"/>
          </w:tcPr>
          <w:p w14:paraId="1C9502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281,318,508.12</w:t>
            </w:r>
          </w:p>
        </w:tc>
        <w:tc>
          <w:tcPr>
            <w:tcW w:w="3213" w:type="dxa"/>
            <w:tcBorders>
              <w:top w:val="single" w:sz="2" w:space="0" w:color="auto"/>
              <w:left w:val="single" w:sz="2" w:space="0" w:color="auto"/>
              <w:bottom w:val="single" w:sz="2" w:space="0" w:color="auto"/>
              <w:right w:val="single" w:sz="2" w:space="0" w:color="auto"/>
            </w:tcBorders>
            <w:vAlign w:val="center"/>
          </w:tcPr>
          <w:p w14:paraId="1B8822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118,889,149.78</w:t>
            </w:r>
          </w:p>
        </w:tc>
      </w:tr>
      <w:tr w:rsidR="00F73301" w:rsidRPr="00F73301" w14:paraId="640E567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D2894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Other cash payments related to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4DEA76B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10,670,468.69</w:t>
            </w:r>
          </w:p>
        </w:tc>
        <w:tc>
          <w:tcPr>
            <w:tcW w:w="3213" w:type="dxa"/>
            <w:tcBorders>
              <w:top w:val="single" w:sz="2" w:space="0" w:color="auto"/>
              <w:left w:val="single" w:sz="2" w:space="0" w:color="auto"/>
              <w:bottom w:val="single" w:sz="2" w:space="0" w:color="auto"/>
              <w:right w:val="single" w:sz="2" w:space="0" w:color="auto"/>
            </w:tcBorders>
            <w:vAlign w:val="center"/>
          </w:tcPr>
          <w:p w14:paraId="36D9FEB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136A53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185A8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 of cash outflows from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6256404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496,988,976.81</w:t>
            </w:r>
          </w:p>
        </w:tc>
        <w:tc>
          <w:tcPr>
            <w:tcW w:w="3213" w:type="dxa"/>
            <w:tcBorders>
              <w:top w:val="single" w:sz="2" w:space="0" w:color="auto"/>
              <w:left w:val="single" w:sz="2" w:space="0" w:color="auto"/>
              <w:bottom w:val="single" w:sz="2" w:space="0" w:color="auto"/>
              <w:right w:val="single" w:sz="2" w:space="0" w:color="auto"/>
            </w:tcBorders>
            <w:vAlign w:val="center"/>
          </w:tcPr>
          <w:p w14:paraId="21EC4C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553,797,289.78</w:t>
            </w:r>
          </w:p>
        </w:tc>
      </w:tr>
      <w:tr w:rsidR="00F73301" w:rsidRPr="00F73301" w14:paraId="443E4AA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6C367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flows from financing activities</w:t>
            </w:r>
          </w:p>
        </w:tc>
        <w:tc>
          <w:tcPr>
            <w:tcW w:w="3213" w:type="dxa"/>
            <w:tcBorders>
              <w:top w:val="single" w:sz="2" w:space="0" w:color="auto"/>
              <w:left w:val="single" w:sz="2" w:space="0" w:color="auto"/>
              <w:bottom w:val="single" w:sz="2" w:space="0" w:color="auto"/>
              <w:right w:val="single" w:sz="2" w:space="0" w:color="auto"/>
            </w:tcBorders>
            <w:vAlign w:val="center"/>
          </w:tcPr>
          <w:p w14:paraId="5A737C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1,455,026,713.52</w:t>
            </w:r>
          </w:p>
        </w:tc>
        <w:tc>
          <w:tcPr>
            <w:tcW w:w="3213" w:type="dxa"/>
            <w:tcBorders>
              <w:top w:val="single" w:sz="2" w:space="0" w:color="auto"/>
              <w:left w:val="single" w:sz="2" w:space="0" w:color="auto"/>
              <w:bottom w:val="single" w:sz="2" w:space="0" w:color="auto"/>
              <w:right w:val="single" w:sz="2" w:space="0" w:color="auto"/>
            </w:tcBorders>
            <w:vAlign w:val="center"/>
          </w:tcPr>
          <w:p w14:paraId="1B8E7C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-62,999,849.78</w:t>
            </w:r>
          </w:p>
        </w:tc>
      </w:tr>
      <w:tr w:rsidR="00F73301" w:rsidRPr="00F73301" w14:paraId="38BA53F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C291A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IV. Effect of Foreign Exchange Rate Changes on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575A9B3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73,415,057.06</w:t>
            </w:r>
          </w:p>
        </w:tc>
        <w:tc>
          <w:tcPr>
            <w:tcW w:w="3213" w:type="dxa"/>
            <w:tcBorders>
              <w:top w:val="single" w:sz="2" w:space="0" w:color="auto"/>
              <w:left w:val="single" w:sz="2" w:space="0" w:color="auto"/>
              <w:bottom w:val="single" w:sz="2" w:space="0" w:color="auto"/>
              <w:right w:val="single" w:sz="2" w:space="0" w:color="auto"/>
            </w:tcBorders>
            <w:vAlign w:val="center"/>
          </w:tcPr>
          <w:p w14:paraId="4A018E3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7,065,723.06</w:t>
            </w:r>
          </w:p>
        </w:tc>
      </w:tr>
      <w:tr w:rsidR="00F73301" w:rsidRPr="00F73301" w14:paraId="5F03D63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32E43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 Net Increase in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3E6B18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1,374,501,534.05</w:t>
            </w:r>
          </w:p>
        </w:tc>
        <w:tc>
          <w:tcPr>
            <w:tcW w:w="3213" w:type="dxa"/>
            <w:tcBorders>
              <w:top w:val="single" w:sz="2" w:space="0" w:color="auto"/>
              <w:left w:val="single" w:sz="2" w:space="0" w:color="auto"/>
              <w:bottom w:val="single" w:sz="2" w:space="0" w:color="auto"/>
              <w:right w:val="single" w:sz="2" w:space="0" w:color="auto"/>
            </w:tcBorders>
            <w:vAlign w:val="center"/>
          </w:tcPr>
          <w:p w14:paraId="2D9242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-437,653,503.18</w:t>
            </w:r>
          </w:p>
        </w:tc>
      </w:tr>
      <w:tr w:rsidR="00F73301" w:rsidRPr="00F73301" w14:paraId="1DFE5B4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3D8400"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Add: Opening balance of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1FFDB8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1,187,713,841.00</w:t>
            </w:r>
          </w:p>
        </w:tc>
        <w:tc>
          <w:tcPr>
            <w:tcW w:w="3213" w:type="dxa"/>
            <w:tcBorders>
              <w:top w:val="single" w:sz="2" w:space="0" w:color="auto"/>
              <w:left w:val="single" w:sz="2" w:space="0" w:color="auto"/>
              <w:bottom w:val="single" w:sz="2" w:space="0" w:color="auto"/>
              <w:right w:val="single" w:sz="2" w:space="0" w:color="auto"/>
            </w:tcBorders>
            <w:vAlign w:val="center"/>
          </w:tcPr>
          <w:p w14:paraId="638FC82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848,540,049.86</w:t>
            </w:r>
          </w:p>
        </w:tc>
      </w:tr>
      <w:tr w:rsidR="00F73301" w:rsidRPr="00F73301" w14:paraId="5520E59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00AE3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VI. Closing Balance of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2F27BA9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2,562,215,375.05</w:t>
            </w:r>
          </w:p>
        </w:tc>
        <w:tc>
          <w:tcPr>
            <w:tcW w:w="3213" w:type="dxa"/>
            <w:tcBorders>
              <w:top w:val="single" w:sz="2" w:space="0" w:color="auto"/>
              <w:left w:val="single" w:sz="2" w:space="0" w:color="auto"/>
              <w:bottom w:val="single" w:sz="2" w:space="0" w:color="auto"/>
              <w:right w:val="single" w:sz="2" w:space="0" w:color="auto"/>
            </w:tcBorders>
            <w:vAlign w:val="center"/>
          </w:tcPr>
          <w:p w14:paraId="222DE11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410,886,546.68</w:t>
            </w:r>
          </w:p>
        </w:tc>
      </w:tr>
    </w:tbl>
    <w:p w14:paraId="6A153243" w14:textId="77777777" w:rsidR="00F73301" w:rsidRPr="00F73301" w:rsidRDefault="00F73301" w:rsidP="00F73301">
      <w:pPr>
        <w:keepNext/>
        <w:keepLines/>
        <w:snapToGrid w:val="0"/>
        <w:spacing w:beforeLines="50" w:before="156" w:afterLines="50" w:after="156"/>
        <w:outlineLvl w:val="2"/>
        <w:rPr>
          <w:rFonts w:ascii="Times New Roman" w:eastAsia="宋体" w:hAnsi="Times New Roman" w:cs="Times New Roman"/>
          <w:b/>
          <w:bCs/>
          <w:sz w:val="24"/>
          <w:szCs w:val="24"/>
        </w:rPr>
      </w:pPr>
      <w:bookmarkStart w:id="103" w:name="_Toc988991"/>
      <w:r w:rsidRPr="00F73301">
        <w:rPr>
          <w:rFonts w:ascii="Times New Roman" w:eastAsia="宋体" w:hAnsi="Times New Roman" w:cs="Times New Roman"/>
          <w:b/>
          <w:bCs/>
          <w:sz w:val="24"/>
          <w:szCs w:val="24"/>
        </w:rPr>
        <w:t>7. Consolidated statement of changes in equity</w:t>
      </w:r>
      <w:bookmarkEnd w:id="103"/>
    </w:p>
    <w:p w14:paraId="4A363511" w14:textId="77777777" w:rsidR="00F73301" w:rsidRPr="00F73301" w:rsidRDefault="00F73301" w:rsidP="00F73301">
      <w:pPr>
        <w:snapToGrid w:val="0"/>
        <w:spacing w:beforeLines="50" w:before="156" w:afterLines="50" w:after="156"/>
        <w:rPr>
          <w:rFonts w:ascii="Times New Roman" w:eastAsia="宋体" w:hAnsi="Times New Roman" w:cs="Times New Roman"/>
          <w:sz w:val="24"/>
          <w:szCs w:val="24"/>
        </w:rPr>
      </w:pPr>
      <w:r w:rsidRPr="00F73301">
        <w:rPr>
          <w:rFonts w:ascii="Times New Roman" w:eastAsia="宋体" w:hAnsi="Times New Roman" w:cs="Times New Roman"/>
          <w:sz w:val="24"/>
          <w:szCs w:val="24"/>
        </w:rPr>
        <w:t>Amount during the current period</w:t>
      </w:r>
    </w:p>
    <w:p w14:paraId="1C9EA94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4A0" w:firstRow="1" w:lastRow="0" w:firstColumn="1" w:lastColumn="0" w:noHBand="0" w:noVBand="1"/>
      </w:tblPr>
      <w:tblGrid>
        <w:gridCol w:w="1198"/>
        <w:gridCol w:w="562"/>
        <w:gridCol w:w="562"/>
        <w:gridCol w:w="562"/>
        <w:gridCol w:w="562"/>
        <w:gridCol w:w="563"/>
        <w:gridCol w:w="563"/>
        <w:gridCol w:w="563"/>
        <w:gridCol w:w="563"/>
        <w:gridCol w:w="563"/>
        <w:gridCol w:w="563"/>
        <w:gridCol w:w="563"/>
        <w:gridCol w:w="563"/>
        <w:gridCol w:w="563"/>
        <w:gridCol w:w="563"/>
        <w:gridCol w:w="563"/>
      </w:tblGrid>
      <w:tr w:rsidR="008C49B7" w:rsidRPr="00FC2420" w14:paraId="12FF04C4" w14:textId="77777777" w:rsidTr="00FC2420">
        <w:trPr>
          <w:jc w:val="center"/>
        </w:trPr>
        <w:tc>
          <w:tcPr>
            <w:tcW w:w="11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D05240"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Item</w:t>
            </w:r>
          </w:p>
        </w:tc>
        <w:tc>
          <w:tcPr>
            <w:tcW w:w="8441"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0BF00BBD"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2023 mid-year</w:t>
            </w:r>
          </w:p>
        </w:tc>
      </w:tr>
      <w:tr w:rsidR="00F73301" w:rsidRPr="00FC2420" w14:paraId="32041BE0" w14:textId="77777777" w:rsidTr="00FC2420">
        <w:trPr>
          <w:jc w:val="center"/>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668208" w14:textId="77777777" w:rsidR="00F73301" w:rsidRPr="00FC2420" w:rsidRDefault="00F73301" w:rsidP="008C49B7">
            <w:pPr>
              <w:snapToGrid w:val="0"/>
              <w:rPr>
                <w:rFonts w:ascii="Times New Roman" w:eastAsia="等线" w:hAnsi="Times New Roman" w:cs="Times New Roman"/>
                <w:sz w:val="13"/>
                <w:szCs w:val="13"/>
              </w:rPr>
            </w:pPr>
          </w:p>
        </w:tc>
        <w:tc>
          <w:tcPr>
            <w:tcW w:w="7315"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63975AE6"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Equity attributable to parent company</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871C45"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Non-controlling interest</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A54606E"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Total owners' equity</w:t>
            </w:r>
          </w:p>
        </w:tc>
      </w:tr>
      <w:tr w:rsidR="00F73301" w:rsidRPr="00FC2420" w14:paraId="33887DFD" w14:textId="77777777" w:rsidTr="00FC2420">
        <w:trPr>
          <w:jc w:val="center"/>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2AE37E4" w14:textId="77777777" w:rsidR="00F73301" w:rsidRPr="00FC2420" w:rsidRDefault="00F73301" w:rsidP="008C49B7">
            <w:pPr>
              <w:snapToGrid w:val="0"/>
              <w:rPr>
                <w:rFonts w:ascii="Times New Roman" w:eastAsia="等线" w:hAnsi="Times New Roman" w:cs="Times New Roman"/>
                <w:sz w:val="13"/>
                <w:szCs w:val="13"/>
              </w:rPr>
            </w:pPr>
          </w:p>
        </w:tc>
        <w:tc>
          <w:tcPr>
            <w:tcW w:w="5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0A305A9"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Share capital</w:t>
            </w:r>
          </w:p>
        </w:tc>
        <w:tc>
          <w:tcPr>
            <w:tcW w:w="168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91D0A73"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Other equity instruments</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A26A064"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Capital reserve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6E3E22A"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Less: Treasury shares</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6823D2"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Other comprehensive income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3322D5"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Special reserve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CBFC74"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Surplus reserve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1A0B505"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General risk reserve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D4D7A93"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Undistributed profit</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6439AF"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Others</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05D814"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Subtotal</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B3F2126"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E79D40" w14:textId="77777777" w:rsidR="00F73301" w:rsidRPr="00FC2420" w:rsidRDefault="00F73301" w:rsidP="008C49B7">
            <w:pPr>
              <w:snapToGrid w:val="0"/>
              <w:rPr>
                <w:rFonts w:ascii="Times New Roman" w:eastAsia="等线" w:hAnsi="Times New Roman" w:cs="Times New Roman"/>
                <w:sz w:val="13"/>
                <w:szCs w:val="13"/>
              </w:rPr>
            </w:pPr>
          </w:p>
        </w:tc>
      </w:tr>
      <w:tr w:rsidR="00F73301" w:rsidRPr="00FC2420" w14:paraId="597ED7D1" w14:textId="77777777" w:rsidTr="00FC2420">
        <w:trPr>
          <w:jc w:val="center"/>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6560F4E" w14:textId="77777777" w:rsidR="00F73301" w:rsidRPr="00FC2420" w:rsidRDefault="00F73301" w:rsidP="008C49B7">
            <w:pPr>
              <w:snapToGrid w:val="0"/>
              <w:rPr>
                <w:rFonts w:ascii="Times New Roman" w:eastAsia="等线" w:hAnsi="Times New Roman" w:cs="Times New Roman"/>
                <w:sz w:val="13"/>
                <w:szCs w:val="13"/>
              </w:rPr>
            </w:pPr>
          </w:p>
        </w:tc>
        <w:tc>
          <w:tcPr>
            <w:tcW w:w="56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E95E63E" w14:textId="77777777" w:rsidR="00F73301" w:rsidRPr="00FC2420" w:rsidRDefault="00F73301" w:rsidP="008C49B7">
            <w:pPr>
              <w:snapToGrid w:val="0"/>
              <w:rPr>
                <w:rFonts w:ascii="Times New Roman" w:eastAsia="等线"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14:paraId="57AEE098"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Preferred shares</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14:paraId="6AEAFBA9"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Perpetual bonds</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14:paraId="53C5776F"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Others</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983ACAC"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B842A09"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84D7629"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vAlign w:val="center"/>
          </w:tcPr>
          <w:p w14:paraId="1EBAC309"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D8F653"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6EC7FD"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FAF5E0"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9B7585C"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C58DED"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E28209"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EA34AF0" w14:textId="77777777" w:rsidR="00F73301" w:rsidRPr="00FC2420" w:rsidRDefault="00F73301" w:rsidP="008C49B7">
            <w:pPr>
              <w:snapToGrid w:val="0"/>
              <w:rPr>
                <w:rFonts w:ascii="Times New Roman" w:eastAsia="等线" w:hAnsi="Times New Roman" w:cs="Times New Roman"/>
                <w:sz w:val="13"/>
                <w:szCs w:val="13"/>
              </w:rPr>
            </w:pPr>
          </w:p>
        </w:tc>
      </w:tr>
      <w:tr w:rsidR="00F73301" w:rsidRPr="00FC2420" w14:paraId="1B5B5A95"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22A45DD"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 Balance at the end of prior year</w:t>
            </w:r>
          </w:p>
        </w:tc>
        <w:tc>
          <w:tcPr>
            <w:tcW w:w="562" w:type="dxa"/>
            <w:tcBorders>
              <w:top w:val="single" w:sz="2" w:space="0" w:color="auto"/>
              <w:left w:val="single" w:sz="2" w:space="0" w:color="auto"/>
              <w:bottom w:val="single" w:sz="2" w:space="0" w:color="auto"/>
              <w:right w:val="single" w:sz="2" w:space="0" w:color="auto"/>
            </w:tcBorders>
            <w:vAlign w:val="center"/>
          </w:tcPr>
          <w:p w14:paraId="5AC7206D"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512,772,787.00</w:t>
            </w:r>
          </w:p>
        </w:tc>
        <w:tc>
          <w:tcPr>
            <w:tcW w:w="562" w:type="dxa"/>
            <w:tcBorders>
              <w:top w:val="single" w:sz="2" w:space="0" w:color="auto"/>
              <w:left w:val="single" w:sz="2" w:space="0" w:color="auto"/>
              <w:bottom w:val="single" w:sz="2" w:space="0" w:color="auto"/>
              <w:right w:val="single" w:sz="2" w:space="0" w:color="auto"/>
            </w:tcBorders>
            <w:vAlign w:val="center"/>
          </w:tcPr>
          <w:p w14:paraId="2433DA3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447BAB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ED3AC1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97CE61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2,584,590,243.74</w:t>
            </w:r>
          </w:p>
        </w:tc>
        <w:tc>
          <w:tcPr>
            <w:tcW w:w="563" w:type="dxa"/>
            <w:tcBorders>
              <w:top w:val="single" w:sz="2" w:space="0" w:color="auto"/>
              <w:left w:val="single" w:sz="2" w:space="0" w:color="auto"/>
              <w:bottom w:val="single" w:sz="2" w:space="0" w:color="auto"/>
              <w:right w:val="single" w:sz="2" w:space="0" w:color="auto"/>
            </w:tcBorders>
            <w:vAlign w:val="center"/>
          </w:tcPr>
          <w:p w14:paraId="6792BE3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3982BFC"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28,166,283.84</w:t>
            </w:r>
          </w:p>
        </w:tc>
        <w:tc>
          <w:tcPr>
            <w:tcW w:w="563" w:type="dxa"/>
            <w:tcBorders>
              <w:top w:val="single" w:sz="2" w:space="0" w:color="auto"/>
              <w:left w:val="single" w:sz="2" w:space="0" w:color="auto"/>
              <w:bottom w:val="single" w:sz="2" w:space="0" w:color="auto"/>
              <w:right w:val="single" w:sz="2" w:space="0" w:color="auto"/>
            </w:tcBorders>
            <w:vAlign w:val="center"/>
          </w:tcPr>
          <w:p w14:paraId="7FDC1A8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9F22E1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256,386,393.50</w:t>
            </w:r>
          </w:p>
        </w:tc>
        <w:tc>
          <w:tcPr>
            <w:tcW w:w="563" w:type="dxa"/>
            <w:tcBorders>
              <w:top w:val="single" w:sz="2" w:space="0" w:color="auto"/>
              <w:left w:val="single" w:sz="2" w:space="0" w:color="auto"/>
              <w:bottom w:val="single" w:sz="2" w:space="0" w:color="auto"/>
              <w:right w:val="single" w:sz="2" w:space="0" w:color="auto"/>
            </w:tcBorders>
            <w:vAlign w:val="center"/>
          </w:tcPr>
          <w:p w14:paraId="1ADF172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B88E59F"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2,771,489,902.27</w:t>
            </w:r>
          </w:p>
        </w:tc>
        <w:tc>
          <w:tcPr>
            <w:tcW w:w="563" w:type="dxa"/>
            <w:tcBorders>
              <w:top w:val="single" w:sz="2" w:space="0" w:color="auto"/>
              <w:left w:val="single" w:sz="2" w:space="0" w:color="auto"/>
              <w:bottom w:val="single" w:sz="2" w:space="0" w:color="auto"/>
              <w:right w:val="single" w:sz="2" w:space="0" w:color="auto"/>
            </w:tcBorders>
            <w:vAlign w:val="center"/>
          </w:tcPr>
          <w:p w14:paraId="4DDE018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8ED0F6D"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6,153,405,610.35</w:t>
            </w:r>
          </w:p>
        </w:tc>
        <w:tc>
          <w:tcPr>
            <w:tcW w:w="563" w:type="dxa"/>
            <w:tcBorders>
              <w:top w:val="single" w:sz="2" w:space="0" w:color="auto"/>
              <w:left w:val="single" w:sz="2" w:space="0" w:color="auto"/>
              <w:bottom w:val="single" w:sz="2" w:space="0" w:color="auto"/>
              <w:right w:val="single" w:sz="2" w:space="0" w:color="auto"/>
            </w:tcBorders>
            <w:vAlign w:val="center"/>
          </w:tcPr>
          <w:p w14:paraId="1975A6B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184,577,839.49</w:t>
            </w:r>
          </w:p>
        </w:tc>
        <w:tc>
          <w:tcPr>
            <w:tcW w:w="563" w:type="dxa"/>
            <w:tcBorders>
              <w:top w:val="single" w:sz="2" w:space="0" w:color="auto"/>
              <w:left w:val="single" w:sz="2" w:space="0" w:color="auto"/>
              <w:bottom w:val="single" w:sz="2" w:space="0" w:color="auto"/>
              <w:right w:val="single" w:sz="2" w:space="0" w:color="auto"/>
            </w:tcBorders>
            <w:vAlign w:val="center"/>
          </w:tcPr>
          <w:p w14:paraId="51894CFD"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6,337,983,449.84</w:t>
            </w:r>
          </w:p>
        </w:tc>
      </w:tr>
      <w:tr w:rsidR="00F73301" w:rsidRPr="00FC2420" w14:paraId="2C6D2C1F"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1AAEC359" w14:textId="77777777" w:rsidR="00F73301" w:rsidRPr="00FC2420" w:rsidRDefault="00F73301" w:rsidP="008C49B7">
            <w:pPr>
              <w:snapToGrid w:val="0"/>
              <w:ind w:firstLineChars="200" w:firstLine="260"/>
              <w:rPr>
                <w:rFonts w:ascii="Times New Roman" w:eastAsia="宋体" w:hAnsi="Times New Roman" w:cs="Times New Roman"/>
                <w:sz w:val="13"/>
                <w:szCs w:val="13"/>
              </w:rPr>
            </w:pPr>
            <w:r w:rsidRPr="00FC2420">
              <w:rPr>
                <w:rFonts w:ascii="Times New Roman" w:eastAsia="宋体" w:hAnsi="Times New Roman" w:cs="Times New Roman"/>
                <w:sz w:val="13"/>
                <w:szCs w:val="13"/>
              </w:rPr>
              <w:t>Add: Cumulative changes of accounting policies</w:t>
            </w:r>
          </w:p>
        </w:tc>
        <w:tc>
          <w:tcPr>
            <w:tcW w:w="562" w:type="dxa"/>
            <w:tcBorders>
              <w:top w:val="single" w:sz="2" w:space="0" w:color="auto"/>
              <w:left w:val="single" w:sz="2" w:space="0" w:color="auto"/>
              <w:bottom w:val="single" w:sz="2" w:space="0" w:color="auto"/>
              <w:right w:val="single" w:sz="2" w:space="0" w:color="auto"/>
            </w:tcBorders>
            <w:vAlign w:val="center"/>
          </w:tcPr>
          <w:p w14:paraId="3D88F02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9727C5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819ADF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C34913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7B3975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FC1AC7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4020C2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D97F89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A29D32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196BF3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F3242F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6411C5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AE7DD3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C1E4AA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22503E"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045F0EFD"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34273AE" w14:textId="77777777" w:rsidR="00F73301" w:rsidRPr="00FC2420" w:rsidRDefault="00F73301" w:rsidP="008C49B7">
            <w:pPr>
              <w:snapToGrid w:val="0"/>
              <w:ind w:firstLineChars="400" w:firstLine="520"/>
              <w:rPr>
                <w:rFonts w:ascii="Times New Roman" w:eastAsia="宋体" w:hAnsi="Times New Roman" w:cs="Times New Roman"/>
                <w:sz w:val="13"/>
                <w:szCs w:val="13"/>
              </w:rPr>
            </w:pPr>
            <w:r w:rsidRPr="00FC2420">
              <w:rPr>
                <w:rFonts w:ascii="Times New Roman" w:eastAsia="宋体" w:hAnsi="Times New Roman" w:cs="Times New Roman"/>
                <w:sz w:val="13"/>
                <w:szCs w:val="13"/>
              </w:rPr>
              <w:t>Error correction of prior period</w:t>
            </w:r>
          </w:p>
        </w:tc>
        <w:tc>
          <w:tcPr>
            <w:tcW w:w="562" w:type="dxa"/>
            <w:tcBorders>
              <w:top w:val="single" w:sz="2" w:space="0" w:color="auto"/>
              <w:left w:val="single" w:sz="2" w:space="0" w:color="auto"/>
              <w:bottom w:val="single" w:sz="2" w:space="0" w:color="auto"/>
              <w:right w:val="single" w:sz="2" w:space="0" w:color="auto"/>
            </w:tcBorders>
            <w:vAlign w:val="center"/>
          </w:tcPr>
          <w:p w14:paraId="575CD2E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F14733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E93CEE7"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775654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DBB749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B7595B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8FE19F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736522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9FA519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319339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8DD465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BDFE4D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75C2F7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6964DE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F36CCE3"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602C5673"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4DCEB050" w14:textId="77777777" w:rsidR="00F73301" w:rsidRPr="00FC2420" w:rsidRDefault="00F73301" w:rsidP="008C49B7">
            <w:pPr>
              <w:snapToGrid w:val="0"/>
              <w:ind w:firstLineChars="400" w:firstLine="520"/>
              <w:rPr>
                <w:rFonts w:ascii="Times New Roman" w:eastAsia="宋体" w:hAnsi="Times New Roman" w:cs="Times New Roman"/>
                <w:sz w:val="13"/>
                <w:szCs w:val="13"/>
              </w:rPr>
            </w:pPr>
            <w:r w:rsidRPr="00FC2420">
              <w:rPr>
                <w:rFonts w:ascii="Times New Roman" w:eastAsia="宋体" w:hAnsi="Times New Roman" w:cs="Times New Roman"/>
                <w:sz w:val="13"/>
                <w:szCs w:val="13"/>
              </w:rPr>
              <w:t>Business combination under common control</w:t>
            </w:r>
          </w:p>
        </w:tc>
        <w:tc>
          <w:tcPr>
            <w:tcW w:w="562" w:type="dxa"/>
            <w:tcBorders>
              <w:top w:val="single" w:sz="2" w:space="0" w:color="auto"/>
              <w:left w:val="single" w:sz="2" w:space="0" w:color="auto"/>
              <w:bottom w:val="single" w:sz="2" w:space="0" w:color="auto"/>
              <w:right w:val="single" w:sz="2" w:space="0" w:color="auto"/>
            </w:tcBorders>
            <w:vAlign w:val="center"/>
          </w:tcPr>
          <w:p w14:paraId="0D4ED3F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4258717"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EBC3C38"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65F196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95E047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6DF369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3DBFA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7EF4FF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2DBF48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B40963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7CEA3A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D690D0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2253A1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931F31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48CEA5"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1AF0771B"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1FFD50B2" w14:textId="77777777" w:rsidR="00F73301" w:rsidRPr="00FC2420" w:rsidRDefault="00F73301" w:rsidP="008C49B7">
            <w:pPr>
              <w:snapToGrid w:val="0"/>
              <w:ind w:firstLineChars="400" w:firstLine="520"/>
              <w:rPr>
                <w:rFonts w:ascii="Times New Roman" w:eastAsia="宋体" w:hAnsi="Times New Roman" w:cs="Times New Roman"/>
                <w:sz w:val="13"/>
                <w:szCs w:val="13"/>
              </w:rPr>
            </w:pPr>
            <w:r w:rsidRPr="00FC2420">
              <w:rPr>
                <w:rFonts w:ascii="Times New Roman" w:eastAsia="宋体" w:hAnsi="Times New Roman" w:cs="Times New Roman"/>
                <w:sz w:val="13"/>
                <w:szCs w:val="13"/>
              </w:rPr>
              <w:t>Others</w:t>
            </w:r>
          </w:p>
        </w:tc>
        <w:tc>
          <w:tcPr>
            <w:tcW w:w="562" w:type="dxa"/>
            <w:tcBorders>
              <w:top w:val="single" w:sz="2" w:space="0" w:color="auto"/>
              <w:left w:val="single" w:sz="2" w:space="0" w:color="auto"/>
              <w:bottom w:val="single" w:sz="2" w:space="0" w:color="auto"/>
              <w:right w:val="single" w:sz="2" w:space="0" w:color="auto"/>
            </w:tcBorders>
            <w:vAlign w:val="center"/>
          </w:tcPr>
          <w:p w14:paraId="540D8B1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69EB83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20D15C8"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B09554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01A34E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86D4CA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422738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8B6686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8D0A61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77FA1C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66F4E8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725549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2ABE6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8D7734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6F0A72"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5FE71EF9"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1616096C"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II. Opening Balance of Current Year</w:t>
            </w:r>
          </w:p>
        </w:tc>
        <w:tc>
          <w:tcPr>
            <w:tcW w:w="562" w:type="dxa"/>
            <w:tcBorders>
              <w:top w:val="single" w:sz="2" w:space="0" w:color="auto"/>
              <w:left w:val="single" w:sz="2" w:space="0" w:color="auto"/>
              <w:bottom w:val="single" w:sz="2" w:space="0" w:color="auto"/>
              <w:right w:val="single" w:sz="2" w:space="0" w:color="auto"/>
            </w:tcBorders>
            <w:vAlign w:val="center"/>
          </w:tcPr>
          <w:p w14:paraId="66743A11"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512,772,787.00</w:t>
            </w:r>
          </w:p>
        </w:tc>
        <w:tc>
          <w:tcPr>
            <w:tcW w:w="562" w:type="dxa"/>
            <w:tcBorders>
              <w:top w:val="single" w:sz="2" w:space="0" w:color="auto"/>
              <w:left w:val="single" w:sz="2" w:space="0" w:color="auto"/>
              <w:bottom w:val="single" w:sz="2" w:space="0" w:color="auto"/>
              <w:right w:val="single" w:sz="2" w:space="0" w:color="auto"/>
            </w:tcBorders>
            <w:vAlign w:val="center"/>
          </w:tcPr>
          <w:p w14:paraId="13E4831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0866FF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082F3D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AD111B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2,584,590,243.74</w:t>
            </w:r>
          </w:p>
        </w:tc>
        <w:tc>
          <w:tcPr>
            <w:tcW w:w="563" w:type="dxa"/>
            <w:tcBorders>
              <w:top w:val="single" w:sz="2" w:space="0" w:color="auto"/>
              <w:left w:val="single" w:sz="2" w:space="0" w:color="auto"/>
              <w:bottom w:val="single" w:sz="2" w:space="0" w:color="auto"/>
              <w:right w:val="single" w:sz="2" w:space="0" w:color="auto"/>
            </w:tcBorders>
            <w:vAlign w:val="center"/>
          </w:tcPr>
          <w:p w14:paraId="01A0689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1D8BA54"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28,166,283.84</w:t>
            </w:r>
          </w:p>
        </w:tc>
        <w:tc>
          <w:tcPr>
            <w:tcW w:w="563" w:type="dxa"/>
            <w:tcBorders>
              <w:top w:val="single" w:sz="2" w:space="0" w:color="auto"/>
              <w:left w:val="single" w:sz="2" w:space="0" w:color="auto"/>
              <w:bottom w:val="single" w:sz="2" w:space="0" w:color="auto"/>
              <w:right w:val="single" w:sz="2" w:space="0" w:color="auto"/>
            </w:tcBorders>
            <w:vAlign w:val="center"/>
          </w:tcPr>
          <w:p w14:paraId="7270E3B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FDC8F1F"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256,386,393.50</w:t>
            </w:r>
          </w:p>
        </w:tc>
        <w:tc>
          <w:tcPr>
            <w:tcW w:w="563" w:type="dxa"/>
            <w:tcBorders>
              <w:top w:val="single" w:sz="2" w:space="0" w:color="auto"/>
              <w:left w:val="single" w:sz="2" w:space="0" w:color="auto"/>
              <w:bottom w:val="single" w:sz="2" w:space="0" w:color="auto"/>
              <w:right w:val="single" w:sz="2" w:space="0" w:color="auto"/>
            </w:tcBorders>
            <w:vAlign w:val="center"/>
          </w:tcPr>
          <w:p w14:paraId="7B6B8D3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815B26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2,771,489,902.27</w:t>
            </w:r>
          </w:p>
        </w:tc>
        <w:tc>
          <w:tcPr>
            <w:tcW w:w="563" w:type="dxa"/>
            <w:tcBorders>
              <w:top w:val="single" w:sz="2" w:space="0" w:color="auto"/>
              <w:left w:val="single" w:sz="2" w:space="0" w:color="auto"/>
              <w:bottom w:val="single" w:sz="2" w:space="0" w:color="auto"/>
              <w:right w:val="single" w:sz="2" w:space="0" w:color="auto"/>
            </w:tcBorders>
            <w:vAlign w:val="center"/>
          </w:tcPr>
          <w:p w14:paraId="2368F1A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0B794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6,153,405,610.35</w:t>
            </w:r>
          </w:p>
        </w:tc>
        <w:tc>
          <w:tcPr>
            <w:tcW w:w="563" w:type="dxa"/>
            <w:tcBorders>
              <w:top w:val="single" w:sz="2" w:space="0" w:color="auto"/>
              <w:left w:val="single" w:sz="2" w:space="0" w:color="auto"/>
              <w:bottom w:val="single" w:sz="2" w:space="0" w:color="auto"/>
              <w:right w:val="single" w:sz="2" w:space="0" w:color="auto"/>
            </w:tcBorders>
            <w:vAlign w:val="center"/>
          </w:tcPr>
          <w:p w14:paraId="2F38319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184,577,839.49</w:t>
            </w:r>
          </w:p>
        </w:tc>
        <w:tc>
          <w:tcPr>
            <w:tcW w:w="563" w:type="dxa"/>
            <w:tcBorders>
              <w:top w:val="single" w:sz="2" w:space="0" w:color="auto"/>
              <w:left w:val="single" w:sz="2" w:space="0" w:color="auto"/>
              <w:bottom w:val="single" w:sz="2" w:space="0" w:color="auto"/>
              <w:right w:val="single" w:sz="2" w:space="0" w:color="auto"/>
            </w:tcBorders>
            <w:vAlign w:val="center"/>
          </w:tcPr>
          <w:p w14:paraId="19D372C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6,337,983,449.84</w:t>
            </w:r>
          </w:p>
        </w:tc>
      </w:tr>
      <w:tr w:rsidR="00F73301" w:rsidRPr="00FC2420" w14:paraId="4349547F"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409C18C3"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III. Current Period Increase (Decrease Is Expressed with "-")</w:t>
            </w:r>
          </w:p>
        </w:tc>
        <w:tc>
          <w:tcPr>
            <w:tcW w:w="562" w:type="dxa"/>
            <w:tcBorders>
              <w:top w:val="single" w:sz="2" w:space="0" w:color="auto"/>
              <w:left w:val="single" w:sz="2" w:space="0" w:color="auto"/>
              <w:bottom w:val="single" w:sz="2" w:space="0" w:color="auto"/>
              <w:right w:val="single" w:sz="2" w:space="0" w:color="auto"/>
            </w:tcBorders>
            <w:vAlign w:val="center"/>
          </w:tcPr>
          <w:p w14:paraId="3F6ED6A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28,679,000.00</w:t>
            </w:r>
          </w:p>
        </w:tc>
        <w:tc>
          <w:tcPr>
            <w:tcW w:w="562" w:type="dxa"/>
            <w:tcBorders>
              <w:top w:val="single" w:sz="2" w:space="0" w:color="auto"/>
              <w:left w:val="single" w:sz="2" w:space="0" w:color="auto"/>
              <w:bottom w:val="single" w:sz="2" w:space="0" w:color="auto"/>
              <w:right w:val="single" w:sz="2" w:space="0" w:color="auto"/>
            </w:tcBorders>
            <w:vAlign w:val="center"/>
          </w:tcPr>
          <w:p w14:paraId="1A2E323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94853FE"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6CB417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E9A63C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1,448,163,181.35</w:t>
            </w:r>
          </w:p>
        </w:tc>
        <w:tc>
          <w:tcPr>
            <w:tcW w:w="563" w:type="dxa"/>
            <w:tcBorders>
              <w:top w:val="single" w:sz="2" w:space="0" w:color="auto"/>
              <w:left w:val="single" w:sz="2" w:space="0" w:color="auto"/>
              <w:bottom w:val="single" w:sz="2" w:space="0" w:color="auto"/>
              <w:right w:val="single" w:sz="2" w:space="0" w:color="auto"/>
            </w:tcBorders>
            <w:vAlign w:val="center"/>
          </w:tcPr>
          <w:p w14:paraId="23F3312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3B04BF3"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11,068,344.53</w:t>
            </w:r>
          </w:p>
        </w:tc>
        <w:tc>
          <w:tcPr>
            <w:tcW w:w="563" w:type="dxa"/>
            <w:tcBorders>
              <w:top w:val="single" w:sz="2" w:space="0" w:color="auto"/>
              <w:left w:val="single" w:sz="2" w:space="0" w:color="auto"/>
              <w:bottom w:val="single" w:sz="2" w:space="0" w:color="auto"/>
              <w:right w:val="single" w:sz="2" w:space="0" w:color="auto"/>
            </w:tcBorders>
            <w:vAlign w:val="center"/>
          </w:tcPr>
          <w:p w14:paraId="5D5E936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048AB8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EE867B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4DF373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140,023,469.12</w:t>
            </w:r>
          </w:p>
        </w:tc>
        <w:tc>
          <w:tcPr>
            <w:tcW w:w="563" w:type="dxa"/>
            <w:tcBorders>
              <w:top w:val="single" w:sz="2" w:space="0" w:color="auto"/>
              <w:left w:val="single" w:sz="2" w:space="0" w:color="auto"/>
              <w:bottom w:val="single" w:sz="2" w:space="0" w:color="auto"/>
              <w:right w:val="single" w:sz="2" w:space="0" w:color="auto"/>
            </w:tcBorders>
            <w:vAlign w:val="center"/>
          </w:tcPr>
          <w:p w14:paraId="4254FB4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38167A"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1,627,933,995.00</w:t>
            </w:r>
          </w:p>
        </w:tc>
        <w:tc>
          <w:tcPr>
            <w:tcW w:w="563" w:type="dxa"/>
            <w:tcBorders>
              <w:top w:val="single" w:sz="2" w:space="0" w:color="auto"/>
              <w:left w:val="single" w:sz="2" w:space="0" w:color="auto"/>
              <w:bottom w:val="single" w:sz="2" w:space="0" w:color="auto"/>
              <w:right w:val="single" w:sz="2" w:space="0" w:color="auto"/>
            </w:tcBorders>
            <w:vAlign w:val="center"/>
          </w:tcPr>
          <w:p w14:paraId="6FC317B1"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223,246,245.30</w:t>
            </w:r>
          </w:p>
        </w:tc>
        <w:tc>
          <w:tcPr>
            <w:tcW w:w="563" w:type="dxa"/>
            <w:tcBorders>
              <w:top w:val="single" w:sz="2" w:space="0" w:color="auto"/>
              <w:left w:val="single" w:sz="2" w:space="0" w:color="auto"/>
              <w:bottom w:val="single" w:sz="2" w:space="0" w:color="auto"/>
              <w:right w:val="single" w:sz="2" w:space="0" w:color="auto"/>
            </w:tcBorders>
            <w:vAlign w:val="center"/>
          </w:tcPr>
          <w:p w14:paraId="2A70C52F"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1,851,180,240.30</w:t>
            </w:r>
          </w:p>
        </w:tc>
      </w:tr>
      <w:tr w:rsidR="00F73301" w:rsidRPr="00FC2420" w14:paraId="37C7DC6B"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6F3B5D5B" w14:textId="77777777" w:rsidR="00F73301" w:rsidRPr="00FC2420" w:rsidRDefault="00F73301" w:rsidP="008C49B7">
            <w:pPr>
              <w:snapToGrid w:val="0"/>
              <w:rPr>
                <w:rFonts w:ascii="Times New Roman" w:eastAsia="宋体" w:hAnsi="Times New Roman" w:cs="Times New Roman"/>
                <w:sz w:val="13"/>
                <w:szCs w:val="13"/>
              </w:rPr>
            </w:pPr>
            <w:proofErr w:type="spellStart"/>
            <w:r w:rsidRPr="00FC2420">
              <w:rPr>
                <w:rFonts w:ascii="Times New Roman" w:eastAsia="宋体" w:hAnsi="Times New Roman" w:cs="Times New Roman"/>
                <w:sz w:val="13"/>
                <w:szCs w:val="13"/>
              </w:rPr>
              <w:t>i</w:t>
            </w:r>
            <w:proofErr w:type="spellEnd"/>
            <w:r w:rsidRPr="00FC2420">
              <w:rPr>
                <w:rFonts w:ascii="Times New Roman" w:eastAsia="宋体" w:hAnsi="Times New Roman" w:cs="Times New Roman"/>
                <w:sz w:val="13"/>
                <w:szCs w:val="13"/>
              </w:rPr>
              <w:t>. Total comprehensive income</w:t>
            </w:r>
          </w:p>
        </w:tc>
        <w:tc>
          <w:tcPr>
            <w:tcW w:w="562" w:type="dxa"/>
            <w:tcBorders>
              <w:top w:val="single" w:sz="2" w:space="0" w:color="auto"/>
              <w:left w:val="single" w:sz="2" w:space="0" w:color="auto"/>
              <w:bottom w:val="single" w:sz="2" w:space="0" w:color="auto"/>
              <w:right w:val="single" w:sz="2" w:space="0" w:color="auto"/>
            </w:tcBorders>
            <w:vAlign w:val="center"/>
          </w:tcPr>
          <w:p w14:paraId="5379685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3A59EC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3CA620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61FD06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D8AF72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738773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C41A5CF"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11,068,344.53</w:t>
            </w:r>
          </w:p>
        </w:tc>
        <w:tc>
          <w:tcPr>
            <w:tcW w:w="563" w:type="dxa"/>
            <w:tcBorders>
              <w:top w:val="single" w:sz="2" w:space="0" w:color="auto"/>
              <w:left w:val="single" w:sz="2" w:space="0" w:color="auto"/>
              <w:bottom w:val="single" w:sz="2" w:space="0" w:color="auto"/>
              <w:right w:val="single" w:sz="2" w:space="0" w:color="auto"/>
            </w:tcBorders>
            <w:vAlign w:val="center"/>
          </w:tcPr>
          <w:p w14:paraId="2D82DE9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0A1884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FF6656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A9C4D0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410,749,362.62</w:t>
            </w:r>
          </w:p>
        </w:tc>
        <w:tc>
          <w:tcPr>
            <w:tcW w:w="563" w:type="dxa"/>
            <w:tcBorders>
              <w:top w:val="single" w:sz="2" w:space="0" w:color="auto"/>
              <w:left w:val="single" w:sz="2" w:space="0" w:color="auto"/>
              <w:bottom w:val="single" w:sz="2" w:space="0" w:color="auto"/>
              <w:right w:val="single" w:sz="2" w:space="0" w:color="auto"/>
            </w:tcBorders>
            <w:vAlign w:val="center"/>
          </w:tcPr>
          <w:p w14:paraId="6943B2A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529717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421,817,707.15</w:t>
            </w:r>
          </w:p>
        </w:tc>
        <w:tc>
          <w:tcPr>
            <w:tcW w:w="563" w:type="dxa"/>
            <w:tcBorders>
              <w:top w:val="single" w:sz="2" w:space="0" w:color="auto"/>
              <w:left w:val="single" w:sz="2" w:space="0" w:color="auto"/>
              <w:bottom w:val="single" w:sz="2" w:space="0" w:color="auto"/>
              <w:right w:val="single" w:sz="2" w:space="0" w:color="auto"/>
            </w:tcBorders>
            <w:vAlign w:val="center"/>
          </w:tcPr>
          <w:p w14:paraId="01F35A19"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-5,393,128.38</w:t>
            </w:r>
          </w:p>
        </w:tc>
        <w:tc>
          <w:tcPr>
            <w:tcW w:w="563" w:type="dxa"/>
            <w:tcBorders>
              <w:top w:val="single" w:sz="2" w:space="0" w:color="auto"/>
              <w:left w:val="single" w:sz="2" w:space="0" w:color="auto"/>
              <w:bottom w:val="single" w:sz="2" w:space="0" w:color="auto"/>
              <w:right w:val="single" w:sz="2" w:space="0" w:color="auto"/>
            </w:tcBorders>
            <w:vAlign w:val="center"/>
          </w:tcPr>
          <w:p w14:paraId="6FD41F7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416,424,578.77</w:t>
            </w:r>
          </w:p>
        </w:tc>
      </w:tr>
      <w:tr w:rsidR="00F73301" w:rsidRPr="00FC2420" w14:paraId="586F1311"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095FCAAB"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ii. Capital contributed or withdrawn by owners</w:t>
            </w:r>
          </w:p>
        </w:tc>
        <w:tc>
          <w:tcPr>
            <w:tcW w:w="562" w:type="dxa"/>
            <w:tcBorders>
              <w:top w:val="single" w:sz="2" w:space="0" w:color="auto"/>
              <w:left w:val="single" w:sz="2" w:space="0" w:color="auto"/>
              <w:bottom w:val="single" w:sz="2" w:space="0" w:color="auto"/>
              <w:right w:val="single" w:sz="2" w:space="0" w:color="auto"/>
            </w:tcBorders>
            <w:vAlign w:val="center"/>
          </w:tcPr>
          <w:p w14:paraId="3AEEB4C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28,679,000.00</w:t>
            </w:r>
          </w:p>
        </w:tc>
        <w:tc>
          <w:tcPr>
            <w:tcW w:w="562" w:type="dxa"/>
            <w:tcBorders>
              <w:top w:val="single" w:sz="2" w:space="0" w:color="auto"/>
              <w:left w:val="single" w:sz="2" w:space="0" w:color="auto"/>
              <w:bottom w:val="single" w:sz="2" w:space="0" w:color="auto"/>
              <w:right w:val="single" w:sz="2" w:space="0" w:color="auto"/>
            </w:tcBorders>
            <w:vAlign w:val="center"/>
          </w:tcPr>
          <w:p w14:paraId="7299E1A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4738A35"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F89DD8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7039E4A"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1,448,163,181.35</w:t>
            </w:r>
          </w:p>
        </w:tc>
        <w:tc>
          <w:tcPr>
            <w:tcW w:w="563" w:type="dxa"/>
            <w:tcBorders>
              <w:top w:val="single" w:sz="2" w:space="0" w:color="auto"/>
              <w:left w:val="single" w:sz="2" w:space="0" w:color="auto"/>
              <w:bottom w:val="single" w:sz="2" w:space="0" w:color="auto"/>
              <w:right w:val="single" w:sz="2" w:space="0" w:color="auto"/>
            </w:tcBorders>
            <w:vAlign w:val="center"/>
          </w:tcPr>
          <w:p w14:paraId="40DC637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1E072E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AA48A8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563B7B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D8A8F9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7B4481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A3F3E5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747D6E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1,476,842,181.35</w:t>
            </w:r>
          </w:p>
        </w:tc>
        <w:tc>
          <w:tcPr>
            <w:tcW w:w="563" w:type="dxa"/>
            <w:tcBorders>
              <w:top w:val="single" w:sz="2" w:space="0" w:color="auto"/>
              <w:left w:val="single" w:sz="2" w:space="0" w:color="auto"/>
              <w:bottom w:val="single" w:sz="2" w:space="0" w:color="auto"/>
              <w:right w:val="single" w:sz="2" w:space="0" w:color="auto"/>
            </w:tcBorders>
            <w:vAlign w:val="center"/>
          </w:tcPr>
          <w:p w14:paraId="6A0CAF23"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228,639,373.68</w:t>
            </w:r>
          </w:p>
        </w:tc>
        <w:tc>
          <w:tcPr>
            <w:tcW w:w="563" w:type="dxa"/>
            <w:tcBorders>
              <w:top w:val="single" w:sz="2" w:space="0" w:color="auto"/>
              <w:left w:val="single" w:sz="2" w:space="0" w:color="auto"/>
              <w:bottom w:val="single" w:sz="2" w:space="0" w:color="auto"/>
              <w:right w:val="single" w:sz="2" w:space="0" w:color="auto"/>
            </w:tcBorders>
            <w:vAlign w:val="center"/>
          </w:tcPr>
          <w:p w14:paraId="03A7D3A5"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1,705,481,555.03</w:t>
            </w:r>
          </w:p>
        </w:tc>
      </w:tr>
      <w:tr w:rsidR="00F73301" w:rsidRPr="00FC2420" w14:paraId="499EF81F"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83B60DF"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1. Ordinary shares contributed by owners</w:t>
            </w:r>
          </w:p>
        </w:tc>
        <w:tc>
          <w:tcPr>
            <w:tcW w:w="562" w:type="dxa"/>
            <w:tcBorders>
              <w:top w:val="single" w:sz="2" w:space="0" w:color="auto"/>
              <w:left w:val="single" w:sz="2" w:space="0" w:color="auto"/>
              <w:bottom w:val="single" w:sz="2" w:space="0" w:color="auto"/>
              <w:right w:val="single" w:sz="2" w:space="0" w:color="auto"/>
            </w:tcBorders>
            <w:vAlign w:val="center"/>
          </w:tcPr>
          <w:p w14:paraId="590021DA"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28,679,000.00</w:t>
            </w:r>
          </w:p>
        </w:tc>
        <w:tc>
          <w:tcPr>
            <w:tcW w:w="562" w:type="dxa"/>
            <w:tcBorders>
              <w:top w:val="single" w:sz="2" w:space="0" w:color="auto"/>
              <w:left w:val="single" w:sz="2" w:space="0" w:color="auto"/>
              <w:bottom w:val="single" w:sz="2" w:space="0" w:color="auto"/>
              <w:right w:val="single" w:sz="2" w:space="0" w:color="auto"/>
            </w:tcBorders>
            <w:vAlign w:val="center"/>
          </w:tcPr>
          <w:p w14:paraId="751F960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7CBE26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3B9BBD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76753C9"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1,428,893,461.35</w:t>
            </w:r>
          </w:p>
        </w:tc>
        <w:tc>
          <w:tcPr>
            <w:tcW w:w="563" w:type="dxa"/>
            <w:tcBorders>
              <w:top w:val="single" w:sz="2" w:space="0" w:color="auto"/>
              <w:left w:val="single" w:sz="2" w:space="0" w:color="auto"/>
              <w:bottom w:val="single" w:sz="2" w:space="0" w:color="auto"/>
              <w:right w:val="single" w:sz="2" w:space="0" w:color="auto"/>
            </w:tcBorders>
            <w:vAlign w:val="center"/>
          </w:tcPr>
          <w:p w14:paraId="6206207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0180B9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5804BB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5E63C8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CAC904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3271AE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E40E5F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AC315D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1,457,572,461.35</w:t>
            </w:r>
          </w:p>
        </w:tc>
        <w:tc>
          <w:tcPr>
            <w:tcW w:w="563" w:type="dxa"/>
            <w:tcBorders>
              <w:top w:val="single" w:sz="2" w:space="0" w:color="auto"/>
              <w:left w:val="single" w:sz="2" w:space="0" w:color="auto"/>
              <w:bottom w:val="single" w:sz="2" w:space="0" w:color="auto"/>
              <w:right w:val="single" w:sz="2" w:space="0" w:color="auto"/>
            </w:tcBorders>
            <w:vAlign w:val="center"/>
          </w:tcPr>
          <w:p w14:paraId="39299C2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228,639,373.68</w:t>
            </w:r>
          </w:p>
        </w:tc>
        <w:tc>
          <w:tcPr>
            <w:tcW w:w="563" w:type="dxa"/>
            <w:tcBorders>
              <w:top w:val="single" w:sz="2" w:space="0" w:color="auto"/>
              <w:left w:val="single" w:sz="2" w:space="0" w:color="auto"/>
              <w:bottom w:val="single" w:sz="2" w:space="0" w:color="auto"/>
              <w:right w:val="single" w:sz="2" w:space="0" w:color="auto"/>
            </w:tcBorders>
            <w:vAlign w:val="center"/>
          </w:tcPr>
          <w:p w14:paraId="0C58E6E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1,686,211,835.03</w:t>
            </w:r>
          </w:p>
        </w:tc>
      </w:tr>
      <w:tr w:rsidR="00F73301" w:rsidRPr="00FC2420" w14:paraId="080CC262"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2A18CAF"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2. Capital contributed by holders of other equity instruments</w:t>
            </w:r>
          </w:p>
        </w:tc>
        <w:tc>
          <w:tcPr>
            <w:tcW w:w="562" w:type="dxa"/>
            <w:tcBorders>
              <w:top w:val="single" w:sz="2" w:space="0" w:color="auto"/>
              <w:left w:val="single" w:sz="2" w:space="0" w:color="auto"/>
              <w:bottom w:val="single" w:sz="2" w:space="0" w:color="auto"/>
              <w:right w:val="single" w:sz="2" w:space="0" w:color="auto"/>
            </w:tcBorders>
            <w:vAlign w:val="center"/>
          </w:tcPr>
          <w:p w14:paraId="3A9F0418"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16CE39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962D2C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F3D9A8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95DF7C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4F637F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4CE204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2B90EF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07F3AE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C02588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109F80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67CD52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E095E9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87E3CD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DEFEABA"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653F0B9F"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6C89D0C9"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3. Amount of share-based payment included in equity</w:t>
            </w:r>
          </w:p>
        </w:tc>
        <w:tc>
          <w:tcPr>
            <w:tcW w:w="562" w:type="dxa"/>
            <w:tcBorders>
              <w:top w:val="single" w:sz="2" w:space="0" w:color="auto"/>
              <w:left w:val="single" w:sz="2" w:space="0" w:color="auto"/>
              <w:bottom w:val="single" w:sz="2" w:space="0" w:color="auto"/>
              <w:right w:val="single" w:sz="2" w:space="0" w:color="auto"/>
            </w:tcBorders>
            <w:vAlign w:val="center"/>
          </w:tcPr>
          <w:p w14:paraId="7E1BAF25"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71B0FA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4348B8E"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EDA932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24C7E2A"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19,269,720.00</w:t>
            </w:r>
          </w:p>
        </w:tc>
        <w:tc>
          <w:tcPr>
            <w:tcW w:w="563" w:type="dxa"/>
            <w:tcBorders>
              <w:top w:val="single" w:sz="2" w:space="0" w:color="auto"/>
              <w:left w:val="single" w:sz="2" w:space="0" w:color="auto"/>
              <w:bottom w:val="single" w:sz="2" w:space="0" w:color="auto"/>
              <w:right w:val="single" w:sz="2" w:space="0" w:color="auto"/>
            </w:tcBorders>
            <w:vAlign w:val="center"/>
          </w:tcPr>
          <w:p w14:paraId="4B90C4C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BDB11D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E48516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66BBC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B3E63F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38E983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072053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3DFDC5"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19,269,720.00</w:t>
            </w:r>
          </w:p>
        </w:tc>
        <w:tc>
          <w:tcPr>
            <w:tcW w:w="563" w:type="dxa"/>
            <w:tcBorders>
              <w:top w:val="single" w:sz="2" w:space="0" w:color="auto"/>
              <w:left w:val="single" w:sz="2" w:space="0" w:color="auto"/>
              <w:bottom w:val="single" w:sz="2" w:space="0" w:color="auto"/>
              <w:right w:val="single" w:sz="2" w:space="0" w:color="auto"/>
            </w:tcBorders>
            <w:vAlign w:val="center"/>
          </w:tcPr>
          <w:p w14:paraId="523D47A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3F2D0C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19,269,720.00</w:t>
            </w:r>
          </w:p>
        </w:tc>
      </w:tr>
      <w:tr w:rsidR="00F73301" w:rsidRPr="00FC2420" w14:paraId="21BB7015"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EADC39B"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4. Others</w:t>
            </w:r>
          </w:p>
        </w:tc>
        <w:tc>
          <w:tcPr>
            <w:tcW w:w="562" w:type="dxa"/>
            <w:tcBorders>
              <w:top w:val="single" w:sz="2" w:space="0" w:color="auto"/>
              <w:left w:val="single" w:sz="2" w:space="0" w:color="auto"/>
              <w:bottom w:val="single" w:sz="2" w:space="0" w:color="auto"/>
              <w:right w:val="single" w:sz="2" w:space="0" w:color="auto"/>
            </w:tcBorders>
            <w:vAlign w:val="center"/>
          </w:tcPr>
          <w:p w14:paraId="2B35D9E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BF5C03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DDC18D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FB274B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C3413D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4EA72C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1421B4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01E3F1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367920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759D84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CCA1AE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077730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849C3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6A17E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C234FDB"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424800B0"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EC7A248"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iii. Profit distribution</w:t>
            </w:r>
          </w:p>
        </w:tc>
        <w:tc>
          <w:tcPr>
            <w:tcW w:w="562" w:type="dxa"/>
            <w:tcBorders>
              <w:top w:val="single" w:sz="2" w:space="0" w:color="auto"/>
              <w:left w:val="single" w:sz="2" w:space="0" w:color="auto"/>
              <w:bottom w:val="single" w:sz="2" w:space="0" w:color="auto"/>
              <w:right w:val="single" w:sz="2" w:space="0" w:color="auto"/>
            </w:tcBorders>
            <w:vAlign w:val="center"/>
          </w:tcPr>
          <w:p w14:paraId="3BA97707"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F481D55"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C9A454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55FC6B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657879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6F88FC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8B0B7C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E87627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AD9AE9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C0BF9F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281AFDC"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-270,725,893.50</w:t>
            </w:r>
          </w:p>
        </w:tc>
        <w:tc>
          <w:tcPr>
            <w:tcW w:w="563" w:type="dxa"/>
            <w:tcBorders>
              <w:top w:val="single" w:sz="2" w:space="0" w:color="auto"/>
              <w:left w:val="single" w:sz="2" w:space="0" w:color="auto"/>
              <w:bottom w:val="single" w:sz="2" w:space="0" w:color="auto"/>
              <w:right w:val="single" w:sz="2" w:space="0" w:color="auto"/>
            </w:tcBorders>
            <w:vAlign w:val="center"/>
          </w:tcPr>
          <w:p w14:paraId="14443BB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8B32563"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-270,725,893.50</w:t>
            </w:r>
          </w:p>
        </w:tc>
        <w:tc>
          <w:tcPr>
            <w:tcW w:w="563" w:type="dxa"/>
            <w:tcBorders>
              <w:top w:val="single" w:sz="2" w:space="0" w:color="auto"/>
              <w:left w:val="single" w:sz="2" w:space="0" w:color="auto"/>
              <w:bottom w:val="single" w:sz="2" w:space="0" w:color="auto"/>
              <w:right w:val="single" w:sz="2" w:space="0" w:color="auto"/>
            </w:tcBorders>
            <w:vAlign w:val="center"/>
          </w:tcPr>
          <w:p w14:paraId="2BADF4E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B98DC4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-270,725,893.50</w:t>
            </w:r>
          </w:p>
        </w:tc>
      </w:tr>
      <w:tr w:rsidR="00F73301" w:rsidRPr="00FC2420" w14:paraId="443A65C6"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5F4F38CD"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1. Appropriation of surplus reserve</w:t>
            </w:r>
          </w:p>
        </w:tc>
        <w:tc>
          <w:tcPr>
            <w:tcW w:w="562" w:type="dxa"/>
            <w:tcBorders>
              <w:top w:val="single" w:sz="2" w:space="0" w:color="auto"/>
              <w:left w:val="single" w:sz="2" w:space="0" w:color="auto"/>
              <w:bottom w:val="single" w:sz="2" w:space="0" w:color="auto"/>
              <w:right w:val="single" w:sz="2" w:space="0" w:color="auto"/>
            </w:tcBorders>
            <w:vAlign w:val="center"/>
          </w:tcPr>
          <w:p w14:paraId="7D42FAA5"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D96748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001C1D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E769B5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33307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1D69AA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0F88BB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A15573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FBF50A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9865D6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2B920F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333601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4F9B4E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A9E19B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E4DA832"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3B0551CD"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0F5F2E15"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2. Appropriation of general risk reserve</w:t>
            </w:r>
          </w:p>
        </w:tc>
        <w:tc>
          <w:tcPr>
            <w:tcW w:w="562" w:type="dxa"/>
            <w:tcBorders>
              <w:top w:val="single" w:sz="2" w:space="0" w:color="auto"/>
              <w:left w:val="single" w:sz="2" w:space="0" w:color="auto"/>
              <w:bottom w:val="single" w:sz="2" w:space="0" w:color="auto"/>
              <w:right w:val="single" w:sz="2" w:space="0" w:color="auto"/>
            </w:tcBorders>
            <w:vAlign w:val="center"/>
          </w:tcPr>
          <w:p w14:paraId="5177843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119033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79DDDE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E57B1B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54A043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3915F9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B0C1B8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A8A2DA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205CD9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3ADBC2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B170B6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E1CC72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111C7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87E511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0F96786"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55D8D161"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5620024F"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3. Appropriation of profit to owners (or shareholders)</w:t>
            </w:r>
          </w:p>
        </w:tc>
        <w:tc>
          <w:tcPr>
            <w:tcW w:w="562" w:type="dxa"/>
            <w:tcBorders>
              <w:top w:val="single" w:sz="2" w:space="0" w:color="auto"/>
              <w:left w:val="single" w:sz="2" w:space="0" w:color="auto"/>
              <w:bottom w:val="single" w:sz="2" w:space="0" w:color="auto"/>
              <w:right w:val="single" w:sz="2" w:space="0" w:color="auto"/>
            </w:tcBorders>
            <w:vAlign w:val="center"/>
          </w:tcPr>
          <w:p w14:paraId="25056C90"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C229E50"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7204046"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B4E95C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0D4865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431FD6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CD293A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576916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0B6123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3E6698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96A4E4F"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-270,725,893.50</w:t>
            </w:r>
          </w:p>
        </w:tc>
        <w:tc>
          <w:tcPr>
            <w:tcW w:w="563" w:type="dxa"/>
            <w:tcBorders>
              <w:top w:val="single" w:sz="2" w:space="0" w:color="auto"/>
              <w:left w:val="single" w:sz="2" w:space="0" w:color="auto"/>
              <w:bottom w:val="single" w:sz="2" w:space="0" w:color="auto"/>
              <w:right w:val="single" w:sz="2" w:space="0" w:color="auto"/>
            </w:tcBorders>
            <w:vAlign w:val="center"/>
          </w:tcPr>
          <w:p w14:paraId="3E4AFB6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D9A6113"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-270,725,893.50</w:t>
            </w:r>
          </w:p>
        </w:tc>
        <w:tc>
          <w:tcPr>
            <w:tcW w:w="563" w:type="dxa"/>
            <w:tcBorders>
              <w:top w:val="single" w:sz="2" w:space="0" w:color="auto"/>
              <w:left w:val="single" w:sz="2" w:space="0" w:color="auto"/>
              <w:bottom w:val="single" w:sz="2" w:space="0" w:color="auto"/>
              <w:right w:val="single" w:sz="2" w:space="0" w:color="auto"/>
            </w:tcBorders>
            <w:vAlign w:val="center"/>
          </w:tcPr>
          <w:p w14:paraId="068AEF8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B137E1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-270,725,893.50</w:t>
            </w:r>
          </w:p>
        </w:tc>
      </w:tr>
      <w:tr w:rsidR="00F73301" w:rsidRPr="00FC2420" w14:paraId="70A82600"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9E569B3"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4. Others</w:t>
            </w:r>
          </w:p>
        </w:tc>
        <w:tc>
          <w:tcPr>
            <w:tcW w:w="562" w:type="dxa"/>
            <w:tcBorders>
              <w:top w:val="single" w:sz="2" w:space="0" w:color="auto"/>
              <w:left w:val="single" w:sz="2" w:space="0" w:color="auto"/>
              <w:bottom w:val="single" w:sz="2" w:space="0" w:color="auto"/>
              <w:right w:val="single" w:sz="2" w:space="0" w:color="auto"/>
            </w:tcBorders>
            <w:vAlign w:val="center"/>
          </w:tcPr>
          <w:p w14:paraId="7114F4B5"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BFCA72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6A6916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F25531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5F1936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FB11F3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907C61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A4842C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136393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83CB41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BD4AA8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89F837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A8263F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40B88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8F380FC"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12556669"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DC6C1C3"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iv. Internal carry-over within equity</w:t>
            </w:r>
          </w:p>
        </w:tc>
        <w:tc>
          <w:tcPr>
            <w:tcW w:w="562" w:type="dxa"/>
            <w:tcBorders>
              <w:top w:val="single" w:sz="2" w:space="0" w:color="auto"/>
              <w:left w:val="single" w:sz="2" w:space="0" w:color="auto"/>
              <w:bottom w:val="single" w:sz="2" w:space="0" w:color="auto"/>
              <w:right w:val="single" w:sz="2" w:space="0" w:color="auto"/>
            </w:tcBorders>
            <w:vAlign w:val="center"/>
          </w:tcPr>
          <w:p w14:paraId="4D04481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84F0DC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BD12AB8"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260A5F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0CCD04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5DEBF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A32058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C09BDC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CC1DFD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4B6356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D2C27A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1FB27F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B37E0F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9BEB8E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4C846EB"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66E0B5DB"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1469718"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1. Transfer of capital reserve to capital (or share capital)</w:t>
            </w:r>
          </w:p>
        </w:tc>
        <w:tc>
          <w:tcPr>
            <w:tcW w:w="562" w:type="dxa"/>
            <w:tcBorders>
              <w:top w:val="single" w:sz="2" w:space="0" w:color="auto"/>
              <w:left w:val="single" w:sz="2" w:space="0" w:color="auto"/>
              <w:bottom w:val="single" w:sz="2" w:space="0" w:color="auto"/>
              <w:right w:val="single" w:sz="2" w:space="0" w:color="auto"/>
            </w:tcBorders>
            <w:vAlign w:val="center"/>
          </w:tcPr>
          <w:p w14:paraId="3C1F6277"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B1134B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E1F2C6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CF6B3C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F5A81D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353FE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BE1260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7BF14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8E3B60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2CB6C8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10F818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AE84BD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CB25B5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167BF1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41A0FE6"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2B648568"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55AD8174"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2. Transfer of surplus reserve to capital (or share capital)</w:t>
            </w:r>
          </w:p>
        </w:tc>
        <w:tc>
          <w:tcPr>
            <w:tcW w:w="562" w:type="dxa"/>
            <w:tcBorders>
              <w:top w:val="single" w:sz="2" w:space="0" w:color="auto"/>
              <w:left w:val="single" w:sz="2" w:space="0" w:color="auto"/>
              <w:bottom w:val="single" w:sz="2" w:space="0" w:color="auto"/>
              <w:right w:val="single" w:sz="2" w:space="0" w:color="auto"/>
            </w:tcBorders>
            <w:vAlign w:val="center"/>
          </w:tcPr>
          <w:p w14:paraId="7C4C126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D6A323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E1612B8"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FD8FE6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2A47BE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B330A1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016E9D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A160D5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B0A7E7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A2C6D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BB2184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A59C87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16C35F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F5E985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B086056"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4B6676C7"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4A5EA92B"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3. Surplus reserve to cover losses</w:t>
            </w:r>
          </w:p>
        </w:tc>
        <w:tc>
          <w:tcPr>
            <w:tcW w:w="562" w:type="dxa"/>
            <w:tcBorders>
              <w:top w:val="single" w:sz="2" w:space="0" w:color="auto"/>
              <w:left w:val="single" w:sz="2" w:space="0" w:color="auto"/>
              <w:bottom w:val="single" w:sz="2" w:space="0" w:color="auto"/>
              <w:right w:val="single" w:sz="2" w:space="0" w:color="auto"/>
            </w:tcBorders>
            <w:vAlign w:val="center"/>
          </w:tcPr>
          <w:p w14:paraId="2C8CADE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BF8B4F0"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F42273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7E8370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2933EA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5D6D72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E09724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B72BA1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B5A784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8C3EBF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F3F5B5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9FC38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81D620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A4722D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60FE8E6"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191AFD9B"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4E7851D"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lastRenderedPageBreak/>
              <w:t>4. Changes in defined benefit plan carried over to retained earnings</w:t>
            </w:r>
          </w:p>
        </w:tc>
        <w:tc>
          <w:tcPr>
            <w:tcW w:w="562" w:type="dxa"/>
            <w:tcBorders>
              <w:top w:val="single" w:sz="2" w:space="0" w:color="auto"/>
              <w:left w:val="single" w:sz="2" w:space="0" w:color="auto"/>
              <w:bottom w:val="single" w:sz="2" w:space="0" w:color="auto"/>
              <w:right w:val="single" w:sz="2" w:space="0" w:color="auto"/>
            </w:tcBorders>
            <w:vAlign w:val="center"/>
          </w:tcPr>
          <w:p w14:paraId="30EA74B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D8B64E5"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7AA80A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31764B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3804BB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BE6DB3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274BE8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3BCEF1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22D473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E11A4C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5EB4F0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F44307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603118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EC5386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F11634B"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2F68D59F"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B7FD01E"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5. Other comprehensive income carried over to retained earnings</w:t>
            </w:r>
          </w:p>
        </w:tc>
        <w:tc>
          <w:tcPr>
            <w:tcW w:w="562" w:type="dxa"/>
            <w:tcBorders>
              <w:top w:val="single" w:sz="2" w:space="0" w:color="auto"/>
              <w:left w:val="single" w:sz="2" w:space="0" w:color="auto"/>
              <w:bottom w:val="single" w:sz="2" w:space="0" w:color="auto"/>
              <w:right w:val="single" w:sz="2" w:space="0" w:color="auto"/>
            </w:tcBorders>
            <w:vAlign w:val="center"/>
          </w:tcPr>
          <w:p w14:paraId="315FDA34"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542C56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D9C937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AD2A7F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E82266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208843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BC4949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F85F6B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156C6B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912141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599F71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A84E4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9CF9A0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C54432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79FFAE4"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2B3F4056"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63D7F19A"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6. Others</w:t>
            </w:r>
          </w:p>
        </w:tc>
        <w:tc>
          <w:tcPr>
            <w:tcW w:w="562" w:type="dxa"/>
            <w:tcBorders>
              <w:top w:val="single" w:sz="2" w:space="0" w:color="auto"/>
              <w:left w:val="single" w:sz="2" w:space="0" w:color="auto"/>
              <w:bottom w:val="single" w:sz="2" w:space="0" w:color="auto"/>
              <w:right w:val="single" w:sz="2" w:space="0" w:color="auto"/>
            </w:tcBorders>
            <w:vAlign w:val="center"/>
          </w:tcPr>
          <w:p w14:paraId="6E5C8DA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FB3A21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95E964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CB85C7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BF206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A4C23C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6067BB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1C5DCB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EB08D1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62202A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1CB9F5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BACF07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492355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814125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5111428"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70EA0169"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493FC2F"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v. Special reserve</w:t>
            </w:r>
          </w:p>
        </w:tc>
        <w:tc>
          <w:tcPr>
            <w:tcW w:w="562" w:type="dxa"/>
            <w:tcBorders>
              <w:top w:val="single" w:sz="2" w:space="0" w:color="auto"/>
              <w:left w:val="single" w:sz="2" w:space="0" w:color="auto"/>
              <w:bottom w:val="single" w:sz="2" w:space="0" w:color="auto"/>
              <w:right w:val="single" w:sz="2" w:space="0" w:color="auto"/>
            </w:tcBorders>
            <w:vAlign w:val="center"/>
          </w:tcPr>
          <w:p w14:paraId="2C3E61D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03CCCA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784D293"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D8F476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CB38A9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D7CD9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7F70FC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C25B4F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D9D2A5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16F5DE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871FCD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7FED95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6E3DE4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ED237C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1B1E6A5"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7EE4A53B"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5C44FF32"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1. Appropriation of current period</w:t>
            </w:r>
          </w:p>
        </w:tc>
        <w:tc>
          <w:tcPr>
            <w:tcW w:w="562" w:type="dxa"/>
            <w:tcBorders>
              <w:top w:val="single" w:sz="2" w:space="0" w:color="auto"/>
              <w:left w:val="single" w:sz="2" w:space="0" w:color="auto"/>
              <w:bottom w:val="single" w:sz="2" w:space="0" w:color="auto"/>
              <w:right w:val="single" w:sz="2" w:space="0" w:color="auto"/>
            </w:tcBorders>
            <w:vAlign w:val="center"/>
          </w:tcPr>
          <w:p w14:paraId="5DFF0A4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C3A8CA8"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D32BF5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EE3D3F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54840C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FEA61E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DBB5AB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79449B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DBE70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53A448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763617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A9F8A3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5874F3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2F6604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0D823DE"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7E582E18"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4A3C15F"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2. Application of current period</w:t>
            </w:r>
          </w:p>
        </w:tc>
        <w:tc>
          <w:tcPr>
            <w:tcW w:w="562" w:type="dxa"/>
            <w:tcBorders>
              <w:top w:val="single" w:sz="2" w:space="0" w:color="auto"/>
              <w:left w:val="single" w:sz="2" w:space="0" w:color="auto"/>
              <w:bottom w:val="single" w:sz="2" w:space="0" w:color="auto"/>
              <w:right w:val="single" w:sz="2" w:space="0" w:color="auto"/>
            </w:tcBorders>
            <w:vAlign w:val="center"/>
          </w:tcPr>
          <w:p w14:paraId="393E1EF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F36F88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AE9CE48"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69B553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0209CC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E2C80C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C55020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43B6EB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712D70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8CF964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EC6371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53BE70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61C20C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021AB6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6B9BB6D"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0B40830E"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17ED4555"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vi. Others</w:t>
            </w:r>
          </w:p>
        </w:tc>
        <w:tc>
          <w:tcPr>
            <w:tcW w:w="562" w:type="dxa"/>
            <w:tcBorders>
              <w:top w:val="single" w:sz="2" w:space="0" w:color="auto"/>
              <w:left w:val="single" w:sz="2" w:space="0" w:color="auto"/>
              <w:bottom w:val="single" w:sz="2" w:space="0" w:color="auto"/>
              <w:right w:val="single" w:sz="2" w:space="0" w:color="auto"/>
            </w:tcBorders>
            <w:vAlign w:val="center"/>
          </w:tcPr>
          <w:p w14:paraId="0489960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D4DAE0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81A7626"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A33525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DEAB8D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0C1AC6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100C4C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5894DA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F74A6D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931F95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D36AFD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605421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2C47A6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6981D9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4B47D87"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367F2B9C"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44F06FDA"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IV. Closing Balance of Current Period</w:t>
            </w:r>
          </w:p>
        </w:tc>
        <w:tc>
          <w:tcPr>
            <w:tcW w:w="562" w:type="dxa"/>
            <w:tcBorders>
              <w:top w:val="single" w:sz="2" w:space="0" w:color="auto"/>
              <w:left w:val="single" w:sz="2" w:space="0" w:color="auto"/>
              <w:bottom w:val="single" w:sz="2" w:space="0" w:color="auto"/>
              <w:right w:val="single" w:sz="2" w:space="0" w:color="auto"/>
            </w:tcBorders>
            <w:vAlign w:val="center"/>
          </w:tcPr>
          <w:p w14:paraId="56FFC7C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541,451,787.00</w:t>
            </w:r>
          </w:p>
        </w:tc>
        <w:tc>
          <w:tcPr>
            <w:tcW w:w="562" w:type="dxa"/>
            <w:tcBorders>
              <w:top w:val="single" w:sz="2" w:space="0" w:color="auto"/>
              <w:left w:val="single" w:sz="2" w:space="0" w:color="auto"/>
              <w:bottom w:val="single" w:sz="2" w:space="0" w:color="auto"/>
              <w:right w:val="single" w:sz="2" w:space="0" w:color="auto"/>
            </w:tcBorders>
            <w:vAlign w:val="center"/>
          </w:tcPr>
          <w:p w14:paraId="2D9FDF0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93B0EA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9AE7FC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668BDF9"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4,032,753,425.09</w:t>
            </w:r>
          </w:p>
        </w:tc>
        <w:tc>
          <w:tcPr>
            <w:tcW w:w="563" w:type="dxa"/>
            <w:tcBorders>
              <w:top w:val="single" w:sz="2" w:space="0" w:color="auto"/>
              <w:left w:val="single" w:sz="2" w:space="0" w:color="auto"/>
              <w:bottom w:val="single" w:sz="2" w:space="0" w:color="auto"/>
              <w:right w:val="single" w:sz="2" w:space="0" w:color="auto"/>
            </w:tcBorders>
            <w:vAlign w:val="center"/>
          </w:tcPr>
          <w:p w14:paraId="0B4CDAA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E6C8F9C"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39,234,628.37</w:t>
            </w:r>
          </w:p>
        </w:tc>
        <w:tc>
          <w:tcPr>
            <w:tcW w:w="563" w:type="dxa"/>
            <w:tcBorders>
              <w:top w:val="single" w:sz="2" w:space="0" w:color="auto"/>
              <w:left w:val="single" w:sz="2" w:space="0" w:color="auto"/>
              <w:bottom w:val="single" w:sz="2" w:space="0" w:color="auto"/>
              <w:right w:val="single" w:sz="2" w:space="0" w:color="auto"/>
            </w:tcBorders>
            <w:vAlign w:val="center"/>
          </w:tcPr>
          <w:p w14:paraId="45CE18D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E9B6FF5"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256,386,393.50</w:t>
            </w:r>
          </w:p>
        </w:tc>
        <w:tc>
          <w:tcPr>
            <w:tcW w:w="563" w:type="dxa"/>
            <w:tcBorders>
              <w:top w:val="single" w:sz="2" w:space="0" w:color="auto"/>
              <w:left w:val="single" w:sz="2" w:space="0" w:color="auto"/>
              <w:bottom w:val="single" w:sz="2" w:space="0" w:color="auto"/>
              <w:right w:val="single" w:sz="2" w:space="0" w:color="auto"/>
            </w:tcBorders>
            <w:vAlign w:val="center"/>
          </w:tcPr>
          <w:p w14:paraId="7C22D5E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F74FF32"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2,911,513,371.39</w:t>
            </w:r>
          </w:p>
        </w:tc>
        <w:tc>
          <w:tcPr>
            <w:tcW w:w="563" w:type="dxa"/>
            <w:tcBorders>
              <w:top w:val="single" w:sz="2" w:space="0" w:color="auto"/>
              <w:left w:val="single" w:sz="2" w:space="0" w:color="auto"/>
              <w:bottom w:val="single" w:sz="2" w:space="0" w:color="auto"/>
              <w:right w:val="single" w:sz="2" w:space="0" w:color="auto"/>
            </w:tcBorders>
            <w:vAlign w:val="center"/>
          </w:tcPr>
          <w:p w14:paraId="266EF9C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A72291C"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7,781,339,605.35</w:t>
            </w:r>
          </w:p>
        </w:tc>
        <w:tc>
          <w:tcPr>
            <w:tcW w:w="563" w:type="dxa"/>
            <w:tcBorders>
              <w:top w:val="single" w:sz="2" w:space="0" w:color="auto"/>
              <w:left w:val="single" w:sz="2" w:space="0" w:color="auto"/>
              <w:bottom w:val="single" w:sz="2" w:space="0" w:color="auto"/>
              <w:right w:val="single" w:sz="2" w:space="0" w:color="auto"/>
            </w:tcBorders>
            <w:vAlign w:val="center"/>
          </w:tcPr>
          <w:p w14:paraId="589FBF6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407,824,084.79</w:t>
            </w:r>
          </w:p>
        </w:tc>
        <w:tc>
          <w:tcPr>
            <w:tcW w:w="563" w:type="dxa"/>
            <w:tcBorders>
              <w:top w:val="single" w:sz="2" w:space="0" w:color="auto"/>
              <w:left w:val="single" w:sz="2" w:space="0" w:color="auto"/>
              <w:bottom w:val="single" w:sz="2" w:space="0" w:color="auto"/>
              <w:right w:val="single" w:sz="2" w:space="0" w:color="auto"/>
            </w:tcBorders>
            <w:vAlign w:val="center"/>
          </w:tcPr>
          <w:p w14:paraId="037EE761"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8,189,163,690.14</w:t>
            </w:r>
          </w:p>
        </w:tc>
      </w:tr>
    </w:tbl>
    <w:p w14:paraId="47B8E26D" w14:textId="77777777" w:rsidR="00F73301" w:rsidRPr="00F73301" w:rsidRDefault="00F73301" w:rsidP="00F73301">
      <w:pPr>
        <w:snapToGrid w:val="0"/>
        <w:spacing w:beforeLines="50" w:before="156" w:afterLines="50" w:after="156"/>
        <w:rPr>
          <w:rFonts w:ascii="Times New Roman" w:eastAsia="宋体" w:hAnsi="Times New Roman" w:cs="Times New Roman"/>
          <w:sz w:val="24"/>
          <w:szCs w:val="24"/>
        </w:rPr>
      </w:pPr>
      <w:r w:rsidRPr="00F73301">
        <w:rPr>
          <w:rFonts w:ascii="Times New Roman" w:eastAsia="宋体" w:hAnsi="Times New Roman" w:cs="Times New Roman"/>
          <w:sz w:val="24"/>
          <w:szCs w:val="24"/>
        </w:rPr>
        <w:t>Amount of prior year</w:t>
      </w:r>
    </w:p>
    <w:p w14:paraId="1AD358E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4A0" w:firstRow="1" w:lastRow="0" w:firstColumn="1" w:lastColumn="0" w:noHBand="0" w:noVBand="1"/>
      </w:tblPr>
      <w:tblGrid>
        <w:gridCol w:w="1198"/>
        <w:gridCol w:w="562"/>
        <w:gridCol w:w="562"/>
        <w:gridCol w:w="562"/>
        <w:gridCol w:w="562"/>
        <w:gridCol w:w="563"/>
        <w:gridCol w:w="563"/>
        <w:gridCol w:w="563"/>
        <w:gridCol w:w="563"/>
        <w:gridCol w:w="563"/>
        <w:gridCol w:w="563"/>
        <w:gridCol w:w="563"/>
        <w:gridCol w:w="563"/>
        <w:gridCol w:w="563"/>
        <w:gridCol w:w="563"/>
        <w:gridCol w:w="563"/>
      </w:tblGrid>
      <w:tr w:rsidR="008C49B7" w:rsidRPr="00FC2420" w14:paraId="5C65B48E" w14:textId="77777777" w:rsidTr="00FC2420">
        <w:trPr>
          <w:jc w:val="center"/>
        </w:trPr>
        <w:tc>
          <w:tcPr>
            <w:tcW w:w="11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0544B8"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Item</w:t>
            </w:r>
          </w:p>
        </w:tc>
        <w:tc>
          <w:tcPr>
            <w:tcW w:w="8441"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1A2A1B4A"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2022 mid-year</w:t>
            </w:r>
          </w:p>
        </w:tc>
      </w:tr>
      <w:tr w:rsidR="00F73301" w:rsidRPr="00FC2420" w14:paraId="45963E16" w14:textId="77777777" w:rsidTr="00FC2420">
        <w:trPr>
          <w:jc w:val="center"/>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4CCA126" w14:textId="77777777" w:rsidR="00F73301" w:rsidRPr="00FC2420" w:rsidRDefault="00F73301" w:rsidP="008C49B7">
            <w:pPr>
              <w:snapToGrid w:val="0"/>
              <w:rPr>
                <w:rFonts w:ascii="Times New Roman" w:eastAsia="等线" w:hAnsi="Times New Roman" w:cs="Times New Roman"/>
                <w:sz w:val="13"/>
                <w:szCs w:val="13"/>
              </w:rPr>
            </w:pPr>
          </w:p>
        </w:tc>
        <w:tc>
          <w:tcPr>
            <w:tcW w:w="7315"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794F086A"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Equity attributable to parent company</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02D400"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Non-controlling interest</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8BE9D4"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Total owners' equity</w:t>
            </w:r>
          </w:p>
        </w:tc>
      </w:tr>
      <w:tr w:rsidR="00F73301" w:rsidRPr="00FC2420" w14:paraId="76BEB7E5" w14:textId="77777777" w:rsidTr="00FC2420">
        <w:trPr>
          <w:jc w:val="center"/>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D8A431" w14:textId="77777777" w:rsidR="00F73301" w:rsidRPr="00FC2420" w:rsidRDefault="00F73301" w:rsidP="008C49B7">
            <w:pPr>
              <w:snapToGrid w:val="0"/>
              <w:rPr>
                <w:rFonts w:ascii="Times New Roman" w:eastAsia="等线" w:hAnsi="Times New Roman" w:cs="Times New Roman"/>
                <w:sz w:val="13"/>
                <w:szCs w:val="13"/>
              </w:rPr>
            </w:pPr>
          </w:p>
        </w:tc>
        <w:tc>
          <w:tcPr>
            <w:tcW w:w="5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1FA93E"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Share capital</w:t>
            </w:r>
          </w:p>
        </w:tc>
        <w:tc>
          <w:tcPr>
            <w:tcW w:w="168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AAC8744"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Other equity instruments</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CE0A14"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Capital reserve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657AF5"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Less: Treasury shares</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2ACCBD"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Other comprehensive income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AFD504A"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Special reserve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2FE1AB9"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Surplus reserve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53FE01"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General risk reserve</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443B31"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Undistributed profit</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29F7D93"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Others</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BA141C6"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Subtotal</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4652CD0"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74DFE9" w14:textId="77777777" w:rsidR="00F73301" w:rsidRPr="00FC2420" w:rsidRDefault="00F73301" w:rsidP="008C49B7">
            <w:pPr>
              <w:snapToGrid w:val="0"/>
              <w:rPr>
                <w:rFonts w:ascii="Times New Roman" w:eastAsia="等线" w:hAnsi="Times New Roman" w:cs="Times New Roman"/>
                <w:sz w:val="13"/>
                <w:szCs w:val="13"/>
              </w:rPr>
            </w:pPr>
          </w:p>
        </w:tc>
      </w:tr>
      <w:tr w:rsidR="00F73301" w:rsidRPr="00FC2420" w14:paraId="62F28286" w14:textId="77777777" w:rsidTr="00FC2420">
        <w:trPr>
          <w:jc w:val="center"/>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DA1CC9F" w14:textId="77777777" w:rsidR="00F73301" w:rsidRPr="00FC2420" w:rsidRDefault="00F73301" w:rsidP="008C49B7">
            <w:pPr>
              <w:snapToGrid w:val="0"/>
              <w:rPr>
                <w:rFonts w:ascii="Times New Roman" w:eastAsia="等线" w:hAnsi="Times New Roman" w:cs="Times New Roman"/>
                <w:sz w:val="13"/>
                <w:szCs w:val="13"/>
              </w:rPr>
            </w:pPr>
          </w:p>
        </w:tc>
        <w:tc>
          <w:tcPr>
            <w:tcW w:w="56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33B021" w14:textId="77777777" w:rsidR="00F73301" w:rsidRPr="00FC2420" w:rsidRDefault="00F73301" w:rsidP="008C49B7">
            <w:pPr>
              <w:snapToGrid w:val="0"/>
              <w:rPr>
                <w:rFonts w:ascii="Times New Roman" w:eastAsia="等线"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14:paraId="40F89697"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Preferred shares</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14:paraId="1BB5E5F7"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Perpetual bonds</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14:paraId="2C43F6AB" w14:textId="77777777" w:rsidR="00F73301" w:rsidRPr="00FC2420" w:rsidRDefault="00F73301" w:rsidP="008C49B7">
            <w:pPr>
              <w:snapToGrid w:val="0"/>
              <w:jc w:val="center"/>
              <w:rPr>
                <w:rFonts w:ascii="Times New Roman" w:eastAsia="宋体" w:hAnsi="Times New Roman" w:cs="Times New Roman"/>
                <w:sz w:val="13"/>
                <w:szCs w:val="13"/>
              </w:rPr>
            </w:pPr>
            <w:r w:rsidRPr="00FC2420">
              <w:rPr>
                <w:rFonts w:ascii="Times New Roman" w:eastAsia="宋体" w:hAnsi="Times New Roman" w:cs="Times New Roman"/>
                <w:sz w:val="13"/>
                <w:szCs w:val="13"/>
              </w:rPr>
              <w:t>Others</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5AD1F7"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535D463"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21A3C6"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vAlign w:val="center"/>
          </w:tcPr>
          <w:p w14:paraId="2E94932F"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4DF4B04"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4DA33B"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E7BF2EA"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vAlign w:val="center"/>
          </w:tcPr>
          <w:p w14:paraId="1422C4BE"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vAlign w:val="center"/>
          </w:tcPr>
          <w:p w14:paraId="14E25650"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15F1C3" w14:textId="77777777" w:rsidR="00F73301" w:rsidRPr="00FC2420" w:rsidRDefault="00F73301" w:rsidP="008C49B7">
            <w:pPr>
              <w:snapToGrid w:val="0"/>
              <w:rPr>
                <w:rFonts w:ascii="Times New Roman" w:eastAsia="等线" w:hAnsi="Times New Roman" w:cs="Times New Roman"/>
                <w:sz w:val="13"/>
                <w:szCs w:val="13"/>
              </w:rPr>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E8903E" w14:textId="77777777" w:rsidR="00F73301" w:rsidRPr="00FC2420" w:rsidRDefault="00F73301" w:rsidP="008C49B7">
            <w:pPr>
              <w:snapToGrid w:val="0"/>
              <w:rPr>
                <w:rFonts w:ascii="Times New Roman" w:eastAsia="等线" w:hAnsi="Times New Roman" w:cs="Times New Roman"/>
                <w:sz w:val="13"/>
                <w:szCs w:val="13"/>
              </w:rPr>
            </w:pPr>
          </w:p>
        </w:tc>
      </w:tr>
      <w:tr w:rsidR="00F73301" w:rsidRPr="00FC2420" w14:paraId="6B3F8C85"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0C862D05"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 Balance at the end of prior year</w:t>
            </w:r>
          </w:p>
        </w:tc>
        <w:tc>
          <w:tcPr>
            <w:tcW w:w="562" w:type="dxa"/>
            <w:tcBorders>
              <w:top w:val="single" w:sz="2" w:space="0" w:color="auto"/>
              <w:left w:val="single" w:sz="2" w:space="0" w:color="auto"/>
              <w:bottom w:val="single" w:sz="2" w:space="0" w:color="auto"/>
              <w:right w:val="single" w:sz="2" w:space="0" w:color="auto"/>
            </w:tcBorders>
            <w:vAlign w:val="center"/>
          </w:tcPr>
          <w:p w14:paraId="1279C03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512,400,109.00</w:t>
            </w:r>
          </w:p>
        </w:tc>
        <w:tc>
          <w:tcPr>
            <w:tcW w:w="562" w:type="dxa"/>
            <w:tcBorders>
              <w:top w:val="single" w:sz="2" w:space="0" w:color="auto"/>
              <w:left w:val="single" w:sz="2" w:space="0" w:color="auto"/>
              <w:bottom w:val="single" w:sz="2" w:space="0" w:color="auto"/>
              <w:right w:val="single" w:sz="2" w:space="0" w:color="auto"/>
            </w:tcBorders>
            <w:vAlign w:val="center"/>
          </w:tcPr>
          <w:p w14:paraId="63D05FB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BF5BA5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CFB606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2AED285"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2,516,500,289.67</w:t>
            </w:r>
          </w:p>
        </w:tc>
        <w:tc>
          <w:tcPr>
            <w:tcW w:w="563" w:type="dxa"/>
            <w:tcBorders>
              <w:top w:val="single" w:sz="2" w:space="0" w:color="auto"/>
              <w:left w:val="single" w:sz="2" w:space="0" w:color="auto"/>
              <w:bottom w:val="single" w:sz="2" w:space="0" w:color="auto"/>
              <w:right w:val="single" w:sz="2" w:space="0" w:color="auto"/>
            </w:tcBorders>
            <w:vAlign w:val="center"/>
          </w:tcPr>
          <w:p w14:paraId="47CF168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19,174,991.68</w:t>
            </w:r>
          </w:p>
        </w:tc>
        <w:tc>
          <w:tcPr>
            <w:tcW w:w="563" w:type="dxa"/>
            <w:tcBorders>
              <w:top w:val="single" w:sz="2" w:space="0" w:color="auto"/>
              <w:left w:val="single" w:sz="2" w:space="0" w:color="auto"/>
              <w:bottom w:val="single" w:sz="2" w:space="0" w:color="auto"/>
              <w:right w:val="single" w:sz="2" w:space="0" w:color="auto"/>
            </w:tcBorders>
            <w:vAlign w:val="center"/>
          </w:tcPr>
          <w:p w14:paraId="6E9F12B3"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-6,885,250.92</w:t>
            </w:r>
          </w:p>
        </w:tc>
        <w:tc>
          <w:tcPr>
            <w:tcW w:w="563" w:type="dxa"/>
            <w:tcBorders>
              <w:top w:val="single" w:sz="2" w:space="0" w:color="auto"/>
              <w:left w:val="single" w:sz="2" w:space="0" w:color="auto"/>
              <w:bottom w:val="single" w:sz="2" w:space="0" w:color="auto"/>
              <w:right w:val="single" w:sz="2" w:space="0" w:color="auto"/>
            </w:tcBorders>
            <w:vAlign w:val="center"/>
          </w:tcPr>
          <w:p w14:paraId="679D53F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9AA023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179,615,383.10</w:t>
            </w:r>
          </w:p>
        </w:tc>
        <w:tc>
          <w:tcPr>
            <w:tcW w:w="563" w:type="dxa"/>
            <w:tcBorders>
              <w:top w:val="single" w:sz="2" w:space="0" w:color="auto"/>
              <w:left w:val="single" w:sz="2" w:space="0" w:color="auto"/>
              <w:bottom w:val="single" w:sz="2" w:space="0" w:color="auto"/>
              <w:right w:val="single" w:sz="2" w:space="0" w:color="auto"/>
            </w:tcBorders>
            <w:vAlign w:val="center"/>
          </w:tcPr>
          <w:p w14:paraId="2A23E4A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E06B68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1,900,563,877.06</w:t>
            </w:r>
          </w:p>
        </w:tc>
        <w:tc>
          <w:tcPr>
            <w:tcW w:w="563" w:type="dxa"/>
            <w:tcBorders>
              <w:top w:val="single" w:sz="2" w:space="0" w:color="auto"/>
              <w:left w:val="single" w:sz="2" w:space="0" w:color="auto"/>
              <w:bottom w:val="single" w:sz="2" w:space="0" w:color="auto"/>
              <w:right w:val="single" w:sz="2" w:space="0" w:color="auto"/>
            </w:tcBorders>
            <w:vAlign w:val="center"/>
          </w:tcPr>
          <w:p w14:paraId="2294275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8B50799"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5,083,019,416.23</w:t>
            </w:r>
          </w:p>
        </w:tc>
        <w:tc>
          <w:tcPr>
            <w:tcW w:w="563" w:type="dxa"/>
            <w:tcBorders>
              <w:top w:val="single" w:sz="2" w:space="0" w:color="auto"/>
              <w:left w:val="single" w:sz="2" w:space="0" w:color="auto"/>
              <w:bottom w:val="single" w:sz="2" w:space="0" w:color="auto"/>
              <w:right w:val="single" w:sz="2" w:space="0" w:color="auto"/>
            </w:tcBorders>
            <w:vAlign w:val="center"/>
          </w:tcPr>
          <w:p w14:paraId="43F142C3"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150,418,120.79</w:t>
            </w:r>
          </w:p>
        </w:tc>
        <w:tc>
          <w:tcPr>
            <w:tcW w:w="563" w:type="dxa"/>
            <w:tcBorders>
              <w:top w:val="single" w:sz="2" w:space="0" w:color="auto"/>
              <w:left w:val="single" w:sz="2" w:space="0" w:color="auto"/>
              <w:bottom w:val="single" w:sz="2" w:space="0" w:color="auto"/>
              <w:right w:val="single" w:sz="2" w:space="0" w:color="auto"/>
            </w:tcBorders>
            <w:vAlign w:val="center"/>
          </w:tcPr>
          <w:p w14:paraId="199B05F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5,233,437,537.02</w:t>
            </w:r>
          </w:p>
        </w:tc>
      </w:tr>
      <w:tr w:rsidR="00F73301" w:rsidRPr="00FC2420" w14:paraId="2F356D42"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FFEBD54" w14:textId="77777777" w:rsidR="00F73301" w:rsidRPr="00FC2420" w:rsidRDefault="00F73301" w:rsidP="008C49B7">
            <w:pPr>
              <w:snapToGrid w:val="0"/>
              <w:ind w:firstLineChars="200" w:firstLine="260"/>
              <w:rPr>
                <w:rFonts w:ascii="Times New Roman" w:eastAsia="宋体" w:hAnsi="Times New Roman" w:cs="Times New Roman"/>
                <w:sz w:val="13"/>
                <w:szCs w:val="13"/>
              </w:rPr>
            </w:pPr>
            <w:r w:rsidRPr="00FC2420">
              <w:rPr>
                <w:rFonts w:ascii="Times New Roman" w:eastAsia="宋体" w:hAnsi="Times New Roman" w:cs="Times New Roman"/>
                <w:sz w:val="13"/>
                <w:szCs w:val="13"/>
              </w:rPr>
              <w:t>Add: Cumulative changes of accounting policies</w:t>
            </w:r>
          </w:p>
        </w:tc>
        <w:tc>
          <w:tcPr>
            <w:tcW w:w="562" w:type="dxa"/>
            <w:tcBorders>
              <w:top w:val="single" w:sz="2" w:space="0" w:color="auto"/>
              <w:left w:val="single" w:sz="2" w:space="0" w:color="auto"/>
              <w:bottom w:val="single" w:sz="2" w:space="0" w:color="auto"/>
              <w:right w:val="single" w:sz="2" w:space="0" w:color="auto"/>
            </w:tcBorders>
            <w:vAlign w:val="center"/>
          </w:tcPr>
          <w:p w14:paraId="6AB238D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23AD37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5D03E46"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0F1D16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7FC462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41CDE5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289F5E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1ABCAB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68D2EA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441B9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CE2E53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8050C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0A7244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269C2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F41ED32"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3D8F9039"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FAD4B81" w14:textId="77777777" w:rsidR="00F73301" w:rsidRPr="00FC2420" w:rsidRDefault="00F73301" w:rsidP="008C49B7">
            <w:pPr>
              <w:snapToGrid w:val="0"/>
              <w:ind w:firstLineChars="400" w:firstLine="520"/>
              <w:rPr>
                <w:rFonts w:ascii="Times New Roman" w:eastAsia="宋体" w:hAnsi="Times New Roman" w:cs="Times New Roman"/>
                <w:sz w:val="13"/>
                <w:szCs w:val="13"/>
              </w:rPr>
            </w:pPr>
            <w:r w:rsidRPr="00FC2420">
              <w:rPr>
                <w:rFonts w:ascii="Times New Roman" w:eastAsia="宋体" w:hAnsi="Times New Roman" w:cs="Times New Roman"/>
                <w:sz w:val="13"/>
                <w:szCs w:val="13"/>
              </w:rPr>
              <w:t>Error correction of prior period</w:t>
            </w:r>
          </w:p>
        </w:tc>
        <w:tc>
          <w:tcPr>
            <w:tcW w:w="562" w:type="dxa"/>
            <w:tcBorders>
              <w:top w:val="single" w:sz="2" w:space="0" w:color="auto"/>
              <w:left w:val="single" w:sz="2" w:space="0" w:color="auto"/>
              <w:bottom w:val="single" w:sz="2" w:space="0" w:color="auto"/>
              <w:right w:val="single" w:sz="2" w:space="0" w:color="auto"/>
            </w:tcBorders>
            <w:vAlign w:val="center"/>
          </w:tcPr>
          <w:p w14:paraId="2636552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D6C8E7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8A2E71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C873D9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B53599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7A1FB5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C33CC2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A2C2A6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B6334F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7F2C9A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82E1BA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BE79A4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F17647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F7744E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D9A8FE8"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0F329219"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479CA57C" w14:textId="77777777" w:rsidR="00F73301" w:rsidRPr="00FC2420" w:rsidRDefault="00F73301" w:rsidP="008C49B7">
            <w:pPr>
              <w:snapToGrid w:val="0"/>
              <w:ind w:firstLineChars="400" w:firstLine="520"/>
              <w:rPr>
                <w:rFonts w:ascii="Times New Roman" w:eastAsia="宋体" w:hAnsi="Times New Roman" w:cs="Times New Roman"/>
                <w:sz w:val="13"/>
                <w:szCs w:val="13"/>
              </w:rPr>
            </w:pPr>
            <w:r w:rsidRPr="00FC2420">
              <w:rPr>
                <w:rFonts w:ascii="Times New Roman" w:eastAsia="宋体" w:hAnsi="Times New Roman" w:cs="Times New Roman"/>
                <w:sz w:val="13"/>
                <w:szCs w:val="13"/>
              </w:rPr>
              <w:t>Business combination under common control</w:t>
            </w:r>
          </w:p>
        </w:tc>
        <w:tc>
          <w:tcPr>
            <w:tcW w:w="562" w:type="dxa"/>
            <w:tcBorders>
              <w:top w:val="single" w:sz="2" w:space="0" w:color="auto"/>
              <w:left w:val="single" w:sz="2" w:space="0" w:color="auto"/>
              <w:bottom w:val="single" w:sz="2" w:space="0" w:color="auto"/>
              <w:right w:val="single" w:sz="2" w:space="0" w:color="auto"/>
            </w:tcBorders>
            <w:vAlign w:val="center"/>
          </w:tcPr>
          <w:p w14:paraId="5F856A86"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C5486C6"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1C32993"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71EEFD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8E3629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6494A9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4C03F2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E42A38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D87C03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BE5DFD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C8F74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4C30CC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9CEDC2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FE1A40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5EA024"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2E600DD6"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21B76DE" w14:textId="77777777" w:rsidR="00F73301" w:rsidRPr="00FC2420" w:rsidRDefault="00F73301" w:rsidP="008C49B7">
            <w:pPr>
              <w:snapToGrid w:val="0"/>
              <w:ind w:firstLineChars="400" w:firstLine="520"/>
              <w:rPr>
                <w:rFonts w:ascii="Times New Roman" w:eastAsia="宋体" w:hAnsi="Times New Roman" w:cs="Times New Roman"/>
                <w:sz w:val="13"/>
                <w:szCs w:val="13"/>
              </w:rPr>
            </w:pPr>
            <w:r w:rsidRPr="00FC2420">
              <w:rPr>
                <w:rFonts w:ascii="Times New Roman" w:eastAsia="宋体" w:hAnsi="Times New Roman" w:cs="Times New Roman"/>
                <w:sz w:val="13"/>
                <w:szCs w:val="13"/>
              </w:rPr>
              <w:t>Others</w:t>
            </w:r>
          </w:p>
        </w:tc>
        <w:tc>
          <w:tcPr>
            <w:tcW w:w="562" w:type="dxa"/>
            <w:tcBorders>
              <w:top w:val="single" w:sz="2" w:space="0" w:color="auto"/>
              <w:left w:val="single" w:sz="2" w:space="0" w:color="auto"/>
              <w:bottom w:val="single" w:sz="2" w:space="0" w:color="auto"/>
              <w:right w:val="single" w:sz="2" w:space="0" w:color="auto"/>
            </w:tcBorders>
            <w:vAlign w:val="center"/>
          </w:tcPr>
          <w:p w14:paraId="12ABD574"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5287C75"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D3B92F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182986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A1D6C8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5D8567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77A2FF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58F89B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EA35A5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BCEB22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3961CA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0D5DE0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7B4791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195E4E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E7A8C2B"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0BC8753B"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5FF97C5"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II. Opening Balance of Current Year</w:t>
            </w:r>
          </w:p>
        </w:tc>
        <w:tc>
          <w:tcPr>
            <w:tcW w:w="562" w:type="dxa"/>
            <w:tcBorders>
              <w:top w:val="single" w:sz="2" w:space="0" w:color="auto"/>
              <w:left w:val="single" w:sz="2" w:space="0" w:color="auto"/>
              <w:bottom w:val="single" w:sz="2" w:space="0" w:color="auto"/>
              <w:right w:val="single" w:sz="2" w:space="0" w:color="auto"/>
            </w:tcBorders>
            <w:vAlign w:val="center"/>
          </w:tcPr>
          <w:p w14:paraId="296E2FE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512,400,109.00</w:t>
            </w:r>
          </w:p>
        </w:tc>
        <w:tc>
          <w:tcPr>
            <w:tcW w:w="562" w:type="dxa"/>
            <w:tcBorders>
              <w:top w:val="single" w:sz="2" w:space="0" w:color="auto"/>
              <w:left w:val="single" w:sz="2" w:space="0" w:color="auto"/>
              <w:bottom w:val="single" w:sz="2" w:space="0" w:color="auto"/>
              <w:right w:val="single" w:sz="2" w:space="0" w:color="auto"/>
            </w:tcBorders>
            <w:vAlign w:val="center"/>
          </w:tcPr>
          <w:p w14:paraId="03310B90"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B9547D7"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8F1C33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DDC24F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2,516,500,289.67</w:t>
            </w:r>
          </w:p>
        </w:tc>
        <w:tc>
          <w:tcPr>
            <w:tcW w:w="563" w:type="dxa"/>
            <w:tcBorders>
              <w:top w:val="single" w:sz="2" w:space="0" w:color="auto"/>
              <w:left w:val="single" w:sz="2" w:space="0" w:color="auto"/>
              <w:bottom w:val="single" w:sz="2" w:space="0" w:color="auto"/>
              <w:right w:val="single" w:sz="2" w:space="0" w:color="auto"/>
            </w:tcBorders>
            <w:vAlign w:val="center"/>
          </w:tcPr>
          <w:p w14:paraId="3181ECD2"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19,174,991.68</w:t>
            </w:r>
          </w:p>
        </w:tc>
        <w:tc>
          <w:tcPr>
            <w:tcW w:w="563" w:type="dxa"/>
            <w:tcBorders>
              <w:top w:val="single" w:sz="2" w:space="0" w:color="auto"/>
              <w:left w:val="single" w:sz="2" w:space="0" w:color="auto"/>
              <w:bottom w:val="single" w:sz="2" w:space="0" w:color="auto"/>
              <w:right w:val="single" w:sz="2" w:space="0" w:color="auto"/>
            </w:tcBorders>
            <w:vAlign w:val="center"/>
          </w:tcPr>
          <w:p w14:paraId="606701D7"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-6,885,250.92</w:t>
            </w:r>
          </w:p>
        </w:tc>
        <w:tc>
          <w:tcPr>
            <w:tcW w:w="563" w:type="dxa"/>
            <w:tcBorders>
              <w:top w:val="single" w:sz="2" w:space="0" w:color="auto"/>
              <w:left w:val="single" w:sz="2" w:space="0" w:color="auto"/>
              <w:bottom w:val="single" w:sz="2" w:space="0" w:color="auto"/>
              <w:right w:val="single" w:sz="2" w:space="0" w:color="auto"/>
            </w:tcBorders>
            <w:vAlign w:val="center"/>
          </w:tcPr>
          <w:p w14:paraId="6ABE6ED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6B02BB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179,615,383.10</w:t>
            </w:r>
          </w:p>
        </w:tc>
        <w:tc>
          <w:tcPr>
            <w:tcW w:w="563" w:type="dxa"/>
            <w:tcBorders>
              <w:top w:val="single" w:sz="2" w:space="0" w:color="auto"/>
              <w:left w:val="single" w:sz="2" w:space="0" w:color="auto"/>
              <w:bottom w:val="single" w:sz="2" w:space="0" w:color="auto"/>
              <w:right w:val="single" w:sz="2" w:space="0" w:color="auto"/>
            </w:tcBorders>
            <w:vAlign w:val="center"/>
          </w:tcPr>
          <w:p w14:paraId="4F89E8F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8BC261F"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1,900,563,877.06</w:t>
            </w:r>
          </w:p>
        </w:tc>
        <w:tc>
          <w:tcPr>
            <w:tcW w:w="563" w:type="dxa"/>
            <w:tcBorders>
              <w:top w:val="single" w:sz="2" w:space="0" w:color="auto"/>
              <w:left w:val="single" w:sz="2" w:space="0" w:color="auto"/>
              <w:bottom w:val="single" w:sz="2" w:space="0" w:color="auto"/>
              <w:right w:val="single" w:sz="2" w:space="0" w:color="auto"/>
            </w:tcBorders>
            <w:vAlign w:val="center"/>
          </w:tcPr>
          <w:p w14:paraId="650F68E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B38204A"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5,083,019,416.23</w:t>
            </w:r>
          </w:p>
        </w:tc>
        <w:tc>
          <w:tcPr>
            <w:tcW w:w="563" w:type="dxa"/>
            <w:tcBorders>
              <w:top w:val="single" w:sz="2" w:space="0" w:color="auto"/>
              <w:left w:val="single" w:sz="2" w:space="0" w:color="auto"/>
              <w:bottom w:val="single" w:sz="2" w:space="0" w:color="auto"/>
              <w:right w:val="single" w:sz="2" w:space="0" w:color="auto"/>
            </w:tcBorders>
            <w:vAlign w:val="center"/>
          </w:tcPr>
          <w:p w14:paraId="533B7D77"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150,418,120.79</w:t>
            </w:r>
          </w:p>
        </w:tc>
        <w:tc>
          <w:tcPr>
            <w:tcW w:w="563" w:type="dxa"/>
            <w:tcBorders>
              <w:top w:val="single" w:sz="2" w:space="0" w:color="auto"/>
              <w:left w:val="single" w:sz="2" w:space="0" w:color="auto"/>
              <w:bottom w:val="single" w:sz="2" w:space="0" w:color="auto"/>
              <w:right w:val="single" w:sz="2" w:space="0" w:color="auto"/>
            </w:tcBorders>
            <w:vAlign w:val="center"/>
          </w:tcPr>
          <w:p w14:paraId="2C491C1E"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5,233,437,537.02</w:t>
            </w:r>
          </w:p>
        </w:tc>
      </w:tr>
      <w:tr w:rsidR="00F73301" w:rsidRPr="00FC2420" w14:paraId="498001EA"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446131B"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III. Current Period Increase (Decrease Is Expressed with "-")</w:t>
            </w:r>
          </w:p>
        </w:tc>
        <w:tc>
          <w:tcPr>
            <w:tcW w:w="562" w:type="dxa"/>
            <w:tcBorders>
              <w:top w:val="single" w:sz="2" w:space="0" w:color="auto"/>
              <w:left w:val="single" w:sz="2" w:space="0" w:color="auto"/>
              <w:bottom w:val="single" w:sz="2" w:space="0" w:color="auto"/>
              <w:right w:val="single" w:sz="2" w:space="0" w:color="auto"/>
            </w:tcBorders>
            <w:vAlign w:val="center"/>
          </w:tcPr>
          <w:p w14:paraId="2F57AEE7"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1DDA15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E82929E"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23F8A5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AAB2EB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20,517,402.51</w:t>
            </w:r>
          </w:p>
        </w:tc>
        <w:tc>
          <w:tcPr>
            <w:tcW w:w="563" w:type="dxa"/>
            <w:tcBorders>
              <w:top w:val="single" w:sz="2" w:space="0" w:color="auto"/>
              <w:left w:val="single" w:sz="2" w:space="0" w:color="auto"/>
              <w:bottom w:val="single" w:sz="2" w:space="0" w:color="auto"/>
              <w:right w:val="single" w:sz="2" w:space="0" w:color="auto"/>
            </w:tcBorders>
            <w:vAlign w:val="center"/>
          </w:tcPr>
          <w:p w14:paraId="242C90D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CBCE723"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10,574,197.92</w:t>
            </w:r>
          </w:p>
        </w:tc>
        <w:tc>
          <w:tcPr>
            <w:tcW w:w="563" w:type="dxa"/>
            <w:tcBorders>
              <w:top w:val="single" w:sz="2" w:space="0" w:color="auto"/>
              <w:left w:val="single" w:sz="2" w:space="0" w:color="auto"/>
              <w:bottom w:val="single" w:sz="2" w:space="0" w:color="auto"/>
              <w:right w:val="single" w:sz="2" w:space="0" w:color="auto"/>
            </w:tcBorders>
            <w:vAlign w:val="center"/>
          </w:tcPr>
          <w:p w14:paraId="55FC068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0942B1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F45B8F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0D6C57D"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474,750,908.70</w:t>
            </w:r>
          </w:p>
        </w:tc>
        <w:tc>
          <w:tcPr>
            <w:tcW w:w="563" w:type="dxa"/>
            <w:tcBorders>
              <w:top w:val="single" w:sz="2" w:space="0" w:color="auto"/>
              <w:left w:val="single" w:sz="2" w:space="0" w:color="auto"/>
              <w:bottom w:val="single" w:sz="2" w:space="0" w:color="auto"/>
              <w:right w:val="single" w:sz="2" w:space="0" w:color="auto"/>
            </w:tcBorders>
            <w:vAlign w:val="center"/>
          </w:tcPr>
          <w:p w14:paraId="4A62FE6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2C5FBB9"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505,842,509.13</w:t>
            </w:r>
          </w:p>
        </w:tc>
        <w:tc>
          <w:tcPr>
            <w:tcW w:w="563" w:type="dxa"/>
            <w:tcBorders>
              <w:top w:val="single" w:sz="2" w:space="0" w:color="auto"/>
              <w:left w:val="single" w:sz="2" w:space="0" w:color="auto"/>
              <w:bottom w:val="single" w:sz="2" w:space="0" w:color="auto"/>
              <w:right w:val="single" w:sz="2" w:space="0" w:color="auto"/>
            </w:tcBorders>
            <w:vAlign w:val="center"/>
          </w:tcPr>
          <w:p w14:paraId="1056D2C2"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26,502,285.76</w:t>
            </w:r>
          </w:p>
        </w:tc>
        <w:tc>
          <w:tcPr>
            <w:tcW w:w="563" w:type="dxa"/>
            <w:tcBorders>
              <w:top w:val="single" w:sz="2" w:space="0" w:color="auto"/>
              <w:left w:val="single" w:sz="2" w:space="0" w:color="auto"/>
              <w:bottom w:val="single" w:sz="2" w:space="0" w:color="auto"/>
              <w:right w:val="single" w:sz="2" w:space="0" w:color="auto"/>
            </w:tcBorders>
            <w:vAlign w:val="center"/>
          </w:tcPr>
          <w:p w14:paraId="6DE01B3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532,344,794.89</w:t>
            </w:r>
          </w:p>
        </w:tc>
      </w:tr>
      <w:tr w:rsidR="00F73301" w:rsidRPr="00FC2420" w14:paraId="50713352"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4ED6430D" w14:textId="77777777" w:rsidR="00F73301" w:rsidRPr="00FC2420" w:rsidRDefault="00F73301" w:rsidP="008C49B7">
            <w:pPr>
              <w:snapToGrid w:val="0"/>
              <w:rPr>
                <w:rFonts w:ascii="Times New Roman" w:eastAsia="宋体" w:hAnsi="Times New Roman" w:cs="Times New Roman"/>
                <w:sz w:val="13"/>
                <w:szCs w:val="13"/>
              </w:rPr>
            </w:pPr>
            <w:proofErr w:type="spellStart"/>
            <w:r w:rsidRPr="00FC2420">
              <w:rPr>
                <w:rFonts w:ascii="Times New Roman" w:eastAsia="宋体" w:hAnsi="Times New Roman" w:cs="Times New Roman"/>
                <w:sz w:val="13"/>
                <w:szCs w:val="13"/>
              </w:rPr>
              <w:t>i</w:t>
            </w:r>
            <w:proofErr w:type="spellEnd"/>
            <w:r w:rsidRPr="00FC2420">
              <w:rPr>
                <w:rFonts w:ascii="Times New Roman" w:eastAsia="宋体" w:hAnsi="Times New Roman" w:cs="Times New Roman"/>
                <w:sz w:val="13"/>
                <w:szCs w:val="13"/>
              </w:rPr>
              <w:t>. Total comprehensive income</w:t>
            </w:r>
          </w:p>
        </w:tc>
        <w:tc>
          <w:tcPr>
            <w:tcW w:w="562" w:type="dxa"/>
            <w:tcBorders>
              <w:top w:val="single" w:sz="2" w:space="0" w:color="auto"/>
              <w:left w:val="single" w:sz="2" w:space="0" w:color="auto"/>
              <w:bottom w:val="single" w:sz="2" w:space="0" w:color="auto"/>
              <w:right w:val="single" w:sz="2" w:space="0" w:color="auto"/>
            </w:tcBorders>
            <w:vAlign w:val="center"/>
          </w:tcPr>
          <w:p w14:paraId="0CD729C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56AB240"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9451DD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B976E3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B6D1AE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3AD528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B44CE2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10,574,197.92</w:t>
            </w:r>
          </w:p>
        </w:tc>
        <w:tc>
          <w:tcPr>
            <w:tcW w:w="563" w:type="dxa"/>
            <w:tcBorders>
              <w:top w:val="single" w:sz="2" w:space="0" w:color="auto"/>
              <w:left w:val="single" w:sz="2" w:space="0" w:color="auto"/>
              <w:bottom w:val="single" w:sz="2" w:space="0" w:color="auto"/>
              <w:right w:val="single" w:sz="2" w:space="0" w:color="auto"/>
            </w:tcBorders>
            <w:vAlign w:val="center"/>
          </w:tcPr>
          <w:p w14:paraId="79A498D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A88233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3BB7D9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ACE2C27"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587,199,373.84</w:t>
            </w:r>
          </w:p>
        </w:tc>
        <w:tc>
          <w:tcPr>
            <w:tcW w:w="563" w:type="dxa"/>
            <w:tcBorders>
              <w:top w:val="single" w:sz="2" w:space="0" w:color="auto"/>
              <w:left w:val="single" w:sz="2" w:space="0" w:color="auto"/>
              <w:bottom w:val="single" w:sz="2" w:space="0" w:color="auto"/>
              <w:right w:val="single" w:sz="2" w:space="0" w:color="auto"/>
            </w:tcBorders>
            <w:vAlign w:val="center"/>
          </w:tcPr>
          <w:p w14:paraId="7280984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A5EB9E7"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597,773,571.76</w:t>
            </w:r>
          </w:p>
        </w:tc>
        <w:tc>
          <w:tcPr>
            <w:tcW w:w="563" w:type="dxa"/>
            <w:tcBorders>
              <w:top w:val="single" w:sz="2" w:space="0" w:color="auto"/>
              <w:left w:val="single" w:sz="2" w:space="0" w:color="auto"/>
              <w:bottom w:val="single" w:sz="2" w:space="0" w:color="auto"/>
              <w:right w:val="single" w:sz="2" w:space="0" w:color="auto"/>
            </w:tcBorders>
            <w:vAlign w:val="center"/>
          </w:tcPr>
          <w:p w14:paraId="2F0EB227"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26,002,285.76</w:t>
            </w:r>
          </w:p>
        </w:tc>
        <w:tc>
          <w:tcPr>
            <w:tcW w:w="563" w:type="dxa"/>
            <w:tcBorders>
              <w:top w:val="single" w:sz="2" w:space="0" w:color="auto"/>
              <w:left w:val="single" w:sz="2" w:space="0" w:color="auto"/>
              <w:bottom w:val="single" w:sz="2" w:space="0" w:color="auto"/>
              <w:right w:val="single" w:sz="2" w:space="0" w:color="auto"/>
            </w:tcBorders>
            <w:vAlign w:val="center"/>
          </w:tcPr>
          <w:p w14:paraId="61D556D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623,775,857.52</w:t>
            </w:r>
          </w:p>
        </w:tc>
      </w:tr>
      <w:tr w:rsidR="00F73301" w:rsidRPr="00FC2420" w14:paraId="2F9CDB64"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1CAB9FE"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ii. Capital contributed or withdrawn by owners</w:t>
            </w:r>
          </w:p>
        </w:tc>
        <w:tc>
          <w:tcPr>
            <w:tcW w:w="562" w:type="dxa"/>
            <w:tcBorders>
              <w:top w:val="single" w:sz="2" w:space="0" w:color="auto"/>
              <w:left w:val="single" w:sz="2" w:space="0" w:color="auto"/>
              <w:bottom w:val="single" w:sz="2" w:space="0" w:color="auto"/>
              <w:right w:val="single" w:sz="2" w:space="0" w:color="auto"/>
            </w:tcBorders>
            <w:vAlign w:val="center"/>
          </w:tcPr>
          <w:p w14:paraId="794DF9A5"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F6F2DD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73F9277"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CE2998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C288FA9"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20,517,402.51</w:t>
            </w:r>
          </w:p>
        </w:tc>
        <w:tc>
          <w:tcPr>
            <w:tcW w:w="563" w:type="dxa"/>
            <w:tcBorders>
              <w:top w:val="single" w:sz="2" w:space="0" w:color="auto"/>
              <w:left w:val="single" w:sz="2" w:space="0" w:color="auto"/>
              <w:bottom w:val="single" w:sz="2" w:space="0" w:color="auto"/>
              <w:right w:val="single" w:sz="2" w:space="0" w:color="auto"/>
            </w:tcBorders>
            <w:vAlign w:val="center"/>
          </w:tcPr>
          <w:p w14:paraId="2B1C020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C87039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2A1760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73A7B3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99579B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66B5D0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FDD105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EC8AD01"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20,517,402.51</w:t>
            </w:r>
          </w:p>
        </w:tc>
        <w:tc>
          <w:tcPr>
            <w:tcW w:w="563" w:type="dxa"/>
            <w:tcBorders>
              <w:top w:val="single" w:sz="2" w:space="0" w:color="auto"/>
              <w:left w:val="single" w:sz="2" w:space="0" w:color="auto"/>
              <w:bottom w:val="single" w:sz="2" w:space="0" w:color="auto"/>
              <w:right w:val="single" w:sz="2" w:space="0" w:color="auto"/>
            </w:tcBorders>
            <w:vAlign w:val="center"/>
          </w:tcPr>
          <w:p w14:paraId="63A1B935"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500,000.00</w:t>
            </w:r>
          </w:p>
        </w:tc>
        <w:tc>
          <w:tcPr>
            <w:tcW w:w="563" w:type="dxa"/>
            <w:tcBorders>
              <w:top w:val="single" w:sz="2" w:space="0" w:color="auto"/>
              <w:left w:val="single" w:sz="2" w:space="0" w:color="auto"/>
              <w:bottom w:val="single" w:sz="2" w:space="0" w:color="auto"/>
              <w:right w:val="single" w:sz="2" w:space="0" w:color="auto"/>
            </w:tcBorders>
            <w:vAlign w:val="center"/>
          </w:tcPr>
          <w:p w14:paraId="4E4B08C9"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21,017,402.51</w:t>
            </w:r>
          </w:p>
        </w:tc>
      </w:tr>
      <w:tr w:rsidR="00F73301" w:rsidRPr="00FC2420" w14:paraId="0481488A"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F995309"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1. Ordinary shares contributed by owners</w:t>
            </w:r>
          </w:p>
        </w:tc>
        <w:tc>
          <w:tcPr>
            <w:tcW w:w="562" w:type="dxa"/>
            <w:tcBorders>
              <w:top w:val="single" w:sz="2" w:space="0" w:color="auto"/>
              <w:left w:val="single" w:sz="2" w:space="0" w:color="auto"/>
              <w:bottom w:val="single" w:sz="2" w:space="0" w:color="auto"/>
              <w:right w:val="single" w:sz="2" w:space="0" w:color="auto"/>
            </w:tcBorders>
            <w:vAlign w:val="center"/>
          </w:tcPr>
          <w:p w14:paraId="28135397"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87AA11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382FC5E"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3189C8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238F27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DBA341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B6C478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401718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66DB75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A204AC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3E1353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C2798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CBD435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3CDB194"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500,000.00</w:t>
            </w:r>
          </w:p>
        </w:tc>
        <w:tc>
          <w:tcPr>
            <w:tcW w:w="563" w:type="dxa"/>
            <w:tcBorders>
              <w:top w:val="single" w:sz="2" w:space="0" w:color="auto"/>
              <w:left w:val="single" w:sz="2" w:space="0" w:color="auto"/>
              <w:bottom w:val="single" w:sz="2" w:space="0" w:color="auto"/>
              <w:right w:val="single" w:sz="2" w:space="0" w:color="auto"/>
            </w:tcBorders>
            <w:vAlign w:val="center"/>
          </w:tcPr>
          <w:p w14:paraId="35226B75"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500,000.00</w:t>
            </w:r>
          </w:p>
        </w:tc>
      </w:tr>
      <w:tr w:rsidR="00F73301" w:rsidRPr="00FC2420" w14:paraId="7DCC37A3"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6EC89239"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2. Capital contributed by holders of other equity instruments</w:t>
            </w:r>
          </w:p>
        </w:tc>
        <w:tc>
          <w:tcPr>
            <w:tcW w:w="562" w:type="dxa"/>
            <w:tcBorders>
              <w:top w:val="single" w:sz="2" w:space="0" w:color="auto"/>
              <w:left w:val="single" w:sz="2" w:space="0" w:color="auto"/>
              <w:bottom w:val="single" w:sz="2" w:space="0" w:color="auto"/>
              <w:right w:val="single" w:sz="2" w:space="0" w:color="auto"/>
            </w:tcBorders>
            <w:vAlign w:val="center"/>
          </w:tcPr>
          <w:p w14:paraId="1F9E887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FE655D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278B2D6"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B71946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F5648D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36619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D4B8C4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650EA6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93EAD7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490B17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DF55E9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93B062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867AF3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CBA329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E33A19F"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7978FCF0"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1E7F511E"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3. Amount of share-based payment included in equity</w:t>
            </w:r>
          </w:p>
        </w:tc>
        <w:tc>
          <w:tcPr>
            <w:tcW w:w="562" w:type="dxa"/>
            <w:tcBorders>
              <w:top w:val="single" w:sz="2" w:space="0" w:color="auto"/>
              <w:left w:val="single" w:sz="2" w:space="0" w:color="auto"/>
              <w:bottom w:val="single" w:sz="2" w:space="0" w:color="auto"/>
              <w:right w:val="single" w:sz="2" w:space="0" w:color="auto"/>
            </w:tcBorders>
            <w:vAlign w:val="center"/>
          </w:tcPr>
          <w:p w14:paraId="1557AAC4"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F3EE3E3"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AB96EA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6D5F74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97CEC29"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20,517,402.51</w:t>
            </w:r>
          </w:p>
        </w:tc>
        <w:tc>
          <w:tcPr>
            <w:tcW w:w="563" w:type="dxa"/>
            <w:tcBorders>
              <w:top w:val="single" w:sz="2" w:space="0" w:color="auto"/>
              <w:left w:val="single" w:sz="2" w:space="0" w:color="auto"/>
              <w:bottom w:val="single" w:sz="2" w:space="0" w:color="auto"/>
              <w:right w:val="single" w:sz="2" w:space="0" w:color="auto"/>
            </w:tcBorders>
            <w:vAlign w:val="center"/>
          </w:tcPr>
          <w:p w14:paraId="287CBAA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411B01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59D8C9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827711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C298ED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58A22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051447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8BBD5E7"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20,517,402.51</w:t>
            </w:r>
          </w:p>
        </w:tc>
        <w:tc>
          <w:tcPr>
            <w:tcW w:w="563" w:type="dxa"/>
            <w:tcBorders>
              <w:top w:val="single" w:sz="2" w:space="0" w:color="auto"/>
              <w:left w:val="single" w:sz="2" w:space="0" w:color="auto"/>
              <w:bottom w:val="single" w:sz="2" w:space="0" w:color="auto"/>
              <w:right w:val="single" w:sz="2" w:space="0" w:color="auto"/>
            </w:tcBorders>
            <w:vAlign w:val="center"/>
          </w:tcPr>
          <w:p w14:paraId="3909EED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D1D55FF"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20,517,402.51</w:t>
            </w:r>
          </w:p>
        </w:tc>
      </w:tr>
      <w:tr w:rsidR="00F73301" w:rsidRPr="00FC2420" w14:paraId="03039FA3"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18C7335"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4. Others</w:t>
            </w:r>
          </w:p>
        </w:tc>
        <w:tc>
          <w:tcPr>
            <w:tcW w:w="562" w:type="dxa"/>
            <w:tcBorders>
              <w:top w:val="single" w:sz="2" w:space="0" w:color="auto"/>
              <w:left w:val="single" w:sz="2" w:space="0" w:color="auto"/>
              <w:bottom w:val="single" w:sz="2" w:space="0" w:color="auto"/>
              <w:right w:val="single" w:sz="2" w:space="0" w:color="auto"/>
            </w:tcBorders>
            <w:vAlign w:val="center"/>
          </w:tcPr>
          <w:p w14:paraId="742C810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A5E11E0"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5E0AAC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705279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BCC3FF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5BDDEF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01F581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D8414B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F1BBBE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60527D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D684D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6B4657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A4281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1A1FEB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EB5E449"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44DF1689"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D0FDEE5"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iii. Profit distribution</w:t>
            </w:r>
          </w:p>
        </w:tc>
        <w:tc>
          <w:tcPr>
            <w:tcW w:w="562" w:type="dxa"/>
            <w:tcBorders>
              <w:top w:val="single" w:sz="2" w:space="0" w:color="auto"/>
              <w:left w:val="single" w:sz="2" w:space="0" w:color="auto"/>
              <w:bottom w:val="single" w:sz="2" w:space="0" w:color="auto"/>
              <w:right w:val="single" w:sz="2" w:space="0" w:color="auto"/>
            </w:tcBorders>
            <w:vAlign w:val="center"/>
          </w:tcPr>
          <w:p w14:paraId="24E6D74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6DC9DD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8A0616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BC48E0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E89301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00750E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3B87B2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7584B1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145DB1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FF204F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2B5B095"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-112,448,465.14</w:t>
            </w:r>
          </w:p>
        </w:tc>
        <w:tc>
          <w:tcPr>
            <w:tcW w:w="563" w:type="dxa"/>
            <w:tcBorders>
              <w:top w:val="single" w:sz="2" w:space="0" w:color="auto"/>
              <w:left w:val="single" w:sz="2" w:space="0" w:color="auto"/>
              <w:bottom w:val="single" w:sz="2" w:space="0" w:color="auto"/>
              <w:right w:val="single" w:sz="2" w:space="0" w:color="auto"/>
            </w:tcBorders>
            <w:vAlign w:val="center"/>
          </w:tcPr>
          <w:p w14:paraId="2F43FBB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E1CDFDE"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-112,448,465.14</w:t>
            </w:r>
          </w:p>
        </w:tc>
        <w:tc>
          <w:tcPr>
            <w:tcW w:w="563" w:type="dxa"/>
            <w:tcBorders>
              <w:top w:val="single" w:sz="2" w:space="0" w:color="auto"/>
              <w:left w:val="single" w:sz="2" w:space="0" w:color="auto"/>
              <w:bottom w:val="single" w:sz="2" w:space="0" w:color="auto"/>
              <w:right w:val="single" w:sz="2" w:space="0" w:color="auto"/>
            </w:tcBorders>
            <w:vAlign w:val="center"/>
          </w:tcPr>
          <w:p w14:paraId="14C5249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A1864C7"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-112,448,465.14</w:t>
            </w:r>
          </w:p>
        </w:tc>
      </w:tr>
      <w:tr w:rsidR="00F73301" w:rsidRPr="00FC2420" w14:paraId="5A204334"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D70635B"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1. Appropriation of surplus reserve</w:t>
            </w:r>
          </w:p>
        </w:tc>
        <w:tc>
          <w:tcPr>
            <w:tcW w:w="562" w:type="dxa"/>
            <w:tcBorders>
              <w:top w:val="single" w:sz="2" w:space="0" w:color="auto"/>
              <w:left w:val="single" w:sz="2" w:space="0" w:color="auto"/>
              <w:bottom w:val="single" w:sz="2" w:space="0" w:color="auto"/>
              <w:right w:val="single" w:sz="2" w:space="0" w:color="auto"/>
            </w:tcBorders>
            <w:vAlign w:val="center"/>
          </w:tcPr>
          <w:p w14:paraId="1BA06EE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4CA78E3"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68CA3C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C7431A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0A1D97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C2179F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B518FC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30521A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6E7E5A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961C1B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65123A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1D0C06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0717B3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C8FEFE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8F42AF1"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597DAB96"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2BF120F"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2. Appropriation of general risk reserve</w:t>
            </w:r>
          </w:p>
        </w:tc>
        <w:tc>
          <w:tcPr>
            <w:tcW w:w="562" w:type="dxa"/>
            <w:tcBorders>
              <w:top w:val="single" w:sz="2" w:space="0" w:color="auto"/>
              <w:left w:val="single" w:sz="2" w:space="0" w:color="auto"/>
              <w:bottom w:val="single" w:sz="2" w:space="0" w:color="auto"/>
              <w:right w:val="single" w:sz="2" w:space="0" w:color="auto"/>
            </w:tcBorders>
            <w:vAlign w:val="center"/>
          </w:tcPr>
          <w:p w14:paraId="1724A01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31D851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E889AA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9A2C37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431F6F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BDD0F5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AA1743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F50B8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9C7D27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1E227D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C1EA88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F3381C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606A78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856BA8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23E422D"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723925EF"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452C816B"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3. Appropriation of profit to owners (or shareholders)</w:t>
            </w:r>
          </w:p>
        </w:tc>
        <w:tc>
          <w:tcPr>
            <w:tcW w:w="562" w:type="dxa"/>
            <w:tcBorders>
              <w:top w:val="single" w:sz="2" w:space="0" w:color="auto"/>
              <w:left w:val="single" w:sz="2" w:space="0" w:color="auto"/>
              <w:bottom w:val="single" w:sz="2" w:space="0" w:color="auto"/>
              <w:right w:val="single" w:sz="2" w:space="0" w:color="auto"/>
            </w:tcBorders>
            <w:vAlign w:val="center"/>
          </w:tcPr>
          <w:p w14:paraId="576DBD3D"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8019F0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13FCA6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743D37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014491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545789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52FDBE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814C6E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01E468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485A4D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612354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-112,448,465.14</w:t>
            </w:r>
          </w:p>
        </w:tc>
        <w:tc>
          <w:tcPr>
            <w:tcW w:w="563" w:type="dxa"/>
            <w:tcBorders>
              <w:top w:val="single" w:sz="2" w:space="0" w:color="auto"/>
              <w:left w:val="single" w:sz="2" w:space="0" w:color="auto"/>
              <w:bottom w:val="single" w:sz="2" w:space="0" w:color="auto"/>
              <w:right w:val="single" w:sz="2" w:space="0" w:color="auto"/>
            </w:tcBorders>
            <w:vAlign w:val="center"/>
          </w:tcPr>
          <w:p w14:paraId="4392EF3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6EECAB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-112,448,465.14</w:t>
            </w:r>
          </w:p>
        </w:tc>
        <w:tc>
          <w:tcPr>
            <w:tcW w:w="563" w:type="dxa"/>
            <w:tcBorders>
              <w:top w:val="single" w:sz="2" w:space="0" w:color="auto"/>
              <w:left w:val="single" w:sz="2" w:space="0" w:color="auto"/>
              <w:bottom w:val="single" w:sz="2" w:space="0" w:color="auto"/>
              <w:right w:val="single" w:sz="2" w:space="0" w:color="auto"/>
            </w:tcBorders>
            <w:vAlign w:val="center"/>
          </w:tcPr>
          <w:p w14:paraId="41E3DD3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DAA883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-112,448,465.14</w:t>
            </w:r>
          </w:p>
        </w:tc>
      </w:tr>
      <w:tr w:rsidR="00F73301" w:rsidRPr="00FC2420" w14:paraId="0841FE0B"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15712E40"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4. Others</w:t>
            </w:r>
          </w:p>
        </w:tc>
        <w:tc>
          <w:tcPr>
            <w:tcW w:w="562" w:type="dxa"/>
            <w:tcBorders>
              <w:top w:val="single" w:sz="2" w:space="0" w:color="auto"/>
              <w:left w:val="single" w:sz="2" w:space="0" w:color="auto"/>
              <w:bottom w:val="single" w:sz="2" w:space="0" w:color="auto"/>
              <w:right w:val="single" w:sz="2" w:space="0" w:color="auto"/>
            </w:tcBorders>
            <w:vAlign w:val="center"/>
          </w:tcPr>
          <w:p w14:paraId="3207FA6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71F3C1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451B21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D2A3E4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8A3F16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471AEF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8517DA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94DBCA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64AC50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D759BA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3E0FDA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970D60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8D0826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227363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55851AB"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1F82C890"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66BB9534"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iv. Internal carry-over within equity</w:t>
            </w:r>
          </w:p>
        </w:tc>
        <w:tc>
          <w:tcPr>
            <w:tcW w:w="562" w:type="dxa"/>
            <w:tcBorders>
              <w:top w:val="single" w:sz="2" w:space="0" w:color="auto"/>
              <w:left w:val="single" w:sz="2" w:space="0" w:color="auto"/>
              <w:bottom w:val="single" w:sz="2" w:space="0" w:color="auto"/>
              <w:right w:val="single" w:sz="2" w:space="0" w:color="auto"/>
            </w:tcBorders>
            <w:vAlign w:val="center"/>
          </w:tcPr>
          <w:p w14:paraId="4557E85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8796CD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551F52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437EDE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0AFA5D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D7A15F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FA9EEB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538971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709EDD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2F5C3F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96CC95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D7578F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EAF159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DDD1F7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70D2CF8"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7D02D0DB"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7550511"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1. Transfer of capital reserve to capital (or share capital)</w:t>
            </w:r>
          </w:p>
        </w:tc>
        <w:tc>
          <w:tcPr>
            <w:tcW w:w="562" w:type="dxa"/>
            <w:tcBorders>
              <w:top w:val="single" w:sz="2" w:space="0" w:color="auto"/>
              <w:left w:val="single" w:sz="2" w:space="0" w:color="auto"/>
              <w:bottom w:val="single" w:sz="2" w:space="0" w:color="auto"/>
              <w:right w:val="single" w:sz="2" w:space="0" w:color="auto"/>
            </w:tcBorders>
            <w:vAlign w:val="center"/>
          </w:tcPr>
          <w:p w14:paraId="13B04554"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C606D9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A5873D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E62195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472E49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6B8415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5B02B5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27C201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EE8110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7E34C3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5EF836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091648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4C9916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3DB6BB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3C022C7"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10DB7A17"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01353F9"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2. Transfer of surplus reserve to capital (or share capital)</w:t>
            </w:r>
          </w:p>
        </w:tc>
        <w:tc>
          <w:tcPr>
            <w:tcW w:w="562" w:type="dxa"/>
            <w:tcBorders>
              <w:top w:val="single" w:sz="2" w:space="0" w:color="auto"/>
              <w:left w:val="single" w:sz="2" w:space="0" w:color="auto"/>
              <w:bottom w:val="single" w:sz="2" w:space="0" w:color="auto"/>
              <w:right w:val="single" w:sz="2" w:space="0" w:color="auto"/>
            </w:tcBorders>
            <w:vAlign w:val="center"/>
          </w:tcPr>
          <w:p w14:paraId="30895F62"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11D0A0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21720D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C54821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10FBB6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394E21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1B2625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374C46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1A09BB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982503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4CF3B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E2E009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5D8977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136789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1BCBE41"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30439FA1"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4EE779DB"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3. Surplus reserve to cover losses</w:t>
            </w:r>
          </w:p>
        </w:tc>
        <w:tc>
          <w:tcPr>
            <w:tcW w:w="562" w:type="dxa"/>
            <w:tcBorders>
              <w:top w:val="single" w:sz="2" w:space="0" w:color="auto"/>
              <w:left w:val="single" w:sz="2" w:space="0" w:color="auto"/>
              <w:bottom w:val="single" w:sz="2" w:space="0" w:color="auto"/>
              <w:right w:val="single" w:sz="2" w:space="0" w:color="auto"/>
            </w:tcBorders>
            <w:vAlign w:val="center"/>
          </w:tcPr>
          <w:p w14:paraId="213A9490"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F620F2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FEC703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C9A8D8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0355FA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AA4103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30EF9C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09215E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F5FE08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C35035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8CEF7B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701840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03350B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BAB871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697F3F"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6A945F80"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D4FB430"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4. Changes in defined benefit plan carried over to retained earnings</w:t>
            </w:r>
          </w:p>
        </w:tc>
        <w:tc>
          <w:tcPr>
            <w:tcW w:w="562" w:type="dxa"/>
            <w:tcBorders>
              <w:top w:val="single" w:sz="2" w:space="0" w:color="auto"/>
              <w:left w:val="single" w:sz="2" w:space="0" w:color="auto"/>
              <w:bottom w:val="single" w:sz="2" w:space="0" w:color="auto"/>
              <w:right w:val="single" w:sz="2" w:space="0" w:color="auto"/>
            </w:tcBorders>
            <w:vAlign w:val="center"/>
          </w:tcPr>
          <w:p w14:paraId="65C060F7"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054C12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E835580"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F74094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194094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734127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3B5A29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A2A831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BF50C3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2E2463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DAB7FD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7555F1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12D970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D06A3D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2C7EB23"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768896FF"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59209DC5"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 xml:space="preserve">5. Other </w:t>
            </w:r>
            <w:r w:rsidRPr="00FC2420">
              <w:rPr>
                <w:rFonts w:ascii="Times New Roman" w:eastAsia="宋体" w:hAnsi="Times New Roman" w:cs="Times New Roman"/>
                <w:sz w:val="13"/>
                <w:szCs w:val="13"/>
              </w:rPr>
              <w:lastRenderedPageBreak/>
              <w:t>comprehensive income carried over to retained earnings</w:t>
            </w:r>
          </w:p>
        </w:tc>
        <w:tc>
          <w:tcPr>
            <w:tcW w:w="562" w:type="dxa"/>
            <w:tcBorders>
              <w:top w:val="single" w:sz="2" w:space="0" w:color="auto"/>
              <w:left w:val="single" w:sz="2" w:space="0" w:color="auto"/>
              <w:bottom w:val="single" w:sz="2" w:space="0" w:color="auto"/>
              <w:right w:val="single" w:sz="2" w:space="0" w:color="auto"/>
            </w:tcBorders>
            <w:vAlign w:val="center"/>
          </w:tcPr>
          <w:p w14:paraId="53517A76"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7D3F048"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8B5FE2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8E506A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53CE34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BE7CD8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6C4400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1D94F2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8BE08F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D6BEE3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09E63B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7640BA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41F7A3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69FFEC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2FCC7C5"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1F7F232B"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7115AAF2"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6. Others</w:t>
            </w:r>
          </w:p>
        </w:tc>
        <w:tc>
          <w:tcPr>
            <w:tcW w:w="562" w:type="dxa"/>
            <w:tcBorders>
              <w:top w:val="single" w:sz="2" w:space="0" w:color="auto"/>
              <w:left w:val="single" w:sz="2" w:space="0" w:color="auto"/>
              <w:bottom w:val="single" w:sz="2" w:space="0" w:color="auto"/>
              <w:right w:val="single" w:sz="2" w:space="0" w:color="auto"/>
            </w:tcBorders>
            <w:vAlign w:val="center"/>
          </w:tcPr>
          <w:p w14:paraId="674BFEE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97F8B0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D06AACB"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63D3209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596EBF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9E7672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D6C354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B43D78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4B12D5D"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C262D6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FA9133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4544CA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10C6FF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530286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38AD0F6"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40046FC5"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6B74EC21"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v. Special reserve</w:t>
            </w:r>
          </w:p>
        </w:tc>
        <w:tc>
          <w:tcPr>
            <w:tcW w:w="562" w:type="dxa"/>
            <w:tcBorders>
              <w:top w:val="single" w:sz="2" w:space="0" w:color="auto"/>
              <w:left w:val="single" w:sz="2" w:space="0" w:color="auto"/>
              <w:bottom w:val="single" w:sz="2" w:space="0" w:color="auto"/>
              <w:right w:val="single" w:sz="2" w:space="0" w:color="auto"/>
            </w:tcBorders>
            <w:vAlign w:val="center"/>
          </w:tcPr>
          <w:p w14:paraId="7F93A113"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D97561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1CF1B8F"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5160F6F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FEE6C0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8B2C7F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DAD576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DFDA3C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68152C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A51605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EE94DA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755097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458CF2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E0F081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1B74CA7"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224134F9"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0540AEE3"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1. Appropriation of current period</w:t>
            </w:r>
          </w:p>
        </w:tc>
        <w:tc>
          <w:tcPr>
            <w:tcW w:w="562" w:type="dxa"/>
            <w:tcBorders>
              <w:top w:val="single" w:sz="2" w:space="0" w:color="auto"/>
              <w:left w:val="single" w:sz="2" w:space="0" w:color="auto"/>
              <w:bottom w:val="single" w:sz="2" w:space="0" w:color="auto"/>
              <w:right w:val="single" w:sz="2" w:space="0" w:color="auto"/>
            </w:tcBorders>
            <w:vAlign w:val="center"/>
          </w:tcPr>
          <w:p w14:paraId="1D81F789"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E01F7A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C873E1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B66434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D2F36B0"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751AD3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36F086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5A2F13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70CF75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778AF94"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BF4696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A7B72F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CF59D6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5A4836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3522AD0"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36D58D84"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A99EBE8"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2. Application of current period</w:t>
            </w:r>
          </w:p>
        </w:tc>
        <w:tc>
          <w:tcPr>
            <w:tcW w:w="562" w:type="dxa"/>
            <w:tcBorders>
              <w:top w:val="single" w:sz="2" w:space="0" w:color="auto"/>
              <w:left w:val="single" w:sz="2" w:space="0" w:color="auto"/>
              <w:bottom w:val="single" w:sz="2" w:space="0" w:color="auto"/>
              <w:right w:val="single" w:sz="2" w:space="0" w:color="auto"/>
            </w:tcBorders>
            <w:vAlign w:val="center"/>
          </w:tcPr>
          <w:p w14:paraId="3DFBE6A4"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03CC06BC"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452B1604"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20F8686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4C90B4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FC3A6C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FE1C21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2DF9CC2"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78DA58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013165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74CBE3A"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62AA0DF"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C6A50C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5A97388"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0C1D357"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4C671221"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39A2E3C9"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vi. Others</w:t>
            </w:r>
          </w:p>
        </w:tc>
        <w:tc>
          <w:tcPr>
            <w:tcW w:w="562" w:type="dxa"/>
            <w:tcBorders>
              <w:top w:val="single" w:sz="2" w:space="0" w:color="auto"/>
              <w:left w:val="single" w:sz="2" w:space="0" w:color="auto"/>
              <w:bottom w:val="single" w:sz="2" w:space="0" w:color="auto"/>
              <w:right w:val="single" w:sz="2" w:space="0" w:color="auto"/>
            </w:tcBorders>
            <w:vAlign w:val="center"/>
          </w:tcPr>
          <w:p w14:paraId="39095FE6"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7B0D824"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660B1E6"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16958FB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2B6F3B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FB0689B"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6DA9D3D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273074D6"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8FF034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A2E2E0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8A7F3CC"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E409041"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DEB01D5"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0BB1F15E"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44856456" w14:textId="77777777" w:rsidR="00F73301" w:rsidRPr="00FC2420" w:rsidRDefault="00F73301" w:rsidP="008C49B7">
            <w:pPr>
              <w:snapToGrid w:val="0"/>
              <w:jc w:val="right"/>
              <w:rPr>
                <w:rFonts w:ascii="Times New Roman" w:eastAsia="宋体" w:hAnsi="Times New Roman" w:cs="Times New Roman"/>
                <w:sz w:val="13"/>
                <w:szCs w:val="13"/>
              </w:rPr>
            </w:pPr>
          </w:p>
        </w:tc>
      </w:tr>
      <w:tr w:rsidR="00F73301" w:rsidRPr="00FC2420" w14:paraId="33E81F87" w14:textId="77777777" w:rsidTr="00FC2420">
        <w:trPr>
          <w:jc w:val="center"/>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14:paraId="292F627E" w14:textId="77777777" w:rsidR="00F73301" w:rsidRPr="00FC2420" w:rsidRDefault="00F73301" w:rsidP="008C49B7">
            <w:pPr>
              <w:snapToGrid w:val="0"/>
              <w:rPr>
                <w:rFonts w:ascii="Times New Roman" w:eastAsia="宋体" w:hAnsi="Times New Roman" w:cs="Times New Roman"/>
                <w:sz w:val="13"/>
                <w:szCs w:val="13"/>
              </w:rPr>
            </w:pPr>
            <w:r w:rsidRPr="00FC2420">
              <w:rPr>
                <w:rFonts w:ascii="Times New Roman" w:eastAsia="宋体" w:hAnsi="Times New Roman" w:cs="Times New Roman"/>
                <w:sz w:val="13"/>
                <w:szCs w:val="13"/>
              </w:rPr>
              <w:t>IV. Closing Balance of Current Period</w:t>
            </w:r>
          </w:p>
        </w:tc>
        <w:tc>
          <w:tcPr>
            <w:tcW w:w="562" w:type="dxa"/>
            <w:tcBorders>
              <w:top w:val="single" w:sz="2" w:space="0" w:color="auto"/>
              <w:left w:val="single" w:sz="2" w:space="0" w:color="auto"/>
              <w:bottom w:val="single" w:sz="2" w:space="0" w:color="auto"/>
              <w:right w:val="single" w:sz="2" w:space="0" w:color="auto"/>
            </w:tcBorders>
            <w:vAlign w:val="center"/>
          </w:tcPr>
          <w:p w14:paraId="19E241D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512,400,109.00</w:t>
            </w:r>
          </w:p>
        </w:tc>
        <w:tc>
          <w:tcPr>
            <w:tcW w:w="562" w:type="dxa"/>
            <w:tcBorders>
              <w:top w:val="single" w:sz="2" w:space="0" w:color="auto"/>
              <w:left w:val="single" w:sz="2" w:space="0" w:color="auto"/>
              <w:bottom w:val="single" w:sz="2" w:space="0" w:color="auto"/>
              <w:right w:val="single" w:sz="2" w:space="0" w:color="auto"/>
            </w:tcBorders>
            <w:vAlign w:val="center"/>
          </w:tcPr>
          <w:p w14:paraId="18045BDA"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7A447B01" w14:textId="77777777" w:rsidR="00F73301" w:rsidRPr="00FC2420" w:rsidRDefault="00F73301" w:rsidP="008C49B7">
            <w:pPr>
              <w:snapToGrid w:val="0"/>
              <w:jc w:val="right"/>
              <w:rPr>
                <w:rFonts w:ascii="Times New Roman" w:eastAsia="宋体" w:hAnsi="Times New Roman" w:cs="Times New Roman"/>
                <w:sz w:val="13"/>
                <w:szCs w:val="13"/>
              </w:rPr>
            </w:pPr>
          </w:p>
        </w:tc>
        <w:tc>
          <w:tcPr>
            <w:tcW w:w="562" w:type="dxa"/>
            <w:tcBorders>
              <w:top w:val="single" w:sz="2" w:space="0" w:color="auto"/>
              <w:left w:val="single" w:sz="2" w:space="0" w:color="auto"/>
              <w:bottom w:val="single" w:sz="2" w:space="0" w:color="auto"/>
              <w:right w:val="single" w:sz="2" w:space="0" w:color="auto"/>
            </w:tcBorders>
            <w:vAlign w:val="center"/>
          </w:tcPr>
          <w:p w14:paraId="302FDA23"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36D04576"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2,537,017,692.18</w:t>
            </w:r>
          </w:p>
        </w:tc>
        <w:tc>
          <w:tcPr>
            <w:tcW w:w="563" w:type="dxa"/>
            <w:tcBorders>
              <w:top w:val="single" w:sz="2" w:space="0" w:color="auto"/>
              <w:left w:val="single" w:sz="2" w:space="0" w:color="auto"/>
              <w:bottom w:val="single" w:sz="2" w:space="0" w:color="auto"/>
              <w:right w:val="single" w:sz="2" w:space="0" w:color="auto"/>
            </w:tcBorders>
            <w:vAlign w:val="center"/>
          </w:tcPr>
          <w:p w14:paraId="6F05840D"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19,174,991.68</w:t>
            </w:r>
          </w:p>
        </w:tc>
        <w:tc>
          <w:tcPr>
            <w:tcW w:w="563" w:type="dxa"/>
            <w:tcBorders>
              <w:top w:val="single" w:sz="2" w:space="0" w:color="auto"/>
              <w:left w:val="single" w:sz="2" w:space="0" w:color="auto"/>
              <w:bottom w:val="single" w:sz="2" w:space="0" w:color="auto"/>
              <w:right w:val="single" w:sz="2" w:space="0" w:color="auto"/>
            </w:tcBorders>
            <w:vAlign w:val="center"/>
          </w:tcPr>
          <w:p w14:paraId="41A7CBCD"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3,688,947.00</w:t>
            </w:r>
          </w:p>
        </w:tc>
        <w:tc>
          <w:tcPr>
            <w:tcW w:w="563" w:type="dxa"/>
            <w:tcBorders>
              <w:top w:val="single" w:sz="2" w:space="0" w:color="auto"/>
              <w:left w:val="single" w:sz="2" w:space="0" w:color="auto"/>
              <w:bottom w:val="single" w:sz="2" w:space="0" w:color="auto"/>
              <w:right w:val="single" w:sz="2" w:space="0" w:color="auto"/>
            </w:tcBorders>
            <w:vAlign w:val="center"/>
          </w:tcPr>
          <w:p w14:paraId="5D4252A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5469F968"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179,615,383.10</w:t>
            </w:r>
          </w:p>
        </w:tc>
        <w:tc>
          <w:tcPr>
            <w:tcW w:w="563" w:type="dxa"/>
            <w:tcBorders>
              <w:top w:val="single" w:sz="2" w:space="0" w:color="auto"/>
              <w:left w:val="single" w:sz="2" w:space="0" w:color="auto"/>
              <w:bottom w:val="single" w:sz="2" w:space="0" w:color="auto"/>
              <w:right w:val="single" w:sz="2" w:space="0" w:color="auto"/>
            </w:tcBorders>
            <w:vAlign w:val="center"/>
          </w:tcPr>
          <w:p w14:paraId="0091E6B9"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784CF5CF"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2,375,314,785.76</w:t>
            </w:r>
          </w:p>
        </w:tc>
        <w:tc>
          <w:tcPr>
            <w:tcW w:w="563" w:type="dxa"/>
            <w:tcBorders>
              <w:top w:val="single" w:sz="2" w:space="0" w:color="auto"/>
              <w:left w:val="single" w:sz="2" w:space="0" w:color="auto"/>
              <w:bottom w:val="single" w:sz="2" w:space="0" w:color="auto"/>
              <w:right w:val="single" w:sz="2" w:space="0" w:color="auto"/>
            </w:tcBorders>
            <w:vAlign w:val="center"/>
          </w:tcPr>
          <w:p w14:paraId="3B7F05A7" w14:textId="77777777" w:rsidR="00F73301" w:rsidRPr="00FC2420" w:rsidRDefault="00F73301" w:rsidP="008C49B7">
            <w:pPr>
              <w:snapToGrid w:val="0"/>
              <w:jc w:val="right"/>
              <w:rPr>
                <w:rFonts w:ascii="Times New Roman" w:eastAsia="宋体" w:hAnsi="Times New Roman" w:cs="Times New Roman"/>
                <w:sz w:val="13"/>
                <w:szCs w:val="13"/>
              </w:rPr>
            </w:pPr>
          </w:p>
        </w:tc>
        <w:tc>
          <w:tcPr>
            <w:tcW w:w="563" w:type="dxa"/>
            <w:tcBorders>
              <w:top w:val="single" w:sz="2" w:space="0" w:color="auto"/>
              <w:left w:val="single" w:sz="2" w:space="0" w:color="auto"/>
              <w:bottom w:val="single" w:sz="2" w:space="0" w:color="auto"/>
              <w:right w:val="single" w:sz="2" w:space="0" w:color="auto"/>
            </w:tcBorders>
            <w:vAlign w:val="center"/>
          </w:tcPr>
          <w:p w14:paraId="1308BC00"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5,588,861,925.36</w:t>
            </w:r>
          </w:p>
        </w:tc>
        <w:tc>
          <w:tcPr>
            <w:tcW w:w="563" w:type="dxa"/>
            <w:tcBorders>
              <w:top w:val="single" w:sz="2" w:space="0" w:color="auto"/>
              <w:left w:val="single" w:sz="2" w:space="0" w:color="auto"/>
              <w:bottom w:val="single" w:sz="2" w:space="0" w:color="auto"/>
              <w:right w:val="single" w:sz="2" w:space="0" w:color="auto"/>
            </w:tcBorders>
            <w:vAlign w:val="center"/>
          </w:tcPr>
          <w:p w14:paraId="512107CB"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176,920,406.55</w:t>
            </w:r>
          </w:p>
        </w:tc>
        <w:tc>
          <w:tcPr>
            <w:tcW w:w="563" w:type="dxa"/>
            <w:tcBorders>
              <w:top w:val="single" w:sz="2" w:space="0" w:color="auto"/>
              <w:left w:val="single" w:sz="2" w:space="0" w:color="auto"/>
              <w:bottom w:val="single" w:sz="2" w:space="0" w:color="auto"/>
              <w:right w:val="single" w:sz="2" w:space="0" w:color="auto"/>
            </w:tcBorders>
            <w:vAlign w:val="center"/>
          </w:tcPr>
          <w:p w14:paraId="7B34CEA2" w14:textId="77777777" w:rsidR="00F73301" w:rsidRPr="00FC2420" w:rsidRDefault="00F73301" w:rsidP="008C49B7">
            <w:pPr>
              <w:snapToGrid w:val="0"/>
              <w:jc w:val="right"/>
              <w:rPr>
                <w:rFonts w:ascii="Times New Roman" w:eastAsia="宋体" w:hAnsi="Times New Roman" w:cs="Times New Roman"/>
                <w:sz w:val="13"/>
                <w:szCs w:val="13"/>
              </w:rPr>
            </w:pPr>
            <w:r w:rsidRPr="00FC2420">
              <w:rPr>
                <w:rFonts w:ascii="Times New Roman" w:eastAsia="宋体" w:hAnsi="Times New Roman" w:cs="Times New Roman"/>
                <w:sz w:val="13"/>
                <w:szCs w:val="13"/>
              </w:rPr>
              <w:t>5,765,782,331.91</w:t>
            </w:r>
          </w:p>
        </w:tc>
      </w:tr>
    </w:tbl>
    <w:p w14:paraId="6B0E4F7D" w14:textId="77777777" w:rsidR="00F73301" w:rsidRPr="00F73301" w:rsidRDefault="00F73301" w:rsidP="00F73301">
      <w:pPr>
        <w:keepNext/>
        <w:keepLines/>
        <w:snapToGrid w:val="0"/>
        <w:spacing w:beforeLines="50" w:before="156" w:afterLines="50" w:after="156"/>
        <w:outlineLvl w:val="2"/>
        <w:rPr>
          <w:rFonts w:ascii="Times New Roman" w:eastAsia="宋体" w:hAnsi="Times New Roman" w:cs="Times New Roman"/>
          <w:b/>
          <w:bCs/>
          <w:sz w:val="24"/>
          <w:szCs w:val="24"/>
        </w:rPr>
      </w:pPr>
      <w:bookmarkStart w:id="104" w:name="_Toc988992"/>
      <w:r w:rsidRPr="00F73301">
        <w:rPr>
          <w:rFonts w:ascii="Times New Roman" w:eastAsia="宋体" w:hAnsi="Times New Roman" w:cs="Times New Roman"/>
          <w:b/>
          <w:bCs/>
          <w:sz w:val="24"/>
          <w:szCs w:val="24"/>
        </w:rPr>
        <w:t>8. Parent company statement of changes in equity</w:t>
      </w:r>
      <w:bookmarkEnd w:id="104"/>
    </w:p>
    <w:p w14:paraId="1F0C5943" w14:textId="77777777" w:rsidR="00F73301" w:rsidRPr="00F73301" w:rsidRDefault="00F73301" w:rsidP="00F73301">
      <w:pPr>
        <w:snapToGrid w:val="0"/>
        <w:spacing w:beforeLines="50" w:before="156" w:afterLines="50" w:after="156"/>
        <w:rPr>
          <w:rFonts w:ascii="Times New Roman" w:eastAsia="宋体" w:hAnsi="Times New Roman" w:cs="Times New Roman"/>
          <w:sz w:val="24"/>
          <w:szCs w:val="24"/>
        </w:rPr>
      </w:pPr>
      <w:r w:rsidRPr="00F73301">
        <w:rPr>
          <w:rFonts w:ascii="Times New Roman" w:eastAsia="宋体" w:hAnsi="Times New Roman" w:cs="Times New Roman"/>
          <w:sz w:val="24"/>
          <w:szCs w:val="24"/>
        </w:rPr>
        <w:t>Amount during the current period</w:t>
      </w:r>
    </w:p>
    <w:p w14:paraId="37C913B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200"/>
        <w:gridCol w:w="703"/>
        <w:gridCol w:w="703"/>
        <w:gridCol w:w="703"/>
        <w:gridCol w:w="704"/>
        <w:gridCol w:w="703"/>
        <w:gridCol w:w="703"/>
        <w:gridCol w:w="703"/>
        <w:gridCol w:w="703"/>
        <w:gridCol w:w="703"/>
        <w:gridCol w:w="703"/>
        <w:gridCol w:w="703"/>
        <w:gridCol w:w="705"/>
      </w:tblGrid>
      <w:tr w:rsidR="00F73301" w:rsidRPr="00FC2420" w14:paraId="79A4A41D" w14:textId="77777777" w:rsidTr="0001208F">
        <w:trPr>
          <w:jc w:val="center"/>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062C0C"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Item</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5FD496A8"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2023 mid-year</w:t>
            </w:r>
          </w:p>
        </w:tc>
      </w:tr>
      <w:tr w:rsidR="00F73301" w:rsidRPr="00FC2420" w14:paraId="101A2A21" w14:textId="77777777" w:rsidTr="0001208F">
        <w:trPr>
          <w:jc w:val="center"/>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38DAC1"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2CFF71"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Share capital</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5509062"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Other equity instruments</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BFBCAB"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Capital reserve</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B5C763"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Less: Treasury shares</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AEDD95"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Other comprehensive income</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37774F2"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Special reserve</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CE3D42"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Surplus reserve</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10E28C"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Undistributed profit</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1CFD8F9"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Others</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DC38034"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Total owners' equity</w:t>
            </w:r>
          </w:p>
        </w:tc>
      </w:tr>
      <w:tr w:rsidR="00F73301" w:rsidRPr="00FC2420" w14:paraId="5F34AF9A" w14:textId="77777777" w:rsidTr="0001208F">
        <w:trPr>
          <w:jc w:val="center"/>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CEE24B"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9CC3AD3" w14:textId="77777777" w:rsidR="00F73301" w:rsidRPr="00FC2420" w:rsidRDefault="00F73301" w:rsidP="008C49B7">
            <w:pPr>
              <w:snapToGrid w:val="0"/>
              <w:rPr>
                <w:rFonts w:ascii="Times New Roman" w:eastAsia="等线"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0AF999DB"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Preferred shares</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24901AEF"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Perpetual bonds</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47661B64"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Others</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33599A1"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538836"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19D4779"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vAlign w:val="center"/>
          </w:tcPr>
          <w:p w14:paraId="69CBCE36"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B2E4FA"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073239"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vAlign w:val="center"/>
          </w:tcPr>
          <w:p w14:paraId="4B1E81A8"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C60F8C6" w14:textId="77777777" w:rsidR="00F73301" w:rsidRPr="00FC2420" w:rsidRDefault="00F73301" w:rsidP="008C49B7">
            <w:pPr>
              <w:snapToGrid w:val="0"/>
              <w:rPr>
                <w:rFonts w:ascii="Times New Roman" w:eastAsia="等线" w:hAnsi="Times New Roman" w:cs="Times New Roman"/>
                <w:sz w:val="15"/>
                <w:szCs w:val="15"/>
              </w:rPr>
            </w:pPr>
          </w:p>
        </w:tc>
      </w:tr>
      <w:tr w:rsidR="00F73301" w:rsidRPr="00FC2420" w14:paraId="19DCC709"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341818A"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 Balance at the end of prior year</w:t>
            </w:r>
          </w:p>
        </w:tc>
        <w:tc>
          <w:tcPr>
            <w:tcW w:w="703" w:type="dxa"/>
            <w:tcBorders>
              <w:top w:val="single" w:sz="2" w:space="0" w:color="auto"/>
              <w:left w:val="single" w:sz="2" w:space="0" w:color="auto"/>
              <w:bottom w:val="single" w:sz="2" w:space="0" w:color="auto"/>
              <w:right w:val="single" w:sz="2" w:space="0" w:color="auto"/>
            </w:tcBorders>
            <w:vAlign w:val="center"/>
          </w:tcPr>
          <w:p w14:paraId="03132F67"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512,772,787.00</w:t>
            </w:r>
          </w:p>
        </w:tc>
        <w:tc>
          <w:tcPr>
            <w:tcW w:w="703" w:type="dxa"/>
            <w:tcBorders>
              <w:top w:val="single" w:sz="2" w:space="0" w:color="auto"/>
              <w:left w:val="single" w:sz="2" w:space="0" w:color="auto"/>
              <w:bottom w:val="single" w:sz="2" w:space="0" w:color="auto"/>
              <w:right w:val="single" w:sz="2" w:space="0" w:color="auto"/>
            </w:tcBorders>
            <w:vAlign w:val="center"/>
          </w:tcPr>
          <w:p w14:paraId="120E329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5B8008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EFA05C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8BD2BF1"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2,585,027,502.86</w:t>
            </w:r>
          </w:p>
        </w:tc>
        <w:tc>
          <w:tcPr>
            <w:tcW w:w="703" w:type="dxa"/>
            <w:tcBorders>
              <w:top w:val="single" w:sz="2" w:space="0" w:color="auto"/>
              <w:left w:val="single" w:sz="2" w:space="0" w:color="auto"/>
              <w:bottom w:val="single" w:sz="2" w:space="0" w:color="auto"/>
              <w:right w:val="single" w:sz="2" w:space="0" w:color="auto"/>
            </w:tcBorders>
            <w:vAlign w:val="center"/>
          </w:tcPr>
          <w:p w14:paraId="2C4B854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845E97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D1B265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599DD52"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256,386,393.50</w:t>
            </w:r>
          </w:p>
        </w:tc>
        <w:tc>
          <w:tcPr>
            <w:tcW w:w="703" w:type="dxa"/>
            <w:tcBorders>
              <w:top w:val="single" w:sz="2" w:space="0" w:color="auto"/>
              <w:left w:val="single" w:sz="2" w:space="0" w:color="auto"/>
              <w:bottom w:val="single" w:sz="2" w:space="0" w:color="auto"/>
              <w:right w:val="single" w:sz="2" w:space="0" w:color="auto"/>
            </w:tcBorders>
            <w:vAlign w:val="center"/>
          </w:tcPr>
          <w:p w14:paraId="2ACC8236"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1,845,636,750.03</w:t>
            </w:r>
          </w:p>
        </w:tc>
        <w:tc>
          <w:tcPr>
            <w:tcW w:w="703" w:type="dxa"/>
            <w:tcBorders>
              <w:top w:val="single" w:sz="2" w:space="0" w:color="auto"/>
              <w:left w:val="single" w:sz="2" w:space="0" w:color="auto"/>
              <w:bottom w:val="single" w:sz="2" w:space="0" w:color="auto"/>
              <w:right w:val="single" w:sz="2" w:space="0" w:color="auto"/>
            </w:tcBorders>
            <w:vAlign w:val="center"/>
          </w:tcPr>
          <w:p w14:paraId="02AC08F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CE1B4AB"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5,199,823,433.39</w:t>
            </w:r>
          </w:p>
        </w:tc>
      </w:tr>
      <w:tr w:rsidR="00F73301" w:rsidRPr="00FC2420" w14:paraId="36DB53EF"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5CC769E" w14:textId="77777777" w:rsidR="00F73301" w:rsidRPr="00FC2420" w:rsidRDefault="00F73301" w:rsidP="008C49B7">
            <w:pPr>
              <w:snapToGrid w:val="0"/>
              <w:ind w:firstLineChars="200" w:firstLine="300"/>
              <w:rPr>
                <w:rFonts w:ascii="Times New Roman" w:eastAsia="宋体" w:hAnsi="Times New Roman" w:cs="Times New Roman"/>
                <w:sz w:val="15"/>
                <w:szCs w:val="15"/>
              </w:rPr>
            </w:pPr>
            <w:r w:rsidRPr="00FC2420">
              <w:rPr>
                <w:rFonts w:ascii="Times New Roman" w:eastAsia="宋体" w:hAnsi="Times New Roman" w:cs="Times New Roman"/>
                <w:sz w:val="15"/>
                <w:szCs w:val="15"/>
              </w:rPr>
              <w:t>Add: Cumulative changes of accounting policies</w:t>
            </w:r>
          </w:p>
        </w:tc>
        <w:tc>
          <w:tcPr>
            <w:tcW w:w="703" w:type="dxa"/>
            <w:tcBorders>
              <w:top w:val="single" w:sz="2" w:space="0" w:color="auto"/>
              <w:left w:val="single" w:sz="2" w:space="0" w:color="auto"/>
              <w:bottom w:val="single" w:sz="2" w:space="0" w:color="auto"/>
              <w:right w:val="single" w:sz="2" w:space="0" w:color="auto"/>
            </w:tcBorders>
            <w:vAlign w:val="center"/>
          </w:tcPr>
          <w:p w14:paraId="4FEF56C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BE0DFC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CF63DD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DB066A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35F225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3B5E96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4C8074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8CC407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ED1802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62F169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7835DF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5B90AAC"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7847D963"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72FBD6F" w14:textId="77777777" w:rsidR="00F73301" w:rsidRPr="00FC2420" w:rsidRDefault="00F73301" w:rsidP="008C49B7">
            <w:pPr>
              <w:snapToGrid w:val="0"/>
              <w:ind w:firstLineChars="400" w:firstLine="600"/>
              <w:rPr>
                <w:rFonts w:ascii="Times New Roman" w:eastAsia="宋体" w:hAnsi="Times New Roman" w:cs="Times New Roman"/>
                <w:sz w:val="15"/>
                <w:szCs w:val="15"/>
              </w:rPr>
            </w:pPr>
            <w:r w:rsidRPr="00FC2420">
              <w:rPr>
                <w:rFonts w:ascii="Times New Roman" w:eastAsia="宋体" w:hAnsi="Times New Roman" w:cs="Times New Roman"/>
                <w:sz w:val="15"/>
                <w:szCs w:val="15"/>
              </w:rPr>
              <w:t>Error correction of prior period</w:t>
            </w:r>
          </w:p>
        </w:tc>
        <w:tc>
          <w:tcPr>
            <w:tcW w:w="703" w:type="dxa"/>
            <w:tcBorders>
              <w:top w:val="single" w:sz="2" w:space="0" w:color="auto"/>
              <w:left w:val="single" w:sz="2" w:space="0" w:color="auto"/>
              <w:bottom w:val="single" w:sz="2" w:space="0" w:color="auto"/>
              <w:right w:val="single" w:sz="2" w:space="0" w:color="auto"/>
            </w:tcBorders>
            <w:vAlign w:val="center"/>
          </w:tcPr>
          <w:p w14:paraId="1D831B5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9BCFED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28A8D2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856BAD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24B56B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F4AD80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54DDF0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771032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591D3B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6730AD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6729B6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5C100C9"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78656DD4"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76B97E8" w14:textId="77777777" w:rsidR="00F73301" w:rsidRPr="00FC2420" w:rsidRDefault="00F73301" w:rsidP="008C49B7">
            <w:pPr>
              <w:snapToGrid w:val="0"/>
              <w:ind w:firstLineChars="400" w:firstLine="600"/>
              <w:rPr>
                <w:rFonts w:ascii="Times New Roman" w:eastAsia="宋体" w:hAnsi="Times New Roman" w:cs="Times New Roman"/>
                <w:sz w:val="15"/>
                <w:szCs w:val="15"/>
              </w:rPr>
            </w:pPr>
            <w:r w:rsidRPr="00FC2420">
              <w:rPr>
                <w:rFonts w:ascii="Times New Roman" w:eastAsia="宋体" w:hAnsi="Times New Roman" w:cs="Times New Roman"/>
                <w:sz w:val="15"/>
                <w:szCs w:val="15"/>
              </w:rPr>
              <w:t>Others</w:t>
            </w:r>
          </w:p>
        </w:tc>
        <w:tc>
          <w:tcPr>
            <w:tcW w:w="703" w:type="dxa"/>
            <w:tcBorders>
              <w:top w:val="single" w:sz="2" w:space="0" w:color="auto"/>
              <w:left w:val="single" w:sz="2" w:space="0" w:color="auto"/>
              <w:bottom w:val="single" w:sz="2" w:space="0" w:color="auto"/>
              <w:right w:val="single" w:sz="2" w:space="0" w:color="auto"/>
            </w:tcBorders>
            <w:vAlign w:val="center"/>
          </w:tcPr>
          <w:p w14:paraId="75AFA3A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E27228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E655B0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1630E3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0251DA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AEEBEE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41E386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66584F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FAB5D4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C278E8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49350A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28A8D8E"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3122812F"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63357C6"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II. Opening Balance of Current Year</w:t>
            </w:r>
          </w:p>
        </w:tc>
        <w:tc>
          <w:tcPr>
            <w:tcW w:w="703" w:type="dxa"/>
            <w:tcBorders>
              <w:top w:val="single" w:sz="2" w:space="0" w:color="auto"/>
              <w:left w:val="single" w:sz="2" w:space="0" w:color="auto"/>
              <w:bottom w:val="single" w:sz="2" w:space="0" w:color="auto"/>
              <w:right w:val="single" w:sz="2" w:space="0" w:color="auto"/>
            </w:tcBorders>
            <w:vAlign w:val="center"/>
          </w:tcPr>
          <w:p w14:paraId="5ABB2736"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512,772,787.00</w:t>
            </w:r>
          </w:p>
        </w:tc>
        <w:tc>
          <w:tcPr>
            <w:tcW w:w="703" w:type="dxa"/>
            <w:tcBorders>
              <w:top w:val="single" w:sz="2" w:space="0" w:color="auto"/>
              <w:left w:val="single" w:sz="2" w:space="0" w:color="auto"/>
              <w:bottom w:val="single" w:sz="2" w:space="0" w:color="auto"/>
              <w:right w:val="single" w:sz="2" w:space="0" w:color="auto"/>
            </w:tcBorders>
            <w:vAlign w:val="center"/>
          </w:tcPr>
          <w:p w14:paraId="58DC2C1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1954B2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770B8E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A71AC44"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2,585,027,502.86</w:t>
            </w:r>
          </w:p>
        </w:tc>
        <w:tc>
          <w:tcPr>
            <w:tcW w:w="703" w:type="dxa"/>
            <w:tcBorders>
              <w:top w:val="single" w:sz="2" w:space="0" w:color="auto"/>
              <w:left w:val="single" w:sz="2" w:space="0" w:color="auto"/>
              <w:bottom w:val="single" w:sz="2" w:space="0" w:color="auto"/>
              <w:right w:val="single" w:sz="2" w:space="0" w:color="auto"/>
            </w:tcBorders>
            <w:vAlign w:val="center"/>
          </w:tcPr>
          <w:p w14:paraId="65EA715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E0AD8C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12ABFF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012CB15"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256,386,393.50</w:t>
            </w:r>
          </w:p>
        </w:tc>
        <w:tc>
          <w:tcPr>
            <w:tcW w:w="703" w:type="dxa"/>
            <w:tcBorders>
              <w:top w:val="single" w:sz="2" w:space="0" w:color="auto"/>
              <w:left w:val="single" w:sz="2" w:space="0" w:color="auto"/>
              <w:bottom w:val="single" w:sz="2" w:space="0" w:color="auto"/>
              <w:right w:val="single" w:sz="2" w:space="0" w:color="auto"/>
            </w:tcBorders>
            <w:vAlign w:val="center"/>
          </w:tcPr>
          <w:p w14:paraId="7C05BD7E"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1,845,636,750.03</w:t>
            </w:r>
          </w:p>
        </w:tc>
        <w:tc>
          <w:tcPr>
            <w:tcW w:w="703" w:type="dxa"/>
            <w:tcBorders>
              <w:top w:val="single" w:sz="2" w:space="0" w:color="auto"/>
              <w:left w:val="single" w:sz="2" w:space="0" w:color="auto"/>
              <w:bottom w:val="single" w:sz="2" w:space="0" w:color="auto"/>
              <w:right w:val="single" w:sz="2" w:space="0" w:color="auto"/>
            </w:tcBorders>
            <w:vAlign w:val="center"/>
          </w:tcPr>
          <w:p w14:paraId="034374F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DEA5097"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5,199,823,433.39</w:t>
            </w:r>
          </w:p>
        </w:tc>
      </w:tr>
      <w:tr w:rsidR="00F73301" w:rsidRPr="00FC2420" w14:paraId="720DEEF7"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3C2A7C4"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III. Current Period Increase (Decrease Is Expressed with "-")</w:t>
            </w:r>
          </w:p>
        </w:tc>
        <w:tc>
          <w:tcPr>
            <w:tcW w:w="703" w:type="dxa"/>
            <w:tcBorders>
              <w:top w:val="single" w:sz="2" w:space="0" w:color="auto"/>
              <w:left w:val="single" w:sz="2" w:space="0" w:color="auto"/>
              <w:bottom w:val="single" w:sz="2" w:space="0" w:color="auto"/>
              <w:right w:val="single" w:sz="2" w:space="0" w:color="auto"/>
            </w:tcBorders>
            <w:vAlign w:val="center"/>
          </w:tcPr>
          <w:p w14:paraId="2DAACCD1"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28,679,000.00</w:t>
            </w:r>
          </w:p>
        </w:tc>
        <w:tc>
          <w:tcPr>
            <w:tcW w:w="703" w:type="dxa"/>
            <w:tcBorders>
              <w:top w:val="single" w:sz="2" w:space="0" w:color="auto"/>
              <w:left w:val="single" w:sz="2" w:space="0" w:color="auto"/>
              <w:bottom w:val="single" w:sz="2" w:space="0" w:color="auto"/>
              <w:right w:val="single" w:sz="2" w:space="0" w:color="auto"/>
            </w:tcBorders>
            <w:vAlign w:val="center"/>
          </w:tcPr>
          <w:p w14:paraId="0C8033C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D4E7E6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75428F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2B41C4A"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1,448,163,181.35</w:t>
            </w:r>
          </w:p>
        </w:tc>
        <w:tc>
          <w:tcPr>
            <w:tcW w:w="703" w:type="dxa"/>
            <w:tcBorders>
              <w:top w:val="single" w:sz="2" w:space="0" w:color="auto"/>
              <w:left w:val="single" w:sz="2" w:space="0" w:color="auto"/>
              <w:bottom w:val="single" w:sz="2" w:space="0" w:color="auto"/>
              <w:right w:val="single" w:sz="2" w:space="0" w:color="auto"/>
            </w:tcBorders>
            <w:vAlign w:val="center"/>
          </w:tcPr>
          <w:p w14:paraId="42AE223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D628D7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8D8E12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342320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D859AAB"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64,751,711.67</w:t>
            </w:r>
          </w:p>
        </w:tc>
        <w:tc>
          <w:tcPr>
            <w:tcW w:w="703" w:type="dxa"/>
            <w:tcBorders>
              <w:top w:val="single" w:sz="2" w:space="0" w:color="auto"/>
              <w:left w:val="single" w:sz="2" w:space="0" w:color="auto"/>
              <w:bottom w:val="single" w:sz="2" w:space="0" w:color="auto"/>
              <w:right w:val="single" w:sz="2" w:space="0" w:color="auto"/>
            </w:tcBorders>
            <w:vAlign w:val="center"/>
          </w:tcPr>
          <w:p w14:paraId="198B7C7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731F197"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1,541,593,893.02</w:t>
            </w:r>
          </w:p>
        </w:tc>
      </w:tr>
      <w:tr w:rsidR="00F73301" w:rsidRPr="00FC2420" w14:paraId="3798FE55"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B957404" w14:textId="77777777" w:rsidR="00F73301" w:rsidRPr="00FC2420" w:rsidRDefault="00F73301" w:rsidP="008C49B7">
            <w:pPr>
              <w:snapToGrid w:val="0"/>
              <w:rPr>
                <w:rFonts w:ascii="Times New Roman" w:eastAsia="宋体" w:hAnsi="Times New Roman" w:cs="Times New Roman"/>
                <w:sz w:val="15"/>
                <w:szCs w:val="15"/>
              </w:rPr>
            </w:pPr>
            <w:proofErr w:type="spellStart"/>
            <w:r w:rsidRPr="00FC2420">
              <w:rPr>
                <w:rFonts w:ascii="Times New Roman" w:eastAsia="宋体" w:hAnsi="Times New Roman" w:cs="Times New Roman"/>
                <w:sz w:val="15"/>
                <w:szCs w:val="15"/>
              </w:rPr>
              <w:t>i</w:t>
            </w:r>
            <w:proofErr w:type="spellEnd"/>
            <w:r w:rsidRPr="00FC2420">
              <w:rPr>
                <w:rFonts w:ascii="Times New Roman" w:eastAsia="宋体" w:hAnsi="Times New Roman" w:cs="Times New Roman"/>
                <w:sz w:val="15"/>
                <w:szCs w:val="15"/>
              </w:rPr>
              <w:t>. Total comprehensive income</w:t>
            </w:r>
          </w:p>
        </w:tc>
        <w:tc>
          <w:tcPr>
            <w:tcW w:w="703" w:type="dxa"/>
            <w:tcBorders>
              <w:top w:val="single" w:sz="2" w:space="0" w:color="auto"/>
              <w:left w:val="single" w:sz="2" w:space="0" w:color="auto"/>
              <w:bottom w:val="single" w:sz="2" w:space="0" w:color="auto"/>
              <w:right w:val="single" w:sz="2" w:space="0" w:color="auto"/>
            </w:tcBorders>
            <w:vAlign w:val="center"/>
          </w:tcPr>
          <w:p w14:paraId="4F9081B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5CD0F2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6CB954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B298DB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42F958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0883E4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5C9E24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CFB091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597EFB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0D47389"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335,477,605.17</w:t>
            </w:r>
          </w:p>
        </w:tc>
        <w:tc>
          <w:tcPr>
            <w:tcW w:w="703" w:type="dxa"/>
            <w:tcBorders>
              <w:top w:val="single" w:sz="2" w:space="0" w:color="auto"/>
              <w:left w:val="single" w:sz="2" w:space="0" w:color="auto"/>
              <w:bottom w:val="single" w:sz="2" w:space="0" w:color="auto"/>
              <w:right w:val="single" w:sz="2" w:space="0" w:color="auto"/>
            </w:tcBorders>
            <w:vAlign w:val="center"/>
          </w:tcPr>
          <w:p w14:paraId="616114C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465FC9D"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335,477,605.17</w:t>
            </w:r>
          </w:p>
        </w:tc>
      </w:tr>
      <w:tr w:rsidR="00F73301" w:rsidRPr="00FC2420" w14:paraId="6E8D963C"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361E0EB"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ii. Capital contributed or withdrawn by owners</w:t>
            </w:r>
          </w:p>
        </w:tc>
        <w:tc>
          <w:tcPr>
            <w:tcW w:w="703" w:type="dxa"/>
            <w:tcBorders>
              <w:top w:val="single" w:sz="2" w:space="0" w:color="auto"/>
              <w:left w:val="single" w:sz="2" w:space="0" w:color="auto"/>
              <w:bottom w:val="single" w:sz="2" w:space="0" w:color="auto"/>
              <w:right w:val="single" w:sz="2" w:space="0" w:color="auto"/>
            </w:tcBorders>
            <w:vAlign w:val="center"/>
          </w:tcPr>
          <w:p w14:paraId="5CFE4946"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28,679,000.00</w:t>
            </w:r>
          </w:p>
        </w:tc>
        <w:tc>
          <w:tcPr>
            <w:tcW w:w="703" w:type="dxa"/>
            <w:tcBorders>
              <w:top w:val="single" w:sz="2" w:space="0" w:color="auto"/>
              <w:left w:val="single" w:sz="2" w:space="0" w:color="auto"/>
              <w:bottom w:val="single" w:sz="2" w:space="0" w:color="auto"/>
              <w:right w:val="single" w:sz="2" w:space="0" w:color="auto"/>
            </w:tcBorders>
            <w:vAlign w:val="center"/>
          </w:tcPr>
          <w:p w14:paraId="224DDB3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FDFD68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936A59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07B0E1B"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1,448,163,181.35</w:t>
            </w:r>
          </w:p>
        </w:tc>
        <w:tc>
          <w:tcPr>
            <w:tcW w:w="703" w:type="dxa"/>
            <w:tcBorders>
              <w:top w:val="single" w:sz="2" w:space="0" w:color="auto"/>
              <w:left w:val="single" w:sz="2" w:space="0" w:color="auto"/>
              <w:bottom w:val="single" w:sz="2" w:space="0" w:color="auto"/>
              <w:right w:val="single" w:sz="2" w:space="0" w:color="auto"/>
            </w:tcBorders>
            <w:vAlign w:val="center"/>
          </w:tcPr>
          <w:p w14:paraId="3BD91ED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381E44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91EF8B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4377F0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01142E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14162F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47DF0DA"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1,476,842,181.35</w:t>
            </w:r>
          </w:p>
        </w:tc>
      </w:tr>
      <w:tr w:rsidR="00F73301" w:rsidRPr="00FC2420" w14:paraId="266BF1FD"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8C98118"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1. Ordinary shares contributed by owners</w:t>
            </w:r>
          </w:p>
        </w:tc>
        <w:tc>
          <w:tcPr>
            <w:tcW w:w="703" w:type="dxa"/>
            <w:tcBorders>
              <w:top w:val="single" w:sz="2" w:space="0" w:color="auto"/>
              <w:left w:val="single" w:sz="2" w:space="0" w:color="auto"/>
              <w:bottom w:val="single" w:sz="2" w:space="0" w:color="auto"/>
              <w:right w:val="single" w:sz="2" w:space="0" w:color="auto"/>
            </w:tcBorders>
            <w:vAlign w:val="center"/>
          </w:tcPr>
          <w:p w14:paraId="756A54F3"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28,679,000.00</w:t>
            </w:r>
          </w:p>
        </w:tc>
        <w:tc>
          <w:tcPr>
            <w:tcW w:w="703" w:type="dxa"/>
            <w:tcBorders>
              <w:top w:val="single" w:sz="2" w:space="0" w:color="auto"/>
              <w:left w:val="single" w:sz="2" w:space="0" w:color="auto"/>
              <w:bottom w:val="single" w:sz="2" w:space="0" w:color="auto"/>
              <w:right w:val="single" w:sz="2" w:space="0" w:color="auto"/>
            </w:tcBorders>
            <w:vAlign w:val="center"/>
          </w:tcPr>
          <w:p w14:paraId="0B49E95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D885F6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3C1CFB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D4B31CC"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1,428,893,461.35</w:t>
            </w:r>
          </w:p>
        </w:tc>
        <w:tc>
          <w:tcPr>
            <w:tcW w:w="703" w:type="dxa"/>
            <w:tcBorders>
              <w:top w:val="single" w:sz="2" w:space="0" w:color="auto"/>
              <w:left w:val="single" w:sz="2" w:space="0" w:color="auto"/>
              <w:bottom w:val="single" w:sz="2" w:space="0" w:color="auto"/>
              <w:right w:val="single" w:sz="2" w:space="0" w:color="auto"/>
            </w:tcBorders>
            <w:vAlign w:val="center"/>
          </w:tcPr>
          <w:p w14:paraId="68C2120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83BB71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5EAFD6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308974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B9FB15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862514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ED61837"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1,457,572,461.35</w:t>
            </w:r>
          </w:p>
        </w:tc>
      </w:tr>
      <w:tr w:rsidR="00F73301" w:rsidRPr="00FC2420" w14:paraId="6A8923D2"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62F4211"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2. Capital contributed by holders of other equity instruments</w:t>
            </w:r>
          </w:p>
        </w:tc>
        <w:tc>
          <w:tcPr>
            <w:tcW w:w="703" w:type="dxa"/>
            <w:tcBorders>
              <w:top w:val="single" w:sz="2" w:space="0" w:color="auto"/>
              <w:left w:val="single" w:sz="2" w:space="0" w:color="auto"/>
              <w:bottom w:val="single" w:sz="2" w:space="0" w:color="auto"/>
              <w:right w:val="single" w:sz="2" w:space="0" w:color="auto"/>
            </w:tcBorders>
            <w:vAlign w:val="center"/>
          </w:tcPr>
          <w:p w14:paraId="2E0640C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0EFA10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402679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B4D972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AAB7D1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FEACCB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DBCA83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98E9CC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F22355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E64645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C69C6C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0FAA498"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5D8C7EFA"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A302FDE"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3. Amount of share-based payment included in equity</w:t>
            </w:r>
          </w:p>
        </w:tc>
        <w:tc>
          <w:tcPr>
            <w:tcW w:w="703" w:type="dxa"/>
            <w:tcBorders>
              <w:top w:val="single" w:sz="2" w:space="0" w:color="auto"/>
              <w:left w:val="single" w:sz="2" w:space="0" w:color="auto"/>
              <w:bottom w:val="single" w:sz="2" w:space="0" w:color="auto"/>
              <w:right w:val="single" w:sz="2" w:space="0" w:color="auto"/>
            </w:tcBorders>
            <w:vAlign w:val="center"/>
          </w:tcPr>
          <w:p w14:paraId="15A925C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51BEE4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B902A1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4AAFB6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E7BC32F"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19,269,720.00</w:t>
            </w:r>
          </w:p>
        </w:tc>
        <w:tc>
          <w:tcPr>
            <w:tcW w:w="703" w:type="dxa"/>
            <w:tcBorders>
              <w:top w:val="single" w:sz="2" w:space="0" w:color="auto"/>
              <w:left w:val="single" w:sz="2" w:space="0" w:color="auto"/>
              <w:bottom w:val="single" w:sz="2" w:space="0" w:color="auto"/>
              <w:right w:val="single" w:sz="2" w:space="0" w:color="auto"/>
            </w:tcBorders>
            <w:vAlign w:val="center"/>
          </w:tcPr>
          <w:p w14:paraId="6CFBCC5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2DA558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D0F2F7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A9D073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52B26D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37E001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3D6411B"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19,269,720.00</w:t>
            </w:r>
          </w:p>
        </w:tc>
      </w:tr>
      <w:tr w:rsidR="00F73301" w:rsidRPr="00FC2420" w14:paraId="6458FD12"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1F01250"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4. Others</w:t>
            </w:r>
          </w:p>
        </w:tc>
        <w:tc>
          <w:tcPr>
            <w:tcW w:w="703" w:type="dxa"/>
            <w:tcBorders>
              <w:top w:val="single" w:sz="2" w:space="0" w:color="auto"/>
              <w:left w:val="single" w:sz="2" w:space="0" w:color="auto"/>
              <w:bottom w:val="single" w:sz="2" w:space="0" w:color="auto"/>
              <w:right w:val="single" w:sz="2" w:space="0" w:color="auto"/>
            </w:tcBorders>
            <w:vAlign w:val="center"/>
          </w:tcPr>
          <w:p w14:paraId="21FB6A9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5341EE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B92892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FA4024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1F7E2F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DCAE5A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BD96C9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F28DCB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DA820D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60183B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327F87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F741BBD"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3481F920"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4F18C75"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iii. Profit distribution</w:t>
            </w:r>
          </w:p>
        </w:tc>
        <w:tc>
          <w:tcPr>
            <w:tcW w:w="703" w:type="dxa"/>
            <w:tcBorders>
              <w:top w:val="single" w:sz="2" w:space="0" w:color="auto"/>
              <w:left w:val="single" w:sz="2" w:space="0" w:color="auto"/>
              <w:bottom w:val="single" w:sz="2" w:space="0" w:color="auto"/>
              <w:right w:val="single" w:sz="2" w:space="0" w:color="auto"/>
            </w:tcBorders>
            <w:vAlign w:val="center"/>
          </w:tcPr>
          <w:p w14:paraId="01A6341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028B95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55BCCF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DD2530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8C7273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B37C7A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5F2989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6D4098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F7D8C5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E7E4784"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-270,725,893.50</w:t>
            </w:r>
          </w:p>
        </w:tc>
        <w:tc>
          <w:tcPr>
            <w:tcW w:w="703" w:type="dxa"/>
            <w:tcBorders>
              <w:top w:val="single" w:sz="2" w:space="0" w:color="auto"/>
              <w:left w:val="single" w:sz="2" w:space="0" w:color="auto"/>
              <w:bottom w:val="single" w:sz="2" w:space="0" w:color="auto"/>
              <w:right w:val="single" w:sz="2" w:space="0" w:color="auto"/>
            </w:tcBorders>
            <w:vAlign w:val="center"/>
          </w:tcPr>
          <w:p w14:paraId="6D8A5F3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07430D3"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-270,725,893.50</w:t>
            </w:r>
          </w:p>
        </w:tc>
      </w:tr>
      <w:tr w:rsidR="00F73301" w:rsidRPr="00FC2420" w14:paraId="62207770"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93F1ECF"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1. Appropriation of surplus reserve</w:t>
            </w:r>
          </w:p>
        </w:tc>
        <w:tc>
          <w:tcPr>
            <w:tcW w:w="703" w:type="dxa"/>
            <w:tcBorders>
              <w:top w:val="single" w:sz="2" w:space="0" w:color="auto"/>
              <w:left w:val="single" w:sz="2" w:space="0" w:color="auto"/>
              <w:bottom w:val="single" w:sz="2" w:space="0" w:color="auto"/>
              <w:right w:val="single" w:sz="2" w:space="0" w:color="auto"/>
            </w:tcBorders>
            <w:vAlign w:val="center"/>
          </w:tcPr>
          <w:p w14:paraId="058DD16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CA72CF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474E3B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34F964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F4401C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F03D6D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1553FB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E79E18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4CE3C5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6EE450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DD9F80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E0CF504"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525DE7CA"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292ED7D"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2. Appropriation of profit to owners (or shareholders)</w:t>
            </w:r>
          </w:p>
        </w:tc>
        <w:tc>
          <w:tcPr>
            <w:tcW w:w="703" w:type="dxa"/>
            <w:tcBorders>
              <w:top w:val="single" w:sz="2" w:space="0" w:color="auto"/>
              <w:left w:val="single" w:sz="2" w:space="0" w:color="auto"/>
              <w:bottom w:val="single" w:sz="2" w:space="0" w:color="auto"/>
              <w:right w:val="single" w:sz="2" w:space="0" w:color="auto"/>
            </w:tcBorders>
            <w:vAlign w:val="center"/>
          </w:tcPr>
          <w:p w14:paraId="29AD9A2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400419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8E0C26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18FAC8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FD9DA0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38F3B5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8E3EEA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B46DD5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8A67C0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5F099BF"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-270,725,893.50</w:t>
            </w:r>
          </w:p>
        </w:tc>
        <w:tc>
          <w:tcPr>
            <w:tcW w:w="703" w:type="dxa"/>
            <w:tcBorders>
              <w:top w:val="single" w:sz="2" w:space="0" w:color="auto"/>
              <w:left w:val="single" w:sz="2" w:space="0" w:color="auto"/>
              <w:bottom w:val="single" w:sz="2" w:space="0" w:color="auto"/>
              <w:right w:val="single" w:sz="2" w:space="0" w:color="auto"/>
            </w:tcBorders>
            <w:vAlign w:val="center"/>
          </w:tcPr>
          <w:p w14:paraId="7A46E44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CAFE12B"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-270,725,893.50</w:t>
            </w:r>
          </w:p>
        </w:tc>
      </w:tr>
      <w:tr w:rsidR="00F73301" w:rsidRPr="00FC2420" w14:paraId="72D5EF14"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79220EC"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3. Others</w:t>
            </w:r>
          </w:p>
        </w:tc>
        <w:tc>
          <w:tcPr>
            <w:tcW w:w="703" w:type="dxa"/>
            <w:tcBorders>
              <w:top w:val="single" w:sz="2" w:space="0" w:color="auto"/>
              <w:left w:val="single" w:sz="2" w:space="0" w:color="auto"/>
              <w:bottom w:val="single" w:sz="2" w:space="0" w:color="auto"/>
              <w:right w:val="single" w:sz="2" w:space="0" w:color="auto"/>
            </w:tcBorders>
            <w:vAlign w:val="center"/>
          </w:tcPr>
          <w:p w14:paraId="3C05F73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BE8FD9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454C40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2F0E8E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F24C8A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1319DF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786A0B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2CF7F8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D5CB7C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9036E0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3A05AA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9C3AD23"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3D7C110D"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441CA87"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iv. Internal carry-over within equity</w:t>
            </w:r>
          </w:p>
        </w:tc>
        <w:tc>
          <w:tcPr>
            <w:tcW w:w="703" w:type="dxa"/>
            <w:tcBorders>
              <w:top w:val="single" w:sz="2" w:space="0" w:color="auto"/>
              <w:left w:val="single" w:sz="2" w:space="0" w:color="auto"/>
              <w:bottom w:val="single" w:sz="2" w:space="0" w:color="auto"/>
              <w:right w:val="single" w:sz="2" w:space="0" w:color="auto"/>
            </w:tcBorders>
            <w:vAlign w:val="center"/>
          </w:tcPr>
          <w:p w14:paraId="3B03650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C486C8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1794C5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5728DC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6B5116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B68C87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DE09F8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D55E85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3BE748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C89E1C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0A7244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72765DF"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63489605"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BA6EF12"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 xml:space="preserve">1. Transfer of capital reserve to capital (or share </w:t>
            </w:r>
            <w:r w:rsidRPr="00FC2420">
              <w:rPr>
                <w:rFonts w:ascii="Times New Roman" w:eastAsia="宋体" w:hAnsi="Times New Roman" w:cs="Times New Roman"/>
                <w:sz w:val="15"/>
                <w:szCs w:val="15"/>
              </w:rPr>
              <w:lastRenderedPageBreak/>
              <w:t>capital)</w:t>
            </w:r>
          </w:p>
        </w:tc>
        <w:tc>
          <w:tcPr>
            <w:tcW w:w="703" w:type="dxa"/>
            <w:tcBorders>
              <w:top w:val="single" w:sz="2" w:space="0" w:color="auto"/>
              <w:left w:val="single" w:sz="2" w:space="0" w:color="auto"/>
              <w:bottom w:val="single" w:sz="2" w:space="0" w:color="auto"/>
              <w:right w:val="single" w:sz="2" w:space="0" w:color="auto"/>
            </w:tcBorders>
            <w:vAlign w:val="center"/>
          </w:tcPr>
          <w:p w14:paraId="2E2E6D1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61BE63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75CBF0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C19359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E2A286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25D51D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11944C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1713FF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0AEE7B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0FCA8F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7EB79E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FB163A5"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3218A505"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2B018ED"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2. Transfer of surplus reserve to capital (or share capital)</w:t>
            </w:r>
          </w:p>
        </w:tc>
        <w:tc>
          <w:tcPr>
            <w:tcW w:w="703" w:type="dxa"/>
            <w:tcBorders>
              <w:top w:val="single" w:sz="2" w:space="0" w:color="auto"/>
              <w:left w:val="single" w:sz="2" w:space="0" w:color="auto"/>
              <w:bottom w:val="single" w:sz="2" w:space="0" w:color="auto"/>
              <w:right w:val="single" w:sz="2" w:space="0" w:color="auto"/>
            </w:tcBorders>
            <w:vAlign w:val="center"/>
          </w:tcPr>
          <w:p w14:paraId="68B9378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493300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DA5253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390EE0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A07FD2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F8771A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A1FB4C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D6767C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305E2B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3D745A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497A98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94E762E"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367F4C4D"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67F7047"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3. Surplus reserve to cover losses</w:t>
            </w:r>
          </w:p>
        </w:tc>
        <w:tc>
          <w:tcPr>
            <w:tcW w:w="703" w:type="dxa"/>
            <w:tcBorders>
              <w:top w:val="single" w:sz="2" w:space="0" w:color="auto"/>
              <w:left w:val="single" w:sz="2" w:space="0" w:color="auto"/>
              <w:bottom w:val="single" w:sz="2" w:space="0" w:color="auto"/>
              <w:right w:val="single" w:sz="2" w:space="0" w:color="auto"/>
            </w:tcBorders>
            <w:vAlign w:val="center"/>
          </w:tcPr>
          <w:p w14:paraId="12034E3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3DCD96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A8DA93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7A2CBB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B6F53E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8F18B0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56F261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4143F8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7D6FB3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D700B2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E699EE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501F0CB"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650119DE"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C9EF46C"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4. Changes in defined benefit plan carried over to retained earnings</w:t>
            </w:r>
          </w:p>
        </w:tc>
        <w:tc>
          <w:tcPr>
            <w:tcW w:w="703" w:type="dxa"/>
            <w:tcBorders>
              <w:top w:val="single" w:sz="2" w:space="0" w:color="auto"/>
              <w:left w:val="single" w:sz="2" w:space="0" w:color="auto"/>
              <w:bottom w:val="single" w:sz="2" w:space="0" w:color="auto"/>
              <w:right w:val="single" w:sz="2" w:space="0" w:color="auto"/>
            </w:tcBorders>
            <w:vAlign w:val="center"/>
          </w:tcPr>
          <w:p w14:paraId="0913B3E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3E917C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0431BD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98FF76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313CEC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9F0EC1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A9DAD2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E08B4F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F1354F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3AFCE5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A8CB3E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2DF8BC0"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3F478395"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64A40AC"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5. Other comprehensive income carried over to retained earnings</w:t>
            </w:r>
          </w:p>
        </w:tc>
        <w:tc>
          <w:tcPr>
            <w:tcW w:w="703" w:type="dxa"/>
            <w:tcBorders>
              <w:top w:val="single" w:sz="2" w:space="0" w:color="auto"/>
              <w:left w:val="single" w:sz="2" w:space="0" w:color="auto"/>
              <w:bottom w:val="single" w:sz="2" w:space="0" w:color="auto"/>
              <w:right w:val="single" w:sz="2" w:space="0" w:color="auto"/>
            </w:tcBorders>
            <w:vAlign w:val="center"/>
          </w:tcPr>
          <w:p w14:paraId="199FFD5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9C60FE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E5DC87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EE0877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6BA0BA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A5E696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2FD61F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DA31AC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5469E3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1310CC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1C43C3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0469824"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6B76D661"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58FB130"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6. Others</w:t>
            </w:r>
          </w:p>
        </w:tc>
        <w:tc>
          <w:tcPr>
            <w:tcW w:w="703" w:type="dxa"/>
            <w:tcBorders>
              <w:top w:val="single" w:sz="2" w:space="0" w:color="auto"/>
              <w:left w:val="single" w:sz="2" w:space="0" w:color="auto"/>
              <w:bottom w:val="single" w:sz="2" w:space="0" w:color="auto"/>
              <w:right w:val="single" w:sz="2" w:space="0" w:color="auto"/>
            </w:tcBorders>
            <w:vAlign w:val="center"/>
          </w:tcPr>
          <w:p w14:paraId="648D51E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C8C187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5931EE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815CBC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7366F4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E589BB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8598A0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E11E9C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041E44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ADEB2F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C83576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5BE2AA6"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28D75C79"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90B2A4B"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v. Special reserve</w:t>
            </w:r>
          </w:p>
        </w:tc>
        <w:tc>
          <w:tcPr>
            <w:tcW w:w="703" w:type="dxa"/>
            <w:tcBorders>
              <w:top w:val="single" w:sz="2" w:space="0" w:color="auto"/>
              <w:left w:val="single" w:sz="2" w:space="0" w:color="auto"/>
              <w:bottom w:val="single" w:sz="2" w:space="0" w:color="auto"/>
              <w:right w:val="single" w:sz="2" w:space="0" w:color="auto"/>
            </w:tcBorders>
            <w:vAlign w:val="center"/>
          </w:tcPr>
          <w:p w14:paraId="4C625E2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4C3E9D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AEFDDB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F1976E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EF2F8A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A38C5E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F0CF61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F4A0C5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6C8A86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AF1F4E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F4D083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940750E"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77023F1C"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903653F"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1. Appropriation of current period</w:t>
            </w:r>
          </w:p>
        </w:tc>
        <w:tc>
          <w:tcPr>
            <w:tcW w:w="703" w:type="dxa"/>
            <w:tcBorders>
              <w:top w:val="single" w:sz="2" w:space="0" w:color="auto"/>
              <w:left w:val="single" w:sz="2" w:space="0" w:color="auto"/>
              <w:bottom w:val="single" w:sz="2" w:space="0" w:color="auto"/>
              <w:right w:val="single" w:sz="2" w:space="0" w:color="auto"/>
            </w:tcBorders>
            <w:vAlign w:val="center"/>
          </w:tcPr>
          <w:p w14:paraId="4250132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4FC97C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956FBB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90285B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0CFFA0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5B865E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E2AADC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658A69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1FBFB1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ADDAF4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59AEB1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33AEF7C"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7F036DA8"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C3C17EC"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2. Application of current period</w:t>
            </w:r>
          </w:p>
        </w:tc>
        <w:tc>
          <w:tcPr>
            <w:tcW w:w="703" w:type="dxa"/>
            <w:tcBorders>
              <w:top w:val="single" w:sz="2" w:space="0" w:color="auto"/>
              <w:left w:val="single" w:sz="2" w:space="0" w:color="auto"/>
              <w:bottom w:val="single" w:sz="2" w:space="0" w:color="auto"/>
              <w:right w:val="single" w:sz="2" w:space="0" w:color="auto"/>
            </w:tcBorders>
            <w:vAlign w:val="center"/>
          </w:tcPr>
          <w:p w14:paraId="186E913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4C6256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095B74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AA44CD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C23F91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B16E6C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8A045D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7A367D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2D3D28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33FCDE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1CAB00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7CF83E3"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62BC8FA6"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192D033"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vi. Others</w:t>
            </w:r>
          </w:p>
        </w:tc>
        <w:tc>
          <w:tcPr>
            <w:tcW w:w="703" w:type="dxa"/>
            <w:tcBorders>
              <w:top w:val="single" w:sz="2" w:space="0" w:color="auto"/>
              <w:left w:val="single" w:sz="2" w:space="0" w:color="auto"/>
              <w:bottom w:val="single" w:sz="2" w:space="0" w:color="auto"/>
              <w:right w:val="single" w:sz="2" w:space="0" w:color="auto"/>
            </w:tcBorders>
            <w:vAlign w:val="center"/>
          </w:tcPr>
          <w:p w14:paraId="384A0C4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BC5817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303A5B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DFA2DC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1BA4D1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32CF8A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F4BCB4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9C1330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3CECEF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FE76BA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C1A5BF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A46A1DD"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6D4AA554"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6DFB083"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IV. Closing Balance of Current Period</w:t>
            </w:r>
          </w:p>
        </w:tc>
        <w:tc>
          <w:tcPr>
            <w:tcW w:w="703" w:type="dxa"/>
            <w:tcBorders>
              <w:top w:val="single" w:sz="2" w:space="0" w:color="auto"/>
              <w:left w:val="single" w:sz="2" w:space="0" w:color="auto"/>
              <w:bottom w:val="single" w:sz="2" w:space="0" w:color="auto"/>
              <w:right w:val="single" w:sz="2" w:space="0" w:color="auto"/>
            </w:tcBorders>
            <w:vAlign w:val="center"/>
          </w:tcPr>
          <w:p w14:paraId="7E83904A"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541,451,787.00</w:t>
            </w:r>
          </w:p>
        </w:tc>
        <w:tc>
          <w:tcPr>
            <w:tcW w:w="703" w:type="dxa"/>
            <w:tcBorders>
              <w:top w:val="single" w:sz="2" w:space="0" w:color="auto"/>
              <w:left w:val="single" w:sz="2" w:space="0" w:color="auto"/>
              <w:bottom w:val="single" w:sz="2" w:space="0" w:color="auto"/>
              <w:right w:val="single" w:sz="2" w:space="0" w:color="auto"/>
            </w:tcBorders>
            <w:vAlign w:val="center"/>
          </w:tcPr>
          <w:p w14:paraId="18436D1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DBC7E6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349B24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D48E94A"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4,033,190,684.21</w:t>
            </w:r>
          </w:p>
        </w:tc>
        <w:tc>
          <w:tcPr>
            <w:tcW w:w="703" w:type="dxa"/>
            <w:tcBorders>
              <w:top w:val="single" w:sz="2" w:space="0" w:color="auto"/>
              <w:left w:val="single" w:sz="2" w:space="0" w:color="auto"/>
              <w:bottom w:val="single" w:sz="2" w:space="0" w:color="auto"/>
              <w:right w:val="single" w:sz="2" w:space="0" w:color="auto"/>
            </w:tcBorders>
            <w:vAlign w:val="center"/>
          </w:tcPr>
          <w:p w14:paraId="212AAF3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D8FFFF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85C32D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4169F32"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256,386,393.50</w:t>
            </w:r>
          </w:p>
        </w:tc>
        <w:tc>
          <w:tcPr>
            <w:tcW w:w="703" w:type="dxa"/>
            <w:tcBorders>
              <w:top w:val="single" w:sz="2" w:space="0" w:color="auto"/>
              <w:left w:val="single" w:sz="2" w:space="0" w:color="auto"/>
              <w:bottom w:val="single" w:sz="2" w:space="0" w:color="auto"/>
              <w:right w:val="single" w:sz="2" w:space="0" w:color="auto"/>
            </w:tcBorders>
            <w:vAlign w:val="center"/>
          </w:tcPr>
          <w:p w14:paraId="12E61324"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1,910,388,461.70</w:t>
            </w:r>
          </w:p>
        </w:tc>
        <w:tc>
          <w:tcPr>
            <w:tcW w:w="703" w:type="dxa"/>
            <w:tcBorders>
              <w:top w:val="single" w:sz="2" w:space="0" w:color="auto"/>
              <w:left w:val="single" w:sz="2" w:space="0" w:color="auto"/>
              <w:bottom w:val="single" w:sz="2" w:space="0" w:color="auto"/>
              <w:right w:val="single" w:sz="2" w:space="0" w:color="auto"/>
            </w:tcBorders>
            <w:vAlign w:val="center"/>
          </w:tcPr>
          <w:p w14:paraId="1F78F49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E4D0F23"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6,741,417,326.41</w:t>
            </w:r>
          </w:p>
        </w:tc>
      </w:tr>
    </w:tbl>
    <w:p w14:paraId="63B56BD8" w14:textId="77777777" w:rsidR="00F73301" w:rsidRPr="00F73301" w:rsidRDefault="00F73301" w:rsidP="00F73301">
      <w:pPr>
        <w:snapToGrid w:val="0"/>
        <w:spacing w:beforeLines="50" w:before="156" w:afterLines="50" w:after="156"/>
        <w:rPr>
          <w:rFonts w:ascii="Times New Roman" w:eastAsia="宋体" w:hAnsi="Times New Roman" w:cs="Times New Roman"/>
          <w:sz w:val="24"/>
          <w:szCs w:val="24"/>
        </w:rPr>
      </w:pPr>
      <w:r w:rsidRPr="00F73301">
        <w:rPr>
          <w:rFonts w:ascii="Times New Roman" w:eastAsia="宋体" w:hAnsi="Times New Roman" w:cs="Times New Roman"/>
          <w:sz w:val="24"/>
          <w:szCs w:val="24"/>
        </w:rPr>
        <w:t>Previous period</w:t>
      </w:r>
    </w:p>
    <w:p w14:paraId="41F71FB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200"/>
        <w:gridCol w:w="703"/>
        <w:gridCol w:w="703"/>
        <w:gridCol w:w="703"/>
        <w:gridCol w:w="704"/>
        <w:gridCol w:w="703"/>
        <w:gridCol w:w="703"/>
        <w:gridCol w:w="703"/>
        <w:gridCol w:w="703"/>
        <w:gridCol w:w="703"/>
        <w:gridCol w:w="703"/>
        <w:gridCol w:w="703"/>
        <w:gridCol w:w="705"/>
      </w:tblGrid>
      <w:tr w:rsidR="00F73301" w:rsidRPr="00FC2420" w14:paraId="05B67EDB" w14:textId="77777777" w:rsidTr="0001208F">
        <w:trPr>
          <w:jc w:val="center"/>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87F4E3"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Item</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3ACA80A8"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2022 mid-year</w:t>
            </w:r>
          </w:p>
        </w:tc>
      </w:tr>
      <w:tr w:rsidR="00F73301" w:rsidRPr="00FC2420" w14:paraId="309D29C3" w14:textId="77777777" w:rsidTr="0001208F">
        <w:trPr>
          <w:jc w:val="center"/>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2D5885"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A9D2A9"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Share capital</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9039042"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Other equity instruments</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C21F5A"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Capital reserve</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397E56"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Less: Treasury shares</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AB07D63"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Other comprehensive income</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C71820"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Special reserve</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F589AC"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Surplus reserve</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DAF63AD"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Undistributed profit</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8FB5AC"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Others</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394874"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Total owners' equity</w:t>
            </w:r>
          </w:p>
        </w:tc>
      </w:tr>
      <w:tr w:rsidR="00F73301" w:rsidRPr="00FC2420" w14:paraId="0C199909" w14:textId="77777777" w:rsidTr="0001208F">
        <w:trPr>
          <w:jc w:val="center"/>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857EA59"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C60549" w14:textId="77777777" w:rsidR="00F73301" w:rsidRPr="00FC2420" w:rsidRDefault="00F73301" w:rsidP="008C49B7">
            <w:pPr>
              <w:snapToGrid w:val="0"/>
              <w:rPr>
                <w:rFonts w:ascii="Times New Roman" w:eastAsia="等线"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6AC5C11F"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Preferred shares</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3F8EA8FD"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Perpetual bonds</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5EF5CCF2" w14:textId="77777777" w:rsidR="00F73301" w:rsidRPr="00FC2420" w:rsidRDefault="00F73301" w:rsidP="008C49B7">
            <w:pPr>
              <w:snapToGrid w:val="0"/>
              <w:jc w:val="center"/>
              <w:rPr>
                <w:rFonts w:ascii="Times New Roman" w:eastAsia="宋体" w:hAnsi="Times New Roman" w:cs="Times New Roman"/>
                <w:sz w:val="15"/>
                <w:szCs w:val="15"/>
              </w:rPr>
            </w:pPr>
            <w:r w:rsidRPr="00FC2420">
              <w:rPr>
                <w:rFonts w:ascii="Times New Roman" w:eastAsia="宋体" w:hAnsi="Times New Roman" w:cs="Times New Roman"/>
                <w:sz w:val="15"/>
                <w:szCs w:val="15"/>
              </w:rPr>
              <w:t>Others</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6C4545B"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4E4E4E1"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2D3998"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vAlign w:val="center"/>
          </w:tcPr>
          <w:p w14:paraId="4E075C5A"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B6EC443"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36BF078"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vAlign w:val="center"/>
          </w:tcPr>
          <w:p w14:paraId="4EF4F2ED" w14:textId="77777777" w:rsidR="00F73301" w:rsidRPr="00FC2420" w:rsidRDefault="00F73301" w:rsidP="008C49B7">
            <w:pPr>
              <w:snapToGrid w:val="0"/>
              <w:rPr>
                <w:rFonts w:ascii="Times New Roman" w:eastAsia="等线" w:hAnsi="Times New Roman" w:cs="Times New Roman"/>
                <w:sz w:val="15"/>
                <w:szCs w:val="15"/>
              </w:rPr>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1844F1" w14:textId="77777777" w:rsidR="00F73301" w:rsidRPr="00FC2420" w:rsidRDefault="00F73301" w:rsidP="008C49B7">
            <w:pPr>
              <w:snapToGrid w:val="0"/>
              <w:rPr>
                <w:rFonts w:ascii="Times New Roman" w:eastAsia="等线" w:hAnsi="Times New Roman" w:cs="Times New Roman"/>
                <w:sz w:val="15"/>
                <w:szCs w:val="15"/>
              </w:rPr>
            </w:pPr>
          </w:p>
        </w:tc>
      </w:tr>
      <w:tr w:rsidR="00F73301" w:rsidRPr="00FC2420" w14:paraId="27064424"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D10ACAF"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 Balance at the end of prior year</w:t>
            </w:r>
          </w:p>
        </w:tc>
        <w:tc>
          <w:tcPr>
            <w:tcW w:w="703" w:type="dxa"/>
            <w:tcBorders>
              <w:top w:val="single" w:sz="2" w:space="0" w:color="auto"/>
              <w:left w:val="single" w:sz="2" w:space="0" w:color="auto"/>
              <w:bottom w:val="single" w:sz="2" w:space="0" w:color="auto"/>
              <w:right w:val="single" w:sz="2" w:space="0" w:color="auto"/>
            </w:tcBorders>
            <w:vAlign w:val="center"/>
          </w:tcPr>
          <w:p w14:paraId="13BD9B2E"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512,400,109.00</w:t>
            </w:r>
          </w:p>
        </w:tc>
        <w:tc>
          <w:tcPr>
            <w:tcW w:w="703" w:type="dxa"/>
            <w:tcBorders>
              <w:top w:val="single" w:sz="2" w:space="0" w:color="auto"/>
              <w:left w:val="single" w:sz="2" w:space="0" w:color="auto"/>
              <w:bottom w:val="single" w:sz="2" w:space="0" w:color="auto"/>
              <w:right w:val="single" w:sz="2" w:space="0" w:color="auto"/>
            </w:tcBorders>
            <w:vAlign w:val="center"/>
          </w:tcPr>
          <w:p w14:paraId="6BF6F2E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BD059E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31708A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5B3DEFD"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2,516,937,548.79</w:t>
            </w:r>
          </w:p>
        </w:tc>
        <w:tc>
          <w:tcPr>
            <w:tcW w:w="703" w:type="dxa"/>
            <w:tcBorders>
              <w:top w:val="single" w:sz="2" w:space="0" w:color="auto"/>
              <w:left w:val="single" w:sz="2" w:space="0" w:color="auto"/>
              <w:bottom w:val="single" w:sz="2" w:space="0" w:color="auto"/>
              <w:right w:val="single" w:sz="2" w:space="0" w:color="auto"/>
            </w:tcBorders>
            <w:vAlign w:val="center"/>
          </w:tcPr>
          <w:p w14:paraId="007E4E1B"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19,174,991.68</w:t>
            </w:r>
          </w:p>
        </w:tc>
        <w:tc>
          <w:tcPr>
            <w:tcW w:w="703" w:type="dxa"/>
            <w:tcBorders>
              <w:top w:val="single" w:sz="2" w:space="0" w:color="auto"/>
              <w:left w:val="single" w:sz="2" w:space="0" w:color="auto"/>
              <w:bottom w:val="single" w:sz="2" w:space="0" w:color="auto"/>
              <w:right w:val="single" w:sz="2" w:space="0" w:color="auto"/>
            </w:tcBorders>
            <w:vAlign w:val="center"/>
          </w:tcPr>
          <w:p w14:paraId="0887232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35C2B4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1F4B977"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179,615,383.10</w:t>
            </w:r>
          </w:p>
        </w:tc>
        <w:tc>
          <w:tcPr>
            <w:tcW w:w="703" w:type="dxa"/>
            <w:tcBorders>
              <w:top w:val="single" w:sz="2" w:space="0" w:color="auto"/>
              <w:left w:val="single" w:sz="2" w:space="0" w:color="auto"/>
              <w:bottom w:val="single" w:sz="2" w:space="0" w:color="auto"/>
              <w:right w:val="single" w:sz="2" w:space="0" w:color="auto"/>
            </w:tcBorders>
            <w:vAlign w:val="center"/>
          </w:tcPr>
          <w:p w14:paraId="647BDFA6"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1,190,029,310.96</w:t>
            </w:r>
          </w:p>
        </w:tc>
        <w:tc>
          <w:tcPr>
            <w:tcW w:w="703" w:type="dxa"/>
            <w:tcBorders>
              <w:top w:val="single" w:sz="2" w:space="0" w:color="auto"/>
              <w:left w:val="single" w:sz="2" w:space="0" w:color="auto"/>
              <w:bottom w:val="single" w:sz="2" w:space="0" w:color="auto"/>
              <w:right w:val="single" w:sz="2" w:space="0" w:color="auto"/>
            </w:tcBorders>
            <w:vAlign w:val="center"/>
          </w:tcPr>
          <w:p w14:paraId="7F3FBFD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BAF8175"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4,379,807,360.17</w:t>
            </w:r>
          </w:p>
        </w:tc>
      </w:tr>
      <w:tr w:rsidR="00F73301" w:rsidRPr="00FC2420" w14:paraId="1B5F961F"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670DC5D" w14:textId="77777777" w:rsidR="00F73301" w:rsidRPr="00FC2420" w:rsidRDefault="00F73301" w:rsidP="008C49B7">
            <w:pPr>
              <w:snapToGrid w:val="0"/>
              <w:ind w:firstLineChars="200" w:firstLine="300"/>
              <w:rPr>
                <w:rFonts w:ascii="Times New Roman" w:eastAsia="宋体" w:hAnsi="Times New Roman" w:cs="Times New Roman"/>
                <w:sz w:val="15"/>
                <w:szCs w:val="15"/>
              </w:rPr>
            </w:pPr>
            <w:r w:rsidRPr="00FC2420">
              <w:rPr>
                <w:rFonts w:ascii="Times New Roman" w:eastAsia="宋体" w:hAnsi="Times New Roman" w:cs="Times New Roman"/>
                <w:sz w:val="15"/>
                <w:szCs w:val="15"/>
              </w:rPr>
              <w:t>Add: Cumulative changes of accounting policies</w:t>
            </w:r>
          </w:p>
        </w:tc>
        <w:tc>
          <w:tcPr>
            <w:tcW w:w="703" w:type="dxa"/>
            <w:tcBorders>
              <w:top w:val="single" w:sz="2" w:space="0" w:color="auto"/>
              <w:left w:val="single" w:sz="2" w:space="0" w:color="auto"/>
              <w:bottom w:val="single" w:sz="2" w:space="0" w:color="auto"/>
              <w:right w:val="single" w:sz="2" w:space="0" w:color="auto"/>
            </w:tcBorders>
            <w:vAlign w:val="center"/>
          </w:tcPr>
          <w:p w14:paraId="22C2B9F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365454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F20452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409F37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CCEC1D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2F0827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FC9219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21B417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AABD41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CF3557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E23509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BD667F8"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0F518A4F"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D0EF502" w14:textId="77777777" w:rsidR="00F73301" w:rsidRPr="00FC2420" w:rsidRDefault="00F73301" w:rsidP="008C49B7">
            <w:pPr>
              <w:snapToGrid w:val="0"/>
              <w:ind w:firstLineChars="400" w:firstLine="600"/>
              <w:rPr>
                <w:rFonts w:ascii="Times New Roman" w:eastAsia="宋体" w:hAnsi="Times New Roman" w:cs="Times New Roman"/>
                <w:sz w:val="15"/>
                <w:szCs w:val="15"/>
              </w:rPr>
            </w:pPr>
            <w:r w:rsidRPr="00FC2420">
              <w:rPr>
                <w:rFonts w:ascii="Times New Roman" w:eastAsia="宋体" w:hAnsi="Times New Roman" w:cs="Times New Roman"/>
                <w:sz w:val="15"/>
                <w:szCs w:val="15"/>
              </w:rPr>
              <w:t>Error correction of prior period</w:t>
            </w:r>
          </w:p>
        </w:tc>
        <w:tc>
          <w:tcPr>
            <w:tcW w:w="703" w:type="dxa"/>
            <w:tcBorders>
              <w:top w:val="single" w:sz="2" w:space="0" w:color="auto"/>
              <w:left w:val="single" w:sz="2" w:space="0" w:color="auto"/>
              <w:bottom w:val="single" w:sz="2" w:space="0" w:color="auto"/>
              <w:right w:val="single" w:sz="2" w:space="0" w:color="auto"/>
            </w:tcBorders>
            <w:vAlign w:val="center"/>
          </w:tcPr>
          <w:p w14:paraId="01DA2E1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A26CC1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D70A73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5CBA21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0159C7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820CB8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D2D311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9C1438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6487BC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5C0F35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644CC2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8585214"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3D2DCAE1"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6339F4A" w14:textId="77777777" w:rsidR="00F73301" w:rsidRPr="00FC2420" w:rsidRDefault="00F73301" w:rsidP="008C49B7">
            <w:pPr>
              <w:snapToGrid w:val="0"/>
              <w:ind w:firstLineChars="400" w:firstLine="600"/>
              <w:rPr>
                <w:rFonts w:ascii="Times New Roman" w:eastAsia="宋体" w:hAnsi="Times New Roman" w:cs="Times New Roman"/>
                <w:sz w:val="15"/>
                <w:szCs w:val="15"/>
              </w:rPr>
            </w:pPr>
            <w:r w:rsidRPr="00FC2420">
              <w:rPr>
                <w:rFonts w:ascii="Times New Roman" w:eastAsia="宋体" w:hAnsi="Times New Roman" w:cs="Times New Roman"/>
                <w:sz w:val="15"/>
                <w:szCs w:val="15"/>
              </w:rPr>
              <w:t>Others</w:t>
            </w:r>
          </w:p>
        </w:tc>
        <w:tc>
          <w:tcPr>
            <w:tcW w:w="703" w:type="dxa"/>
            <w:tcBorders>
              <w:top w:val="single" w:sz="2" w:space="0" w:color="auto"/>
              <w:left w:val="single" w:sz="2" w:space="0" w:color="auto"/>
              <w:bottom w:val="single" w:sz="2" w:space="0" w:color="auto"/>
              <w:right w:val="single" w:sz="2" w:space="0" w:color="auto"/>
            </w:tcBorders>
            <w:vAlign w:val="center"/>
          </w:tcPr>
          <w:p w14:paraId="4572A24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9C7D00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183DD9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AD946F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C8472C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0334E1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B47015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E0A9F8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895BCF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37EB31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EAA042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B6F055F"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7E29E6E9"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0CCEA83"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II. Opening Balance of Current Year</w:t>
            </w:r>
          </w:p>
        </w:tc>
        <w:tc>
          <w:tcPr>
            <w:tcW w:w="703" w:type="dxa"/>
            <w:tcBorders>
              <w:top w:val="single" w:sz="2" w:space="0" w:color="auto"/>
              <w:left w:val="single" w:sz="2" w:space="0" w:color="auto"/>
              <w:bottom w:val="single" w:sz="2" w:space="0" w:color="auto"/>
              <w:right w:val="single" w:sz="2" w:space="0" w:color="auto"/>
            </w:tcBorders>
            <w:vAlign w:val="center"/>
          </w:tcPr>
          <w:p w14:paraId="704D7615"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512,400,109.00</w:t>
            </w:r>
          </w:p>
        </w:tc>
        <w:tc>
          <w:tcPr>
            <w:tcW w:w="703" w:type="dxa"/>
            <w:tcBorders>
              <w:top w:val="single" w:sz="2" w:space="0" w:color="auto"/>
              <w:left w:val="single" w:sz="2" w:space="0" w:color="auto"/>
              <w:bottom w:val="single" w:sz="2" w:space="0" w:color="auto"/>
              <w:right w:val="single" w:sz="2" w:space="0" w:color="auto"/>
            </w:tcBorders>
            <w:vAlign w:val="center"/>
          </w:tcPr>
          <w:p w14:paraId="66B8034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C63B4F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821EAE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83C8558"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2,516,937,548.79</w:t>
            </w:r>
          </w:p>
        </w:tc>
        <w:tc>
          <w:tcPr>
            <w:tcW w:w="703" w:type="dxa"/>
            <w:tcBorders>
              <w:top w:val="single" w:sz="2" w:space="0" w:color="auto"/>
              <w:left w:val="single" w:sz="2" w:space="0" w:color="auto"/>
              <w:bottom w:val="single" w:sz="2" w:space="0" w:color="auto"/>
              <w:right w:val="single" w:sz="2" w:space="0" w:color="auto"/>
            </w:tcBorders>
            <w:vAlign w:val="center"/>
          </w:tcPr>
          <w:p w14:paraId="34D43F03"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19,174,991.68</w:t>
            </w:r>
          </w:p>
        </w:tc>
        <w:tc>
          <w:tcPr>
            <w:tcW w:w="703" w:type="dxa"/>
            <w:tcBorders>
              <w:top w:val="single" w:sz="2" w:space="0" w:color="auto"/>
              <w:left w:val="single" w:sz="2" w:space="0" w:color="auto"/>
              <w:bottom w:val="single" w:sz="2" w:space="0" w:color="auto"/>
              <w:right w:val="single" w:sz="2" w:space="0" w:color="auto"/>
            </w:tcBorders>
            <w:vAlign w:val="center"/>
          </w:tcPr>
          <w:p w14:paraId="4D8218D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30036F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A497E6C"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179,615,383.10</w:t>
            </w:r>
          </w:p>
        </w:tc>
        <w:tc>
          <w:tcPr>
            <w:tcW w:w="703" w:type="dxa"/>
            <w:tcBorders>
              <w:top w:val="single" w:sz="2" w:space="0" w:color="auto"/>
              <w:left w:val="single" w:sz="2" w:space="0" w:color="auto"/>
              <w:bottom w:val="single" w:sz="2" w:space="0" w:color="auto"/>
              <w:right w:val="single" w:sz="2" w:space="0" w:color="auto"/>
            </w:tcBorders>
            <w:vAlign w:val="center"/>
          </w:tcPr>
          <w:p w14:paraId="40839CCC"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1,190,029,310.96</w:t>
            </w:r>
          </w:p>
        </w:tc>
        <w:tc>
          <w:tcPr>
            <w:tcW w:w="703" w:type="dxa"/>
            <w:tcBorders>
              <w:top w:val="single" w:sz="2" w:space="0" w:color="auto"/>
              <w:left w:val="single" w:sz="2" w:space="0" w:color="auto"/>
              <w:bottom w:val="single" w:sz="2" w:space="0" w:color="auto"/>
              <w:right w:val="single" w:sz="2" w:space="0" w:color="auto"/>
            </w:tcBorders>
            <w:vAlign w:val="center"/>
          </w:tcPr>
          <w:p w14:paraId="1423145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0D09D29"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4,379,807,360.17</w:t>
            </w:r>
          </w:p>
        </w:tc>
      </w:tr>
      <w:tr w:rsidR="00F73301" w:rsidRPr="00FC2420" w14:paraId="199A8EB7"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88C819D"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III. Current Period Increase (Decrease Is Expressed with "-")</w:t>
            </w:r>
          </w:p>
        </w:tc>
        <w:tc>
          <w:tcPr>
            <w:tcW w:w="703" w:type="dxa"/>
            <w:tcBorders>
              <w:top w:val="single" w:sz="2" w:space="0" w:color="auto"/>
              <w:left w:val="single" w:sz="2" w:space="0" w:color="auto"/>
              <w:bottom w:val="single" w:sz="2" w:space="0" w:color="auto"/>
              <w:right w:val="single" w:sz="2" w:space="0" w:color="auto"/>
            </w:tcBorders>
            <w:vAlign w:val="center"/>
          </w:tcPr>
          <w:p w14:paraId="31553F6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E6D097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810C79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6C4B50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361C5F3"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20,517,402.51</w:t>
            </w:r>
          </w:p>
        </w:tc>
        <w:tc>
          <w:tcPr>
            <w:tcW w:w="703" w:type="dxa"/>
            <w:tcBorders>
              <w:top w:val="single" w:sz="2" w:space="0" w:color="auto"/>
              <w:left w:val="single" w:sz="2" w:space="0" w:color="auto"/>
              <w:bottom w:val="single" w:sz="2" w:space="0" w:color="auto"/>
              <w:right w:val="single" w:sz="2" w:space="0" w:color="auto"/>
            </w:tcBorders>
            <w:vAlign w:val="center"/>
          </w:tcPr>
          <w:p w14:paraId="38F3F78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26B163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13FE33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AFDA24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F469B90"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331,004,153.77</w:t>
            </w:r>
          </w:p>
        </w:tc>
        <w:tc>
          <w:tcPr>
            <w:tcW w:w="703" w:type="dxa"/>
            <w:tcBorders>
              <w:top w:val="single" w:sz="2" w:space="0" w:color="auto"/>
              <w:left w:val="single" w:sz="2" w:space="0" w:color="auto"/>
              <w:bottom w:val="single" w:sz="2" w:space="0" w:color="auto"/>
              <w:right w:val="single" w:sz="2" w:space="0" w:color="auto"/>
            </w:tcBorders>
            <w:vAlign w:val="center"/>
          </w:tcPr>
          <w:p w14:paraId="72CAB83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6099B60"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351,521,556.28</w:t>
            </w:r>
          </w:p>
        </w:tc>
      </w:tr>
      <w:tr w:rsidR="00F73301" w:rsidRPr="00FC2420" w14:paraId="311B3AF8"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961B7FA" w14:textId="77777777" w:rsidR="00F73301" w:rsidRPr="00FC2420" w:rsidRDefault="00F73301" w:rsidP="008C49B7">
            <w:pPr>
              <w:snapToGrid w:val="0"/>
              <w:rPr>
                <w:rFonts w:ascii="Times New Roman" w:eastAsia="宋体" w:hAnsi="Times New Roman" w:cs="Times New Roman"/>
                <w:sz w:val="15"/>
                <w:szCs w:val="15"/>
              </w:rPr>
            </w:pPr>
            <w:proofErr w:type="spellStart"/>
            <w:r w:rsidRPr="00FC2420">
              <w:rPr>
                <w:rFonts w:ascii="Times New Roman" w:eastAsia="宋体" w:hAnsi="Times New Roman" w:cs="Times New Roman"/>
                <w:sz w:val="15"/>
                <w:szCs w:val="15"/>
              </w:rPr>
              <w:t>i</w:t>
            </w:r>
            <w:proofErr w:type="spellEnd"/>
            <w:r w:rsidRPr="00FC2420">
              <w:rPr>
                <w:rFonts w:ascii="Times New Roman" w:eastAsia="宋体" w:hAnsi="Times New Roman" w:cs="Times New Roman"/>
                <w:sz w:val="15"/>
                <w:szCs w:val="15"/>
              </w:rPr>
              <w:t>. Total comprehensive income</w:t>
            </w:r>
          </w:p>
        </w:tc>
        <w:tc>
          <w:tcPr>
            <w:tcW w:w="703" w:type="dxa"/>
            <w:tcBorders>
              <w:top w:val="single" w:sz="2" w:space="0" w:color="auto"/>
              <w:left w:val="single" w:sz="2" w:space="0" w:color="auto"/>
              <w:bottom w:val="single" w:sz="2" w:space="0" w:color="auto"/>
              <w:right w:val="single" w:sz="2" w:space="0" w:color="auto"/>
            </w:tcBorders>
            <w:vAlign w:val="center"/>
          </w:tcPr>
          <w:p w14:paraId="14DBE63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31A764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938A6D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D6625A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2C0634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9AE215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841F26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4FE280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553364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4569E3C"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443,452,618.91</w:t>
            </w:r>
          </w:p>
        </w:tc>
        <w:tc>
          <w:tcPr>
            <w:tcW w:w="703" w:type="dxa"/>
            <w:tcBorders>
              <w:top w:val="single" w:sz="2" w:space="0" w:color="auto"/>
              <w:left w:val="single" w:sz="2" w:space="0" w:color="auto"/>
              <w:bottom w:val="single" w:sz="2" w:space="0" w:color="auto"/>
              <w:right w:val="single" w:sz="2" w:space="0" w:color="auto"/>
            </w:tcBorders>
            <w:vAlign w:val="center"/>
          </w:tcPr>
          <w:p w14:paraId="5A01264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925903C"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443,452,618.91</w:t>
            </w:r>
          </w:p>
        </w:tc>
      </w:tr>
      <w:tr w:rsidR="00F73301" w:rsidRPr="00FC2420" w14:paraId="47B3C459"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CB20898"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ii. Capital contributed or withdrawn by owners</w:t>
            </w:r>
          </w:p>
        </w:tc>
        <w:tc>
          <w:tcPr>
            <w:tcW w:w="703" w:type="dxa"/>
            <w:tcBorders>
              <w:top w:val="single" w:sz="2" w:space="0" w:color="auto"/>
              <w:left w:val="single" w:sz="2" w:space="0" w:color="auto"/>
              <w:bottom w:val="single" w:sz="2" w:space="0" w:color="auto"/>
              <w:right w:val="single" w:sz="2" w:space="0" w:color="auto"/>
            </w:tcBorders>
            <w:vAlign w:val="center"/>
          </w:tcPr>
          <w:p w14:paraId="55009A8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33497F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3B79D2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615A02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6AD41EB"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20,517,402.51</w:t>
            </w:r>
          </w:p>
        </w:tc>
        <w:tc>
          <w:tcPr>
            <w:tcW w:w="703" w:type="dxa"/>
            <w:tcBorders>
              <w:top w:val="single" w:sz="2" w:space="0" w:color="auto"/>
              <w:left w:val="single" w:sz="2" w:space="0" w:color="auto"/>
              <w:bottom w:val="single" w:sz="2" w:space="0" w:color="auto"/>
              <w:right w:val="single" w:sz="2" w:space="0" w:color="auto"/>
            </w:tcBorders>
            <w:vAlign w:val="center"/>
          </w:tcPr>
          <w:p w14:paraId="4FC6C11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6EA7EB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D0B6FB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AC9C5C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9B443C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398C18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643F251"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20,517,402.51</w:t>
            </w:r>
          </w:p>
        </w:tc>
      </w:tr>
      <w:tr w:rsidR="00F73301" w:rsidRPr="00FC2420" w14:paraId="5376A17F"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68069A4"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1. Ordinary shares contributed by owners</w:t>
            </w:r>
          </w:p>
        </w:tc>
        <w:tc>
          <w:tcPr>
            <w:tcW w:w="703" w:type="dxa"/>
            <w:tcBorders>
              <w:top w:val="single" w:sz="2" w:space="0" w:color="auto"/>
              <w:left w:val="single" w:sz="2" w:space="0" w:color="auto"/>
              <w:bottom w:val="single" w:sz="2" w:space="0" w:color="auto"/>
              <w:right w:val="single" w:sz="2" w:space="0" w:color="auto"/>
            </w:tcBorders>
            <w:vAlign w:val="center"/>
          </w:tcPr>
          <w:p w14:paraId="1761943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57FE17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5F86F4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6D1348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2DA15E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3875BD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ADA486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3186B5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ADAACD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226865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AFC41D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A77DD6E"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55E14B61"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91E6B7E"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2. Capital contributed by holders of other equity instruments</w:t>
            </w:r>
          </w:p>
        </w:tc>
        <w:tc>
          <w:tcPr>
            <w:tcW w:w="703" w:type="dxa"/>
            <w:tcBorders>
              <w:top w:val="single" w:sz="2" w:space="0" w:color="auto"/>
              <w:left w:val="single" w:sz="2" w:space="0" w:color="auto"/>
              <w:bottom w:val="single" w:sz="2" w:space="0" w:color="auto"/>
              <w:right w:val="single" w:sz="2" w:space="0" w:color="auto"/>
            </w:tcBorders>
            <w:vAlign w:val="center"/>
          </w:tcPr>
          <w:p w14:paraId="6F0E78E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940C4E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4CEB85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982ED6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EDB1FD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760C87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6F6EC1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9CB57E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8F7884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B345D3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2E8FB1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EF69C90"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31913F94"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F15A6E0"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3. Amount of share-based payment included in equity</w:t>
            </w:r>
          </w:p>
        </w:tc>
        <w:tc>
          <w:tcPr>
            <w:tcW w:w="703" w:type="dxa"/>
            <w:tcBorders>
              <w:top w:val="single" w:sz="2" w:space="0" w:color="auto"/>
              <w:left w:val="single" w:sz="2" w:space="0" w:color="auto"/>
              <w:bottom w:val="single" w:sz="2" w:space="0" w:color="auto"/>
              <w:right w:val="single" w:sz="2" w:space="0" w:color="auto"/>
            </w:tcBorders>
            <w:vAlign w:val="center"/>
          </w:tcPr>
          <w:p w14:paraId="3CAFA2A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9000B9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1C912F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9E984A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E926B87"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20,517,402.51</w:t>
            </w:r>
          </w:p>
        </w:tc>
        <w:tc>
          <w:tcPr>
            <w:tcW w:w="703" w:type="dxa"/>
            <w:tcBorders>
              <w:top w:val="single" w:sz="2" w:space="0" w:color="auto"/>
              <w:left w:val="single" w:sz="2" w:space="0" w:color="auto"/>
              <w:bottom w:val="single" w:sz="2" w:space="0" w:color="auto"/>
              <w:right w:val="single" w:sz="2" w:space="0" w:color="auto"/>
            </w:tcBorders>
            <w:vAlign w:val="center"/>
          </w:tcPr>
          <w:p w14:paraId="5234261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5A5E03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796E5E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2FFE0C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D5E51A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66EA7E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E2CA3B6"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20,517,402.51</w:t>
            </w:r>
          </w:p>
        </w:tc>
      </w:tr>
      <w:tr w:rsidR="00F73301" w:rsidRPr="00FC2420" w14:paraId="2E750396"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C40EF07"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4. Others</w:t>
            </w:r>
          </w:p>
        </w:tc>
        <w:tc>
          <w:tcPr>
            <w:tcW w:w="703" w:type="dxa"/>
            <w:tcBorders>
              <w:top w:val="single" w:sz="2" w:space="0" w:color="auto"/>
              <w:left w:val="single" w:sz="2" w:space="0" w:color="auto"/>
              <w:bottom w:val="single" w:sz="2" w:space="0" w:color="auto"/>
              <w:right w:val="single" w:sz="2" w:space="0" w:color="auto"/>
            </w:tcBorders>
            <w:vAlign w:val="center"/>
          </w:tcPr>
          <w:p w14:paraId="521EA65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CE0971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F12649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FA9D71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1AD45D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F5D946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4126BC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1BDFC6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089A58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BA12F1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199B6D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10741D3"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6F4DF165"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A17535A"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iii. Profit distribution</w:t>
            </w:r>
          </w:p>
        </w:tc>
        <w:tc>
          <w:tcPr>
            <w:tcW w:w="703" w:type="dxa"/>
            <w:tcBorders>
              <w:top w:val="single" w:sz="2" w:space="0" w:color="auto"/>
              <w:left w:val="single" w:sz="2" w:space="0" w:color="auto"/>
              <w:bottom w:val="single" w:sz="2" w:space="0" w:color="auto"/>
              <w:right w:val="single" w:sz="2" w:space="0" w:color="auto"/>
            </w:tcBorders>
            <w:vAlign w:val="center"/>
          </w:tcPr>
          <w:p w14:paraId="4BE596E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1DC369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8277B6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DB4EC0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0CF1CA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48A621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BE30EF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0C2C91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BA8D94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7A58BC3"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-112,448,</w:t>
            </w:r>
            <w:r w:rsidRPr="00FC2420">
              <w:rPr>
                <w:rFonts w:ascii="Times New Roman" w:eastAsia="宋体" w:hAnsi="Times New Roman" w:cs="Times New Roman"/>
                <w:sz w:val="15"/>
                <w:szCs w:val="15"/>
              </w:rPr>
              <w:lastRenderedPageBreak/>
              <w:t>465.14</w:t>
            </w:r>
          </w:p>
        </w:tc>
        <w:tc>
          <w:tcPr>
            <w:tcW w:w="703" w:type="dxa"/>
            <w:tcBorders>
              <w:top w:val="single" w:sz="2" w:space="0" w:color="auto"/>
              <w:left w:val="single" w:sz="2" w:space="0" w:color="auto"/>
              <w:bottom w:val="single" w:sz="2" w:space="0" w:color="auto"/>
              <w:right w:val="single" w:sz="2" w:space="0" w:color="auto"/>
            </w:tcBorders>
            <w:vAlign w:val="center"/>
          </w:tcPr>
          <w:p w14:paraId="14EF718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0E3695D"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-112,448,</w:t>
            </w:r>
            <w:r w:rsidRPr="00FC2420">
              <w:rPr>
                <w:rFonts w:ascii="Times New Roman" w:eastAsia="宋体" w:hAnsi="Times New Roman" w:cs="Times New Roman"/>
                <w:sz w:val="15"/>
                <w:szCs w:val="15"/>
              </w:rPr>
              <w:lastRenderedPageBreak/>
              <w:t>465.14</w:t>
            </w:r>
          </w:p>
        </w:tc>
      </w:tr>
      <w:tr w:rsidR="00F73301" w:rsidRPr="00FC2420" w14:paraId="1799F2F7"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C329D04"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lastRenderedPageBreak/>
              <w:t>1. Appropriation of surplus reserve</w:t>
            </w:r>
          </w:p>
        </w:tc>
        <w:tc>
          <w:tcPr>
            <w:tcW w:w="703" w:type="dxa"/>
            <w:tcBorders>
              <w:top w:val="single" w:sz="2" w:space="0" w:color="auto"/>
              <w:left w:val="single" w:sz="2" w:space="0" w:color="auto"/>
              <w:bottom w:val="single" w:sz="2" w:space="0" w:color="auto"/>
              <w:right w:val="single" w:sz="2" w:space="0" w:color="auto"/>
            </w:tcBorders>
            <w:vAlign w:val="center"/>
          </w:tcPr>
          <w:p w14:paraId="5CBE568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D0A5C1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17C09D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E935AD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611F2F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9A261A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589AD9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DD57D3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2311DB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14CD50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B967E6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77C5372"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295F6432"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80AAA34"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2. Appropriation of profit to owners (or shareholders)</w:t>
            </w:r>
          </w:p>
        </w:tc>
        <w:tc>
          <w:tcPr>
            <w:tcW w:w="703" w:type="dxa"/>
            <w:tcBorders>
              <w:top w:val="single" w:sz="2" w:space="0" w:color="auto"/>
              <w:left w:val="single" w:sz="2" w:space="0" w:color="auto"/>
              <w:bottom w:val="single" w:sz="2" w:space="0" w:color="auto"/>
              <w:right w:val="single" w:sz="2" w:space="0" w:color="auto"/>
            </w:tcBorders>
            <w:vAlign w:val="center"/>
          </w:tcPr>
          <w:p w14:paraId="1C30306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FBDE35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2C861F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C63323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48B7BD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61AE8F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167D08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6B7967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C155C9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A8E7150"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-112,448,465.14</w:t>
            </w:r>
          </w:p>
        </w:tc>
        <w:tc>
          <w:tcPr>
            <w:tcW w:w="703" w:type="dxa"/>
            <w:tcBorders>
              <w:top w:val="single" w:sz="2" w:space="0" w:color="auto"/>
              <w:left w:val="single" w:sz="2" w:space="0" w:color="auto"/>
              <w:bottom w:val="single" w:sz="2" w:space="0" w:color="auto"/>
              <w:right w:val="single" w:sz="2" w:space="0" w:color="auto"/>
            </w:tcBorders>
            <w:vAlign w:val="center"/>
          </w:tcPr>
          <w:p w14:paraId="059DDD1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437525D"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-112,448,465.14</w:t>
            </w:r>
          </w:p>
        </w:tc>
      </w:tr>
      <w:tr w:rsidR="00F73301" w:rsidRPr="00FC2420" w14:paraId="10D0F34A"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B93A4A9"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3. Others</w:t>
            </w:r>
          </w:p>
        </w:tc>
        <w:tc>
          <w:tcPr>
            <w:tcW w:w="703" w:type="dxa"/>
            <w:tcBorders>
              <w:top w:val="single" w:sz="2" w:space="0" w:color="auto"/>
              <w:left w:val="single" w:sz="2" w:space="0" w:color="auto"/>
              <w:bottom w:val="single" w:sz="2" w:space="0" w:color="auto"/>
              <w:right w:val="single" w:sz="2" w:space="0" w:color="auto"/>
            </w:tcBorders>
            <w:vAlign w:val="center"/>
          </w:tcPr>
          <w:p w14:paraId="7A20C0B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58DCD5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C0CABD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D28903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831BAF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6DF656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3423D6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F3A13C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21562B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97964A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116D71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445B22B"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54C410E4"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B12254A"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iv. Internal carry-over within equity</w:t>
            </w:r>
          </w:p>
        </w:tc>
        <w:tc>
          <w:tcPr>
            <w:tcW w:w="703" w:type="dxa"/>
            <w:tcBorders>
              <w:top w:val="single" w:sz="2" w:space="0" w:color="auto"/>
              <w:left w:val="single" w:sz="2" w:space="0" w:color="auto"/>
              <w:bottom w:val="single" w:sz="2" w:space="0" w:color="auto"/>
              <w:right w:val="single" w:sz="2" w:space="0" w:color="auto"/>
            </w:tcBorders>
            <w:vAlign w:val="center"/>
          </w:tcPr>
          <w:p w14:paraId="422D65B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2A3210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736C85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BB046F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49F1C4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70D235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E10AB8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090158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295E50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B81393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77C680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AB033E7"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17F0A117"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0C8CAEE"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1. Transfer of capital reserve to capital (or share capital)</w:t>
            </w:r>
          </w:p>
        </w:tc>
        <w:tc>
          <w:tcPr>
            <w:tcW w:w="703" w:type="dxa"/>
            <w:tcBorders>
              <w:top w:val="single" w:sz="2" w:space="0" w:color="auto"/>
              <w:left w:val="single" w:sz="2" w:space="0" w:color="auto"/>
              <w:bottom w:val="single" w:sz="2" w:space="0" w:color="auto"/>
              <w:right w:val="single" w:sz="2" w:space="0" w:color="auto"/>
            </w:tcBorders>
            <w:vAlign w:val="center"/>
          </w:tcPr>
          <w:p w14:paraId="321DC69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B59005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06F4C1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8C6997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5F97FC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FA70B0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65F8F7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B0FCCB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82CF49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FB172C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58DB97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9114E2B"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1D00D9C9"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5609E31"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2. Transfer of surplus reserve to capital (or share capital)</w:t>
            </w:r>
          </w:p>
        </w:tc>
        <w:tc>
          <w:tcPr>
            <w:tcW w:w="703" w:type="dxa"/>
            <w:tcBorders>
              <w:top w:val="single" w:sz="2" w:space="0" w:color="auto"/>
              <w:left w:val="single" w:sz="2" w:space="0" w:color="auto"/>
              <w:bottom w:val="single" w:sz="2" w:space="0" w:color="auto"/>
              <w:right w:val="single" w:sz="2" w:space="0" w:color="auto"/>
            </w:tcBorders>
            <w:vAlign w:val="center"/>
          </w:tcPr>
          <w:p w14:paraId="66A15F1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7C901E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55A653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7E8C8B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868EC0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C32757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6D162A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9C23CE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BA7C94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EE194B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F12135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37D67B9"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2974D022"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4AFA2A0"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3. Surplus reserve to cover losses</w:t>
            </w:r>
          </w:p>
        </w:tc>
        <w:tc>
          <w:tcPr>
            <w:tcW w:w="703" w:type="dxa"/>
            <w:tcBorders>
              <w:top w:val="single" w:sz="2" w:space="0" w:color="auto"/>
              <w:left w:val="single" w:sz="2" w:space="0" w:color="auto"/>
              <w:bottom w:val="single" w:sz="2" w:space="0" w:color="auto"/>
              <w:right w:val="single" w:sz="2" w:space="0" w:color="auto"/>
            </w:tcBorders>
            <w:vAlign w:val="center"/>
          </w:tcPr>
          <w:p w14:paraId="20FEAD3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547EFB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3C35BE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8A9776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8564CA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1C7C99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88E33D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266EA7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13C9AC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D0AF18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7E0A01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F6A3B60"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617EC400"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1615E61"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4. Changes in defined benefit plan carried over to retained earnings</w:t>
            </w:r>
          </w:p>
        </w:tc>
        <w:tc>
          <w:tcPr>
            <w:tcW w:w="703" w:type="dxa"/>
            <w:tcBorders>
              <w:top w:val="single" w:sz="2" w:space="0" w:color="auto"/>
              <w:left w:val="single" w:sz="2" w:space="0" w:color="auto"/>
              <w:bottom w:val="single" w:sz="2" w:space="0" w:color="auto"/>
              <w:right w:val="single" w:sz="2" w:space="0" w:color="auto"/>
            </w:tcBorders>
            <w:vAlign w:val="center"/>
          </w:tcPr>
          <w:p w14:paraId="0F6E614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8973A9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CB0592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458697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ED3096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11D2C2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732DB2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50E805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85DAE1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CED972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1CBABD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D8C7C07"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350ECE5E"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7321B53"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5. Other comprehensive income carried over to retained earnings</w:t>
            </w:r>
          </w:p>
        </w:tc>
        <w:tc>
          <w:tcPr>
            <w:tcW w:w="703" w:type="dxa"/>
            <w:tcBorders>
              <w:top w:val="single" w:sz="2" w:space="0" w:color="auto"/>
              <w:left w:val="single" w:sz="2" w:space="0" w:color="auto"/>
              <w:bottom w:val="single" w:sz="2" w:space="0" w:color="auto"/>
              <w:right w:val="single" w:sz="2" w:space="0" w:color="auto"/>
            </w:tcBorders>
            <w:vAlign w:val="center"/>
          </w:tcPr>
          <w:p w14:paraId="384F2B8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0449A0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2D4DD4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B3A8AA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FE5B44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A420DFD"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31F88F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BD62E5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2BCABC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B17D37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C18E0C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17372FB"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0665F9F3"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40FB50F"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6. Others</w:t>
            </w:r>
          </w:p>
        </w:tc>
        <w:tc>
          <w:tcPr>
            <w:tcW w:w="703" w:type="dxa"/>
            <w:tcBorders>
              <w:top w:val="single" w:sz="2" w:space="0" w:color="auto"/>
              <w:left w:val="single" w:sz="2" w:space="0" w:color="auto"/>
              <w:bottom w:val="single" w:sz="2" w:space="0" w:color="auto"/>
              <w:right w:val="single" w:sz="2" w:space="0" w:color="auto"/>
            </w:tcBorders>
            <w:vAlign w:val="center"/>
          </w:tcPr>
          <w:p w14:paraId="39A1A9C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9FC4E3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F51F3B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5FF9BD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A0AFB5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25A4B0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CFDD58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0F5E23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3F4B5C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DEE133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1641E3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8E7F9C6"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046E533C"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1328AAA"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v. Special reserve</w:t>
            </w:r>
          </w:p>
        </w:tc>
        <w:tc>
          <w:tcPr>
            <w:tcW w:w="703" w:type="dxa"/>
            <w:tcBorders>
              <w:top w:val="single" w:sz="2" w:space="0" w:color="auto"/>
              <w:left w:val="single" w:sz="2" w:space="0" w:color="auto"/>
              <w:bottom w:val="single" w:sz="2" w:space="0" w:color="auto"/>
              <w:right w:val="single" w:sz="2" w:space="0" w:color="auto"/>
            </w:tcBorders>
            <w:vAlign w:val="center"/>
          </w:tcPr>
          <w:p w14:paraId="5AFE55C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A2C973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BB20B7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86EE96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1FD53C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E841C6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D42D28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793F5A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24351A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BA0023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48167D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37AADE7"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539EB5D8"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77BCFE2"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1. Appropriation of current period</w:t>
            </w:r>
          </w:p>
        </w:tc>
        <w:tc>
          <w:tcPr>
            <w:tcW w:w="703" w:type="dxa"/>
            <w:tcBorders>
              <w:top w:val="single" w:sz="2" w:space="0" w:color="auto"/>
              <w:left w:val="single" w:sz="2" w:space="0" w:color="auto"/>
              <w:bottom w:val="single" w:sz="2" w:space="0" w:color="auto"/>
              <w:right w:val="single" w:sz="2" w:space="0" w:color="auto"/>
            </w:tcBorders>
            <w:vAlign w:val="center"/>
          </w:tcPr>
          <w:p w14:paraId="03E2D59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028B61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4DE0E4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5D5D084"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6AD504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1EDF5E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1009D8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FA722E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9F1AA05"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7143B1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E2C15E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C50D240"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105A4410"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AB2FC15"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2. Application of current period</w:t>
            </w:r>
          </w:p>
        </w:tc>
        <w:tc>
          <w:tcPr>
            <w:tcW w:w="703" w:type="dxa"/>
            <w:tcBorders>
              <w:top w:val="single" w:sz="2" w:space="0" w:color="auto"/>
              <w:left w:val="single" w:sz="2" w:space="0" w:color="auto"/>
              <w:bottom w:val="single" w:sz="2" w:space="0" w:color="auto"/>
              <w:right w:val="single" w:sz="2" w:space="0" w:color="auto"/>
            </w:tcBorders>
            <w:vAlign w:val="center"/>
          </w:tcPr>
          <w:p w14:paraId="0F7D7897"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B87ECD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89669A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D5FC1D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D9C72A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5E856AC"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D52000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DD86DA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2F285D8"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D05668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33BA96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2DDC1A3"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5ABAF55A"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1F1D5FB"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vi. Others</w:t>
            </w:r>
          </w:p>
        </w:tc>
        <w:tc>
          <w:tcPr>
            <w:tcW w:w="703" w:type="dxa"/>
            <w:tcBorders>
              <w:top w:val="single" w:sz="2" w:space="0" w:color="auto"/>
              <w:left w:val="single" w:sz="2" w:space="0" w:color="auto"/>
              <w:bottom w:val="single" w:sz="2" w:space="0" w:color="auto"/>
              <w:right w:val="single" w:sz="2" w:space="0" w:color="auto"/>
            </w:tcBorders>
            <w:vAlign w:val="center"/>
          </w:tcPr>
          <w:p w14:paraId="65AAE98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8CED1A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14E41D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241DD0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3CA422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01585A0A"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582E7E2"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A06900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68D17546"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68CF8F0"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936E85B"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3A7CA461" w14:textId="77777777" w:rsidR="00F73301" w:rsidRPr="00FC2420" w:rsidRDefault="00F73301" w:rsidP="008C49B7">
            <w:pPr>
              <w:snapToGrid w:val="0"/>
              <w:jc w:val="right"/>
              <w:rPr>
                <w:rFonts w:ascii="Times New Roman" w:eastAsia="宋体" w:hAnsi="Times New Roman" w:cs="Times New Roman"/>
                <w:sz w:val="15"/>
                <w:szCs w:val="15"/>
              </w:rPr>
            </w:pPr>
          </w:p>
        </w:tc>
      </w:tr>
      <w:tr w:rsidR="00F73301" w:rsidRPr="00FC2420" w14:paraId="1F5A2322" w14:textId="77777777" w:rsidTr="0001208F">
        <w:trPr>
          <w:jc w:val="center"/>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1636EE9" w14:textId="77777777" w:rsidR="00F73301" w:rsidRPr="00FC2420" w:rsidRDefault="00F73301" w:rsidP="008C49B7">
            <w:pPr>
              <w:snapToGrid w:val="0"/>
              <w:rPr>
                <w:rFonts w:ascii="Times New Roman" w:eastAsia="宋体" w:hAnsi="Times New Roman" w:cs="Times New Roman"/>
                <w:sz w:val="15"/>
                <w:szCs w:val="15"/>
              </w:rPr>
            </w:pPr>
            <w:r w:rsidRPr="00FC2420">
              <w:rPr>
                <w:rFonts w:ascii="Times New Roman" w:eastAsia="宋体" w:hAnsi="Times New Roman" w:cs="Times New Roman"/>
                <w:sz w:val="15"/>
                <w:szCs w:val="15"/>
              </w:rPr>
              <w:t>IV. Closing Balance of Current Period</w:t>
            </w:r>
          </w:p>
        </w:tc>
        <w:tc>
          <w:tcPr>
            <w:tcW w:w="703" w:type="dxa"/>
            <w:tcBorders>
              <w:top w:val="single" w:sz="2" w:space="0" w:color="auto"/>
              <w:left w:val="single" w:sz="2" w:space="0" w:color="auto"/>
              <w:bottom w:val="single" w:sz="2" w:space="0" w:color="auto"/>
              <w:right w:val="single" w:sz="2" w:space="0" w:color="auto"/>
            </w:tcBorders>
            <w:vAlign w:val="center"/>
          </w:tcPr>
          <w:p w14:paraId="6EA2CC17"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512,400,109.00</w:t>
            </w:r>
          </w:p>
        </w:tc>
        <w:tc>
          <w:tcPr>
            <w:tcW w:w="703" w:type="dxa"/>
            <w:tcBorders>
              <w:top w:val="single" w:sz="2" w:space="0" w:color="auto"/>
              <w:left w:val="single" w:sz="2" w:space="0" w:color="auto"/>
              <w:bottom w:val="single" w:sz="2" w:space="0" w:color="auto"/>
              <w:right w:val="single" w:sz="2" w:space="0" w:color="auto"/>
            </w:tcBorders>
            <w:vAlign w:val="center"/>
          </w:tcPr>
          <w:p w14:paraId="767C7A53"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06DB89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2C503F9F"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1DA56F69"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2,537,454,951.30</w:t>
            </w:r>
          </w:p>
        </w:tc>
        <w:tc>
          <w:tcPr>
            <w:tcW w:w="703" w:type="dxa"/>
            <w:tcBorders>
              <w:top w:val="single" w:sz="2" w:space="0" w:color="auto"/>
              <w:left w:val="single" w:sz="2" w:space="0" w:color="auto"/>
              <w:bottom w:val="single" w:sz="2" w:space="0" w:color="auto"/>
              <w:right w:val="single" w:sz="2" w:space="0" w:color="auto"/>
            </w:tcBorders>
            <w:vAlign w:val="center"/>
          </w:tcPr>
          <w:p w14:paraId="6EAFCEE8"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19,174,991.68</w:t>
            </w:r>
          </w:p>
        </w:tc>
        <w:tc>
          <w:tcPr>
            <w:tcW w:w="703" w:type="dxa"/>
            <w:tcBorders>
              <w:top w:val="single" w:sz="2" w:space="0" w:color="auto"/>
              <w:left w:val="single" w:sz="2" w:space="0" w:color="auto"/>
              <w:bottom w:val="single" w:sz="2" w:space="0" w:color="auto"/>
              <w:right w:val="single" w:sz="2" w:space="0" w:color="auto"/>
            </w:tcBorders>
            <w:vAlign w:val="center"/>
          </w:tcPr>
          <w:p w14:paraId="69A18A39"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754094EE"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499E61B3"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179,615,383.10</w:t>
            </w:r>
          </w:p>
        </w:tc>
        <w:tc>
          <w:tcPr>
            <w:tcW w:w="703" w:type="dxa"/>
            <w:tcBorders>
              <w:top w:val="single" w:sz="2" w:space="0" w:color="auto"/>
              <w:left w:val="single" w:sz="2" w:space="0" w:color="auto"/>
              <w:bottom w:val="single" w:sz="2" w:space="0" w:color="auto"/>
              <w:right w:val="single" w:sz="2" w:space="0" w:color="auto"/>
            </w:tcBorders>
            <w:vAlign w:val="center"/>
          </w:tcPr>
          <w:p w14:paraId="5C16F7F4"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1,521,033,464.73</w:t>
            </w:r>
          </w:p>
        </w:tc>
        <w:tc>
          <w:tcPr>
            <w:tcW w:w="703" w:type="dxa"/>
            <w:tcBorders>
              <w:top w:val="single" w:sz="2" w:space="0" w:color="auto"/>
              <w:left w:val="single" w:sz="2" w:space="0" w:color="auto"/>
              <w:bottom w:val="single" w:sz="2" w:space="0" w:color="auto"/>
              <w:right w:val="single" w:sz="2" w:space="0" w:color="auto"/>
            </w:tcBorders>
            <w:vAlign w:val="center"/>
          </w:tcPr>
          <w:p w14:paraId="78332301" w14:textId="77777777" w:rsidR="00F73301" w:rsidRPr="00FC2420" w:rsidRDefault="00F73301" w:rsidP="008C49B7">
            <w:pPr>
              <w:snapToGrid w:val="0"/>
              <w:jc w:val="right"/>
              <w:rPr>
                <w:rFonts w:ascii="Times New Roman" w:eastAsia="宋体" w:hAnsi="Times New Roman" w:cs="Times New Roman"/>
                <w:sz w:val="15"/>
                <w:szCs w:val="15"/>
              </w:rPr>
            </w:pPr>
          </w:p>
        </w:tc>
        <w:tc>
          <w:tcPr>
            <w:tcW w:w="703" w:type="dxa"/>
            <w:tcBorders>
              <w:top w:val="single" w:sz="2" w:space="0" w:color="auto"/>
              <w:left w:val="single" w:sz="2" w:space="0" w:color="auto"/>
              <w:bottom w:val="single" w:sz="2" w:space="0" w:color="auto"/>
              <w:right w:val="single" w:sz="2" w:space="0" w:color="auto"/>
            </w:tcBorders>
            <w:vAlign w:val="center"/>
          </w:tcPr>
          <w:p w14:paraId="5CD2D59F" w14:textId="77777777" w:rsidR="00F73301" w:rsidRPr="00FC2420" w:rsidRDefault="00F73301" w:rsidP="008C49B7">
            <w:pPr>
              <w:snapToGrid w:val="0"/>
              <w:jc w:val="right"/>
              <w:rPr>
                <w:rFonts w:ascii="Times New Roman" w:eastAsia="宋体" w:hAnsi="Times New Roman" w:cs="Times New Roman"/>
                <w:sz w:val="15"/>
                <w:szCs w:val="15"/>
              </w:rPr>
            </w:pPr>
            <w:r w:rsidRPr="00FC2420">
              <w:rPr>
                <w:rFonts w:ascii="Times New Roman" w:eastAsia="宋体" w:hAnsi="Times New Roman" w:cs="Times New Roman"/>
                <w:sz w:val="15"/>
                <w:szCs w:val="15"/>
              </w:rPr>
              <w:t>4,731,328,916.45</w:t>
            </w:r>
          </w:p>
        </w:tc>
      </w:tr>
    </w:tbl>
    <w:p w14:paraId="6002982E" w14:textId="77777777" w:rsidR="00F73301" w:rsidRPr="00F73301" w:rsidRDefault="00F73301" w:rsidP="00FC2420">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105" w:name="_Toc988993"/>
      <w:r w:rsidRPr="00F73301">
        <w:rPr>
          <w:rFonts w:ascii="Times New Roman" w:eastAsia="宋体" w:hAnsi="Times New Roman" w:cs="Times New Roman"/>
          <w:b/>
          <w:bCs/>
          <w:sz w:val="24"/>
          <w:szCs w:val="24"/>
        </w:rPr>
        <w:t>III. Company Profile</w:t>
      </w:r>
      <w:bookmarkEnd w:id="105"/>
    </w:p>
    <w:p w14:paraId="5E950BD4"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Yangzhou </w:t>
      </w:r>
      <w:proofErr w:type="spellStart"/>
      <w:r w:rsidRPr="00F73301">
        <w:rPr>
          <w:rFonts w:ascii="Times New Roman" w:eastAsia="宋体" w:hAnsi="Times New Roman" w:cs="Times New Roman"/>
          <w:kern w:val="0"/>
          <w:sz w:val="24"/>
          <w:szCs w:val="24"/>
        </w:rPr>
        <w:t>Yangjie</w:t>
      </w:r>
      <w:proofErr w:type="spellEnd"/>
      <w:r w:rsidRPr="00F73301">
        <w:rPr>
          <w:rFonts w:ascii="Times New Roman" w:eastAsia="宋体" w:hAnsi="Times New Roman" w:cs="Times New Roman"/>
          <w:kern w:val="0"/>
          <w:sz w:val="24"/>
          <w:szCs w:val="24"/>
        </w:rPr>
        <w:t xml:space="preserve"> Electronic Technology Co., Ltd. (hereinafter referred to as the "Company"), a limited liability company by shares, was transformed from a limited liability company. It was registered at the Administration for Industry and Commerce of Yangzhou, Jiangsu on August 2, 2006, and obtained a corporate business license with registration code numbered Q.H.S.Y.Z.Z. No. 003428. Taking February 28, 2011 as the benchmark date, the Company was transformed into a limited liability by shares on an integral basis and was registered at the Administration for Industry and Commerce of Yangzhou, Jiangsu on April 18, 2011. Headquartered in Yangzhou City, Jiangsu Province, the Company currently holds a business license with unified social credit code of 913210007908906337, and has registered capital of RMB541,451,787.00, with total share of 541,451,787.00 shares (each with par value of RMB1), of which, 1,050,302 shares are restricted outstanding A shares, and 540,401,485 shares are unrestricted outstanding A shares. The Company's shares were listed on the Shenzhen Stock Exchange on January 23, 2014.</w:t>
      </w:r>
    </w:p>
    <w:p w14:paraId="16F3AC2B"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belongs to electronic components manufacturing industry and is mainly engaged in R&amp;D, manufacturing and sales of discrete semiconductor products such as semiconductor components, semiconductor chips and semiconductor silicon wafers. The Company's main products are semiconductor components, semiconductor chips, semiconductor silicon wafers, etc.</w:t>
      </w:r>
    </w:p>
    <w:p w14:paraId="1D20B388"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This financial statement was approved and authorized for issue by the 3rd meeting of the fifth session of the Board of Directors dated August 24, 2023.</w:t>
      </w:r>
    </w:p>
    <w:p w14:paraId="71B33F9A" w14:textId="11A441B5" w:rsidR="00F73301" w:rsidRPr="00F73301" w:rsidRDefault="00F73301" w:rsidP="00FC242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The Company has brought 28 subsidiaries including J&amp;V Semiconductor Co., Ltd., Yangzhou </w:t>
      </w:r>
      <w:proofErr w:type="spellStart"/>
      <w:r w:rsidRPr="00F73301">
        <w:rPr>
          <w:rFonts w:ascii="Times New Roman" w:eastAsia="宋体" w:hAnsi="Times New Roman" w:cs="Times New Roman"/>
          <w:kern w:val="0"/>
          <w:sz w:val="24"/>
          <w:szCs w:val="24"/>
        </w:rPr>
        <w:t>Jaywin</w:t>
      </w:r>
      <w:proofErr w:type="spellEnd"/>
      <w:r w:rsidRPr="00F73301">
        <w:rPr>
          <w:rFonts w:ascii="Times New Roman" w:eastAsia="宋体" w:hAnsi="Times New Roman" w:cs="Times New Roman"/>
          <w:kern w:val="0"/>
          <w:sz w:val="24"/>
          <w:szCs w:val="24"/>
        </w:rPr>
        <w:t xml:space="preserve"> Auto Chip Co., Ltd., Jiangsu </w:t>
      </w:r>
      <w:proofErr w:type="spellStart"/>
      <w:r w:rsidRPr="00F73301">
        <w:rPr>
          <w:rFonts w:ascii="Times New Roman" w:eastAsia="宋体" w:hAnsi="Times New Roman" w:cs="Times New Roman"/>
          <w:kern w:val="0"/>
          <w:sz w:val="24"/>
          <w:szCs w:val="24"/>
        </w:rPr>
        <w:t>Yangjie</w:t>
      </w:r>
      <w:proofErr w:type="spellEnd"/>
      <w:r w:rsidRPr="00F73301">
        <w:rPr>
          <w:rFonts w:ascii="Times New Roman" w:eastAsia="宋体" w:hAnsi="Times New Roman" w:cs="Times New Roman"/>
          <w:kern w:val="0"/>
          <w:sz w:val="24"/>
          <w:szCs w:val="24"/>
        </w:rPr>
        <w:t xml:space="preserve"> Semiconductor Co., Ltd., Chengdu Qingyang Electronic </w:t>
      </w:r>
      <w:r w:rsidRPr="00F73301">
        <w:rPr>
          <w:rFonts w:ascii="Times New Roman" w:eastAsia="宋体" w:hAnsi="Times New Roman" w:cs="Times New Roman"/>
          <w:kern w:val="0"/>
          <w:sz w:val="24"/>
          <w:szCs w:val="24"/>
        </w:rPr>
        <w:lastRenderedPageBreak/>
        <w:t>Materi</w:t>
      </w:r>
      <w:r w:rsidR="0066314B">
        <w:rPr>
          <w:rFonts w:ascii="Times New Roman" w:eastAsia="宋体" w:hAnsi="Times New Roman" w:cs="Times New Roman"/>
          <w:kern w:val="0"/>
          <w:sz w:val="24"/>
          <w:szCs w:val="24"/>
        </w:rPr>
        <w:t>al Co., Ltd.</w:t>
      </w:r>
      <w:r w:rsidRPr="00F73301">
        <w:rPr>
          <w:rFonts w:ascii="Times New Roman" w:eastAsia="宋体" w:hAnsi="Times New Roman" w:cs="Times New Roman"/>
          <w:kern w:val="0"/>
          <w:sz w:val="24"/>
          <w:szCs w:val="24"/>
        </w:rPr>
        <w:t>, Micro Commercial Components Corporation, MCC Semiconductor HK Co., Ltd., MCC Semiconductor Co., Ltd., Shenzhen MCC Semicon</w:t>
      </w:r>
      <w:r w:rsidR="006C7D34">
        <w:rPr>
          <w:rFonts w:ascii="Times New Roman" w:eastAsia="宋体" w:hAnsi="Times New Roman" w:cs="Times New Roman"/>
          <w:kern w:val="0"/>
          <w:sz w:val="24"/>
          <w:szCs w:val="24"/>
        </w:rPr>
        <w:t>ductor Co., Ltd.</w:t>
      </w:r>
      <w:r w:rsidRPr="00F73301">
        <w:rPr>
          <w:rFonts w:ascii="Times New Roman" w:eastAsia="宋体" w:hAnsi="Times New Roman" w:cs="Times New Roman"/>
          <w:kern w:val="0"/>
          <w:sz w:val="24"/>
          <w:szCs w:val="24"/>
        </w:rPr>
        <w:t>, Jiangsu MCC Semiconductor Co., Ltd., Hangzhou E-Giant Semicond</w:t>
      </w:r>
      <w:r w:rsidR="006C7D34">
        <w:rPr>
          <w:rFonts w:ascii="Times New Roman" w:eastAsia="宋体" w:hAnsi="Times New Roman" w:cs="Times New Roman"/>
          <w:kern w:val="0"/>
          <w:sz w:val="24"/>
          <w:szCs w:val="24"/>
        </w:rPr>
        <w:t>uctor Technology Co., Ltd.</w:t>
      </w:r>
      <w:r w:rsidRPr="00F73301">
        <w:rPr>
          <w:rFonts w:ascii="Times New Roman" w:eastAsia="宋体" w:hAnsi="Times New Roman" w:cs="Times New Roman"/>
          <w:kern w:val="0"/>
          <w:sz w:val="24"/>
          <w:szCs w:val="24"/>
        </w:rPr>
        <w:t xml:space="preserve">, Yangzhou </w:t>
      </w:r>
      <w:proofErr w:type="spellStart"/>
      <w:r w:rsidRPr="00F73301">
        <w:rPr>
          <w:rFonts w:ascii="Times New Roman" w:eastAsia="宋体" w:hAnsi="Times New Roman" w:cs="Times New Roman"/>
          <w:kern w:val="0"/>
          <w:sz w:val="24"/>
          <w:szCs w:val="24"/>
        </w:rPr>
        <w:t>Jiemei</w:t>
      </w:r>
      <w:proofErr w:type="spellEnd"/>
      <w:r w:rsidRPr="00F73301">
        <w:rPr>
          <w:rFonts w:ascii="Times New Roman" w:eastAsia="宋体" w:hAnsi="Times New Roman" w:cs="Times New Roman"/>
          <w:kern w:val="0"/>
          <w:sz w:val="24"/>
          <w:szCs w:val="24"/>
        </w:rPr>
        <w:t xml:space="preserve"> Semiconduc</w:t>
      </w:r>
      <w:r w:rsidR="006C7D34">
        <w:rPr>
          <w:rFonts w:ascii="Times New Roman" w:eastAsia="宋体" w:hAnsi="Times New Roman" w:cs="Times New Roman"/>
          <w:kern w:val="0"/>
          <w:sz w:val="24"/>
          <w:szCs w:val="24"/>
        </w:rPr>
        <w:t>tor Co., Ltd.</w:t>
      </w:r>
      <w:r w:rsidRPr="00F73301">
        <w:rPr>
          <w:rFonts w:ascii="Times New Roman" w:eastAsia="宋体" w:hAnsi="Times New Roman" w:cs="Times New Roman"/>
          <w:kern w:val="0"/>
          <w:sz w:val="24"/>
          <w:szCs w:val="24"/>
        </w:rPr>
        <w:t xml:space="preserve">, MCC GmbH, </w:t>
      </w:r>
      <w:proofErr w:type="spellStart"/>
      <w:r w:rsidRPr="00F73301">
        <w:rPr>
          <w:rFonts w:ascii="Times New Roman" w:eastAsia="宋体" w:hAnsi="Times New Roman" w:cs="Times New Roman"/>
          <w:kern w:val="0"/>
          <w:sz w:val="24"/>
          <w:szCs w:val="24"/>
        </w:rPr>
        <w:t>Yangjie</w:t>
      </w:r>
      <w:proofErr w:type="spellEnd"/>
      <w:r w:rsidRPr="00F73301">
        <w:rPr>
          <w:rFonts w:ascii="Times New Roman" w:eastAsia="宋体" w:hAnsi="Times New Roman" w:cs="Times New Roman"/>
          <w:kern w:val="0"/>
          <w:sz w:val="24"/>
          <w:szCs w:val="24"/>
        </w:rPr>
        <w:t xml:space="preserve"> Electronic </w:t>
      </w:r>
      <w:r w:rsidR="00A91E52">
        <w:rPr>
          <w:rFonts w:ascii="Times New Roman" w:eastAsia="宋体" w:hAnsi="Times New Roman" w:cs="Times New Roman"/>
          <w:kern w:val="0"/>
          <w:sz w:val="24"/>
          <w:szCs w:val="24"/>
        </w:rPr>
        <w:t>Korea Co., Ltd.</w:t>
      </w:r>
      <w:r w:rsidRPr="00F73301">
        <w:rPr>
          <w:rFonts w:ascii="Times New Roman" w:eastAsia="宋体" w:hAnsi="Times New Roman" w:cs="Times New Roman"/>
          <w:kern w:val="0"/>
          <w:sz w:val="24"/>
          <w:szCs w:val="24"/>
        </w:rPr>
        <w:t xml:space="preserve">, </w:t>
      </w:r>
      <w:r w:rsidR="009F7FBC">
        <w:rPr>
          <w:rFonts w:ascii="Times New Roman" w:eastAsia="宋体" w:hAnsi="Times New Roman" w:cs="Times New Roman"/>
          <w:kern w:val="0"/>
          <w:sz w:val="24"/>
          <w:szCs w:val="24"/>
        </w:rPr>
        <w:t>Caswell Industries Limited</w:t>
      </w:r>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Yixing</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Jiexin</w:t>
      </w:r>
      <w:proofErr w:type="spellEnd"/>
      <w:r w:rsidRPr="00F73301">
        <w:rPr>
          <w:rFonts w:ascii="Times New Roman" w:eastAsia="宋体" w:hAnsi="Times New Roman" w:cs="Times New Roman"/>
          <w:kern w:val="0"/>
          <w:sz w:val="24"/>
          <w:szCs w:val="24"/>
        </w:rPr>
        <w:t xml:space="preserve"> Semiconductor Co., Ltd., Shanghai </w:t>
      </w:r>
      <w:proofErr w:type="spellStart"/>
      <w:r w:rsidRPr="00F73301">
        <w:rPr>
          <w:rFonts w:ascii="Times New Roman" w:eastAsia="宋体" w:hAnsi="Times New Roman" w:cs="Times New Roman"/>
          <w:kern w:val="0"/>
          <w:sz w:val="24"/>
          <w:szCs w:val="24"/>
        </w:rPr>
        <w:t>Paiqi</w:t>
      </w:r>
      <w:proofErr w:type="spellEnd"/>
      <w:r w:rsidRPr="00F73301">
        <w:rPr>
          <w:rFonts w:ascii="Times New Roman" w:eastAsia="宋体" w:hAnsi="Times New Roman" w:cs="Times New Roman"/>
          <w:kern w:val="0"/>
          <w:sz w:val="24"/>
          <w:szCs w:val="24"/>
        </w:rPr>
        <w:t xml:space="preserve"> Microelectronics Co., Ltd., Shanghai </w:t>
      </w:r>
      <w:proofErr w:type="spellStart"/>
      <w:r w:rsidRPr="00F73301">
        <w:rPr>
          <w:rFonts w:ascii="Times New Roman" w:eastAsia="宋体" w:hAnsi="Times New Roman" w:cs="Times New Roman"/>
          <w:kern w:val="0"/>
          <w:sz w:val="24"/>
          <w:szCs w:val="24"/>
        </w:rPr>
        <w:t>Lingxin</w:t>
      </w:r>
      <w:proofErr w:type="spellEnd"/>
      <w:r w:rsidRPr="00F73301">
        <w:rPr>
          <w:rFonts w:ascii="Times New Roman" w:eastAsia="宋体" w:hAnsi="Times New Roman" w:cs="Times New Roman"/>
          <w:kern w:val="0"/>
          <w:sz w:val="24"/>
          <w:szCs w:val="24"/>
        </w:rPr>
        <w:t xml:space="preserve"> Semiconductor Technolo</w:t>
      </w:r>
      <w:r w:rsidR="006C7D34">
        <w:rPr>
          <w:rFonts w:ascii="Times New Roman" w:eastAsia="宋体" w:hAnsi="Times New Roman" w:cs="Times New Roman"/>
          <w:kern w:val="0"/>
          <w:sz w:val="24"/>
          <w:szCs w:val="24"/>
        </w:rPr>
        <w:t>gy Co., Ltd.</w:t>
      </w:r>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Sihong</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Hongxin</w:t>
      </w:r>
      <w:proofErr w:type="spellEnd"/>
      <w:r w:rsidRPr="00F73301">
        <w:rPr>
          <w:rFonts w:ascii="Times New Roman" w:eastAsia="宋体" w:hAnsi="Times New Roman" w:cs="Times New Roman"/>
          <w:kern w:val="0"/>
          <w:sz w:val="24"/>
          <w:szCs w:val="24"/>
        </w:rPr>
        <w:t xml:space="preserve"> Semiconductor Co., Ltd., </w:t>
      </w:r>
      <w:proofErr w:type="spellStart"/>
      <w:r w:rsidRPr="00F73301">
        <w:rPr>
          <w:rFonts w:ascii="Times New Roman" w:eastAsia="宋体" w:hAnsi="Times New Roman" w:cs="Times New Roman"/>
          <w:kern w:val="0"/>
          <w:sz w:val="24"/>
          <w:szCs w:val="24"/>
        </w:rPr>
        <w:t>Yangjie</w:t>
      </w:r>
      <w:proofErr w:type="spellEnd"/>
      <w:r w:rsidRPr="00F73301">
        <w:rPr>
          <w:rFonts w:ascii="Times New Roman" w:eastAsia="宋体" w:hAnsi="Times New Roman" w:cs="Times New Roman"/>
          <w:kern w:val="0"/>
          <w:sz w:val="24"/>
          <w:szCs w:val="24"/>
        </w:rPr>
        <w:t xml:space="preserve"> Technology (Wuxi) C</w:t>
      </w:r>
      <w:r w:rsidR="006C7D34">
        <w:rPr>
          <w:rFonts w:ascii="Times New Roman" w:eastAsia="宋体" w:hAnsi="Times New Roman" w:cs="Times New Roman"/>
          <w:kern w:val="0"/>
          <w:sz w:val="24"/>
          <w:szCs w:val="24"/>
        </w:rPr>
        <w:t>o., Ltd.</w:t>
      </w:r>
      <w:r w:rsidRPr="00F73301">
        <w:rPr>
          <w:rFonts w:ascii="Times New Roman" w:eastAsia="宋体" w:hAnsi="Times New Roman" w:cs="Times New Roman"/>
          <w:kern w:val="0"/>
          <w:sz w:val="24"/>
          <w:szCs w:val="24"/>
        </w:rPr>
        <w:t xml:space="preserve">, Wuxi </w:t>
      </w:r>
      <w:proofErr w:type="spellStart"/>
      <w:r w:rsidRPr="00F73301">
        <w:rPr>
          <w:rFonts w:ascii="Times New Roman" w:eastAsia="宋体" w:hAnsi="Times New Roman" w:cs="Times New Roman"/>
          <w:kern w:val="0"/>
          <w:sz w:val="24"/>
          <w:szCs w:val="24"/>
        </w:rPr>
        <w:t>Lingxin</w:t>
      </w:r>
      <w:proofErr w:type="spellEnd"/>
      <w:r w:rsidRPr="00F73301">
        <w:rPr>
          <w:rFonts w:ascii="Times New Roman" w:eastAsia="宋体" w:hAnsi="Times New Roman" w:cs="Times New Roman"/>
          <w:kern w:val="0"/>
          <w:sz w:val="24"/>
          <w:szCs w:val="24"/>
        </w:rPr>
        <w:t xml:space="preserve"> Semiconductor Technology Co., Ltd., Jiangsu </w:t>
      </w:r>
      <w:proofErr w:type="spellStart"/>
      <w:r w:rsidRPr="00F73301">
        <w:rPr>
          <w:rFonts w:ascii="Times New Roman" w:eastAsia="宋体" w:hAnsi="Times New Roman" w:cs="Times New Roman"/>
          <w:kern w:val="0"/>
          <w:sz w:val="24"/>
          <w:szCs w:val="24"/>
        </w:rPr>
        <w:t>Yangjie</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Runau</w:t>
      </w:r>
      <w:proofErr w:type="spellEnd"/>
      <w:r w:rsidRPr="00F73301">
        <w:rPr>
          <w:rFonts w:ascii="Times New Roman" w:eastAsia="宋体" w:hAnsi="Times New Roman" w:cs="Times New Roman"/>
          <w:kern w:val="0"/>
          <w:sz w:val="24"/>
          <w:szCs w:val="24"/>
        </w:rPr>
        <w:t xml:space="preserve"> Semiconductor Co., Ltd., Sichuan </w:t>
      </w:r>
      <w:proofErr w:type="spellStart"/>
      <w:r w:rsidRPr="00F73301">
        <w:rPr>
          <w:rFonts w:ascii="Times New Roman" w:eastAsia="宋体" w:hAnsi="Times New Roman" w:cs="Times New Roman"/>
          <w:kern w:val="0"/>
          <w:sz w:val="24"/>
          <w:szCs w:val="24"/>
        </w:rPr>
        <w:t>Yajixin</w:t>
      </w:r>
      <w:proofErr w:type="spellEnd"/>
      <w:r w:rsidRPr="00F73301">
        <w:rPr>
          <w:rFonts w:ascii="Times New Roman" w:eastAsia="宋体" w:hAnsi="Times New Roman" w:cs="Times New Roman"/>
          <w:kern w:val="0"/>
          <w:sz w:val="24"/>
          <w:szCs w:val="24"/>
        </w:rPr>
        <w:t xml:space="preserve"> Electronic Technol</w:t>
      </w:r>
      <w:r w:rsidR="006C7D34">
        <w:rPr>
          <w:rFonts w:ascii="Times New Roman" w:eastAsia="宋体" w:hAnsi="Times New Roman" w:cs="Times New Roman"/>
          <w:kern w:val="0"/>
          <w:sz w:val="24"/>
          <w:szCs w:val="24"/>
        </w:rPr>
        <w:t>ogy Co., Ltd.</w:t>
      </w:r>
      <w:r w:rsidRPr="00F73301">
        <w:rPr>
          <w:rFonts w:ascii="Times New Roman" w:eastAsia="宋体" w:hAnsi="Times New Roman" w:cs="Times New Roman"/>
          <w:kern w:val="0"/>
          <w:sz w:val="24"/>
          <w:szCs w:val="24"/>
        </w:rPr>
        <w:t xml:space="preserve">, Inner Mongolia Qingyang Electronic Material Co., Ltd., Wuxi </w:t>
      </w:r>
      <w:proofErr w:type="spellStart"/>
      <w:r w:rsidRPr="00F73301">
        <w:rPr>
          <w:rFonts w:ascii="Times New Roman" w:eastAsia="宋体" w:hAnsi="Times New Roman" w:cs="Times New Roman"/>
          <w:kern w:val="0"/>
          <w:sz w:val="24"/>
          <w:szCs w:val="24"/>
        </w:rPr>
        <w:t>Jiexiwei</w:t>
      </w:r>
      <w:proofErr w:type="spellEnd"/>
      <w:r w:rsidRPr="00F73301">
        <w:rPr>
          <w:rFonts w:ascii="Times New Roman" w:eastAsia="宋体" w:hAnsi="Times New Roman" w:cs="Times New Roman"/>
          <w:kern w:val="0"/>
          <w:sz w:val="24"/>
          <w:szCs w:val="24"/>
        </w:rPr>
        <w:t xml:space="preserve"> Semiconductor Co., Ltd., Yangzhou </w:t>
      </w:r>
      <w:proofErr w:type="spellStart"/>
      <w:r w:rsidRPr="00F73301">
        <w:rPr>
          <w:rFonts w:ascii="Times New Roman" w:eastAsia="宋体" w:hAnsi="Times New Roman" w:cs="Times New Roman"/>
          <w:kern w:val="0"/>
          <w:sz w:val="24"/>
          <w:szCs w:val="24"/>
        </w:rPr>
        <w:t>Jieguan</w:t>
      </w:r>
      <w:proofErr w:type="spellEnd"/>
      <w:r w:rsidRPr="00F73301">
        <w:rPr>
          <w:rFonts w:ascii="Times New Roman" w:eastAsia="宋体" w:hAnsi="Times New Roman" w:cs="Times New Roman"/>
          <w:kern w:val="0"/>
          <w:sz w:val="24"/>
          <w:szCs w:val="24"/>
        </w:rPr>
        <w:t xml:space="preserve"> Microelectronics Co., </w:t>
      </w:r>
      <w:r w:rsidR="006C7D34">
        <w:rPr>
          <w:rFonts w:ascii="Times New Roman" w:eastAsia="宋体" w:hAnsi="Times New Roman" w:cs="Times New Roman"/>
          <w:kern w:val="0"/>
          <w:sz w:val="24"/>
          <w:szCs w:val="24"/>
        </w:rPr>
        <w:t>Ltd.</w:t>
      </w:r>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Yangjie</w:t>
      </w:r>
      <w:proofErr w:type="spellEnd"/>
      <w:r w:rsidRPr="00F73301">
        <w:rPr>
          <w:rFonts w:ascii="Times New Roman" w:eastAsia="宋体" w:hAnsi="Times New Roman" w:cs="Times New Roman"/>
          <w:kern w:val="0"/>
          <w:sz w:val="24"/>
          <w:szCs w:val="24"/>
        </w:rPr>
        <w:t xml:space="preserve"> Technology Japan Co., Ltd., MCC SIN</w:t>
      </w:r>
      <w:r w:rsidR="006C7D34">
        <w:rPr>
          <w:rFonts w:ascii="Times New Roman" w:eastAsia="宋体" w:hAnsi="Times New Roman" w:cs="Times New Roman"/>
          <w:kern w:val="0"/>
          <w:sz w:val="24"/>
          <w:szCs w:val="24"/>
        </w:rPr>
        <w:t>GAPORE PTE. LTD</w:t>
      </w:r>
      <w:r w:rsidRPr="00F73301">
        <w:rPr>
          <w:rFonts w:ascii="Times New Roman" w:eastAsia="宋体" w:hAnsi="Times New Roman" w:cs="Times New Roman"/>
          <w:kern w:val="0"/>
          <w:sz w:val="24"/>
          <w:szCs w:val="24"/>
        </w:rPr>
        <w:t xml:space="preserve">, and Hunan </w:t>
      </w:r>
      <w:proofErr w:type="spellStart"/>
      <w:r w:rsidR="00800FD7">
        <w:rPr>
          <w:rFonts w:ascii="Times New Roman" w:eastAsia="宋体" w:hAnsi="Times New Roman" w:cs="Times New Roman"/>
          <w:kern w:val="0"/>
          <w:sz w:val="24"/>
          <w:szCs w:val="24"/>
        </w:rPr>
        <w:t>Jiec</w:t>
      </w:r>
      <w:r w:rsidRPr="00F73301">
        <w:rPr>
          <w:rFonts w:ascii="Times New Roman" w:eastAsia="宋体" w:hAnsi="Times New Roman" w:cs="Times New Roman"/>
          <w:kern w:val="0"/>
          <w:sz w:val="24"/>
          <w:szCs w:val="24"/>
        </w:rPr>
        <w:t>huwei</w:t>
      </w:r>
      <w:proofErr w:type="spellEnd"/>
      <w:r w:rsidRPr="00F73301">
        <w:rPr>
          <w:rFonts w:ascii="Times New Roman" w:eastAsia="宋体" w:hAnsi="Times New Roman" w:cs="Times New Roman"/>
          <w:kern w:val="0"/>
          <w:sz w:val="24"/>
          <w:szCs w:val="24"/>
        </w:rPr>
        <w:t xml:space="preserve"> Semiconductor Technology Co., Ltd. into the consolidation scope. Please refer to Note VI and VII of notes to the financial statements for details.</w:t>
      </w:r>
    </w:p>
    <w:p w14:paraId="049BFAF9" w14:textId="77777777" w:rsidR="00F73301" w:rsidRPr="00F73301" w:rsidRDefault="00F73301" w:rsidP="00FC2420">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106" w:name="_Toc988994"/>
      <w:r w:rsidRPr="00F73301">
        <w:rPr>
          <w:rFonts w:ascii="Times New Roman" w:eastAsia="宋体" w:hAnsi="Times New Roman" w:cs="Times New Roman"/>
          <w:b/>
          <w:bCs/>
          <w:sz w:val="24"/>
          <w:szCs w:val="24"/>
        </w:rPr>
        <w:t>IV. Preparation Basis of the Financial Statement</w:t>
      </w:r>
      <w:bookmarkEnd w:id="106"/>
    </w:p>
    <w:p w14:paraId="6EF7D807"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07" w:name="_Toc988995"/>
      <w:r w:rsidRPr="00F73301">
        <w:rPr>
          <w:rFonts w:ascii="Times New Roman" w:eastAsia="宋体" w:hAnsi="Times New Roman" w:cs="Times New Roman"/>
          <w:b/>
          <w:bCs/>
          <w:sz w:val="24"/>
          <w:szCs w:val="24"/>
        </w:rPr>
        <w:t>1. Preparation basis</w:t>
      </w:r>
      <w:bookmarkEnd w:id="107"/>
    </w:p>
    <w:p w14:paraId="35277FE0"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financial statements have been prepared on the basis of going concern.</w:t>
      </w:r>
    </w:p>
    <w:p w14:paraId="47618D9D"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08" w:name="_Toc988996"/>
      <w:r w:rsidRPr="00F73301">
        <w:rPr>
          <w:rFonts w:ascii="Times New Roman" w:eastAsia="宋体" w:hAnsi="Times New Roman" w:cs="Times New Roman"/>
          <w:b/>
          <w:bCs/>
          <w:sz w:val="24"/>
          <w:szCs w:val="24"/>
        </w:rPr>
        <w:t>2. Continued operations</w:t>
      </w:r>
      <w:bookmarkEnd w:id="108"/>
    </w:p>
    <w:p w14:paraId="0482A6B1"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has no events or conditions that may cast significant doubts upon the Company's ability to continue as a going concern within the 12 months after the balance sheet date.</w:t>
      </w:r>
    </w:p>
    <w:p w14:paraId="6A5AAE11" w14:textId="77777777" w:rsidR="00F73301" w:rsidRPr="00F73301" w:rsidRDefault="00F73301" w:rsidP="00FC2420">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109" w:name="_Toc988997"/>
      <w:r w:rsidRPr="00F73301">
        <w:rPr>
          <w:rFonts w:ascii="Times New Roman" w:eastAsia="宋体" w:hAnsi="Times New Roman" w:cs="Times New Roman"/>
          <w:b/>
          <w:bCs/>
          <w:sz w:val="24"/>
          <w:szCs w:val="24"/>
        </w:rPr>
        <w:t>V. Significant Accounting Policies and Estimates</w:t>
      </w:r>
      <w:bookmarkEnd w:id="109"/>
    </w:p>
    <w:p w14:paraId="33D4C1C8" w14:textId="77777777" w:rsidR="00F73301" w:rsidRPr="00F73301" w:rsidRDefault="00F73301" w:rsidP="00FC242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specific accounting policies and estimates:</w:t>
      </w:r>
    </w:p>
    <w:p w14:paraId="041AD5F3"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following disclosures have covered specific accounting policies and estimates developed by the Company in line with the features of its practical production and operations. </w:t>
      </w:r>
    </w:p>
    <w:p w14:paraId="148E78E9"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0" w:name="_Toc988998"/>
      <w:r w:rsidRPr="00F73301">
        <w:rPr>
          <w:rFonts w:ascii="Times New Roman" w:eastAsia="宋体" w:hAnsi="Times New Roman" w:cs="Times New Roman"/>
          <w:b/>
          <w:bCs/>
          <w:sz w:val="24"/>
          <w:szCs w:val="24"/>
        </w:rPr>
        <w:t>1. Statement of compliance with the Chinese Accounting Standards for Business Enterprises (CASBE)</w:t>
      </w:r>
      <w:bookmarkEnd w:id="110"/>
    </w:p>
    <w:p w14:paraId="38C14DE0"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financial statements have been prepared in accordance with the requirements of China Accounting Standards for Business Enterprises (CASBEs), and present truly and completely the financial position, financial performance and cash flows of the Company.</w:t>
      </w:r>
    </w:p>
    <w:p w14:paraId="6AD54BEF"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1" w:name="_Toc988999"/>
      <w:r w:rsidRPr="00F73301">
        <w:rPr>
          <w:rFonts w:ascii="Times New Roman" w:eastAsia="宋体" w:hAnsi="Times New Roman" w:cs="Times New Roman"/>
          <w:b/>
          <w:bCs/>
          <w:sz w:val="24"/>
          <w:szCs w:val="24"/>
        </w:rPr>
        <w:t>2. Accounting period</w:t>
      </w:r>
      <w:bookmarkEnd w:id="111"/>
    </w:p>
    <w:p w14:paraId="13CF0D8F"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accounting year of the Company runs from January 1 to December 31 under the Gregorian calendar.</w:t>
      </w:r>
    </w:p>
    <w:p w14:paraId="0947D2A3"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2" w:name="_Toc989000"/>
      <w:r w:rsidRPr="00F73301">
        <w:rPr>
          <w:rFonts w:ascii="Times New Roman" w:eastAsia="宋体" w:hAnsi="Times New Roman" w:cs="Times New Roman"/>
          <w:b/>
          <w:bCs/>
          <w:sz w:val="24"/>
          <w:szCs w:val="24"/>
        </w:rPr>
        <w:t>3. Operating cycle</w:t>
      </w:r>
      <w:bookmarkEnd w:id="112"/>
    </w:p>
    <w:p w14:paraId="236866B9"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has a relatively short operating cycle for its business, and an asset or a liability is classified as current if it is expected to be realized or due within 12 months.</w:t>
      </w:r>
    </w:p>
    <w:p w14:paraId="773980D3"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3" w:name="_Toc989001"/>
      <w:r w:rsidRPr="00F73301">
        <w:rPr>
          <w:rFonts w:ascii="Times New Roman" w:eastAsia="宋体" w:hAnsi="Times New Roman" w:cs="Times New Roman"/>
          <w:b/>
          <w:bCs/>
          <w:sz w:val="24"/>
          <w:szCs w:val="24"/>
        </w:rPr>
        <w:t>4. Functional currency</w:t>
      </w:r>
      <w:bookmarkEnd w:id="113"/>
    </w:p>
    <w:p w14:paraId="741012A3"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functional currency of the Company and its domestic subsidiaries is Renminbi (RMB), while the functional currency of subsidiaries engaged in overseas operations including MCC USA and MCC Taiwan is the currency of the primary economic environment in which they operate.</w:t>
      </w:r>
    </w:p>
    <w:p w14:paraId="27A7FE50"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4" w:name="_Toc989002"/>
      <w:r w:rsidRPr="00F73301">
        <w:rPr>
          <w:rFonts w:ascii="Times New Roman" w:eastAsia="宋体" w:hAnsi="Times New Roman" w:cs="Times New Roman"/>
          <w:b/>
          <w:bCs/>
          <w:sz w:val="24"/>
          <w:szCs w:val="24"/>
        </w:rPr>
        <w:t>5. Accounting treatment methods for business combination involving entities under and not under common control</w:t>
      </w:r>
      <w:bookmarkEnd w:id="114"/>
    </w:p>
    <w:p w14:paraId="72D409B8"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Accounting treatment method for business combination involving entities under common control</w:t>
      </w:r>
    </w:p>
    <w:p w14:paraId="4B85BCB2"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The Company's assets and liabilities acquired from business combinations will be measured according to the carrying amount of the acquiree in the consolidated financial statement of the ultimate controlling party at the combination date. Difference between carrying amount of the equity of the acquiree included in the consolidated financial statements of the ultimate controlling party and that of the combination consideration or total par value of shares issued is adjusted to capital reserve, if the balance of capital reserve is insufficient to offset, any excess is adjusted to retained earnings.</w:t>
      </w:r>
    </w:p>
    <w:p w14:paraId="64A4E562"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Accounting treatment method for business combination involving entities not under common control</w:t>
      </w:r>
    </w:p>
    <w:p w14:paraId="2500CFF2"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When the combination cost is in excess of the fair value of identifiable net assets obtained from the acquiree at the acquisition date, the excess is recognized by the Company as goodwill; otherwise, the fair value of identifiable assets, liabilities and contingent liabilities obtained from the acquiree, and the measurement of the combination cost are reviewed, then the difference is included in current profit or loss.</w:t>
      </w:r>
    </w:p>
    <w:p w14:paraId="2B364D9C"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5" w:name="_Toc989003"/>
      <w:r w:rsidRPr="00F73301">
        <w:rPr>
          <w:rFonts w:ascii="Times New Roman" w:eastAsia="宋体" w:hAnsi="Times New Roman" w:cs="Times New Roman"/>
          <w:b/>
          <w:bCs/>
          <w:sz w:val="24"/>
          <w:szCs w:val="24"/>
        </w:rPr>
        <w:t>6. Preparation methods for consolidated financial statements</w:t>
      </w:r>
      <w:bookmarkEnd w:id="115"/>
    </w:p>
    <w:p w14:paraId="5D4C1337" w14:textId="2C775AF1"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The parent company brings all its controlled subsidiaries into the consolidation scope. The consolidated financial statements are based on the financial statements of the parent </w:t>
      </w:r>
      <w:r w:rsidR="00C0474E">
        <w:rPr>
          <w:rFonts w:ascii="Times New Roman" w:eastAsia="宋体" w:hAnsi="Times New Roman" w:cs="Times New Roman"/>
          <w:kern w:val="0"/>
          <w:sz w:val="24"/>
          <w:szCs w:val="24"/>
        </w:rPr>
        <w:t>c</w:t>
      </w:r>
      <w:r w:rsidRPr="00F73301">
        <w:rPr>
          <w:rFonts w:ascii="Times New Roman" w:eastAsia="宋体" w:hAnsi="Times New Roman" w:cs="Times New Roman"/>
          <w:kern w:val="0"/>
          <w:sz w:val="24"/>
          <w:szCs w:val="24"/>
        </w:rPr>
        <w:t xml:space="preserve">ompany and its subsidiaries and are prepared by the parent </w:t>
      </w:r>
      <w:r w:rsidR="00C0474E">
        <w:rPr>
          <w:rFonts w:ascii="Times New Roman" w:eastAsia="宋体" w:hAnsi="Times New Roman" w:cs="Times New Roman"/>
          <w:kern w:val="0"/>
          <w:sz w:val="24"/>
          <w:szCs w:val="24"/>
        </w:rPr>
        <w:t>c</w:t>
      </w:r>
      <w:r w:rsidRPr="00F73301">
        <w:rPr>
          <w:rFonts w:ascii="Times New Roman" w:eastAsia="宋体" w:hAnsi="Times New Roman" w:cs="Times New Roman"/>
          <w:kern w:val="0"/>
          <w:sz w:val="24"/>
          <w:szCs w:val="24"/>
        </w:rPr>
        <w:t xml:space="preserve">ompany according to other relevant information and </w:t>
      </w:r>
      <w:r w:rsidRPr="00F73301">
        <w:rPr>
          <w:rFonts w:ascii="Times New Roman" w:eastAsia="宋体" w:hAnsi="Times New Roman" w:cs="Times New Roman"/>
          <w:i/>
          <w:iCs/>
          <w:kern w:val="0"/>
          <w:sz w:val="24"/>
          <w:szCs w:val="24"/>
        </w:rPr>
        <w:t>CASBE No. 33 - Consolidated Financial Statements</w:t>
      </w:r>
      <w:r w:rsidRPr="00F73301">
        <w:rPr>
          <w:rFonts w:ascii="Times New Roman" w:eastAsia="宋体" w:hAnsi="Times New Roman" w:cs="Times New Roman"/>
          <w:kern w:val="0"/>
          <w:sz w:val="24"/>
          <w:szCs w:val="24"/>
        </w:rPr>
        <w:t>.</w:t>
      </w:r>
    </w:p>
    <w:p w14:paraId="4A8A1200"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6" w:name="_Toc989004"/>
      <w:r w:rsidRPr="00F73301">
        <w:rPr>
          <w:rFonts w:ascii="Times New Roman" w:eastAsia="宋体" w:hAnsi="Times New Roman" w:cs="Times New Roman"/>
          <w:b/>
          <w:bCs/>
          <w:sz w:val="24"/>
          <w:szCs w:val="24"/>
        </w:rPr>
        <w:t>7. Recognition criteria of cash and cash equivalents</w:t>
      </w:r>
      <w:bookmarkEnd w:id="116"/>
    </w:p>
    <w:p w14:paraId="2DE16EDB"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Cash listed in the cash flow statement refers to cash on hand and reserves always available for payment. Cash equivalents refer to investments that are held for a short term, highly liquid, and readily convertible to known amounts of cash and subject to an insignificant risk of change in value.</w:t>
      </w:r>
    </w:p>
    <w:p w14:paraId="3C668DC4"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7" w:name="_Toc989005"/>
      <w:r w:rsidRPr="00F73301">
        <w:rPr>
          <w:rFonts w:ascii="Times New Roman" w:eastAsia="宋体" w:hAnsi="Times New Roman" w:cs="Times New Roman"/>
          <w:b/>
          <w:bCs/>
          <w:sz w:val="24"/>
          <w:szCs w:val="24"/>
        </w:rPr>
        <w:t>8. Conversion of transactions denominated in foreign currency and foreign currency financial statement conversion</w:t>
      </w:r>
      <w:bookmarkEnd w:id="117"/>
    </w:p>
    <w:p w14:paraId="4559799C"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Conversion of transactions denominated in foreign currency</w:t>
      </w:r>
    </w:p>
    <w:p w14:paraId="149B349C"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Transactions denominated in foreign currency are converted into RMB at the spot exchange rate at the transaction date at initial recognition. At the balance sheet date, the foreign monetary items are converted at the spot exchange rate at the balance sheet date, and the exchange difference arising from exchange rate difference, except for the exchange difference arising from principal and interest of foreign currency special borrowings relating to purchasing assets satisfying capitalization conditions, is included in current profit or loss; the foreign non-monetary items measured at historical cost are still converted at the spot exchange rate at the transaction date, and its RMB amount will not be changed; the foreign non-monetary items measured at fair value are converted at the spot exchange rate at the fair value determination date, and the difference is included in current profit or loss or other comprehensive income.</w:t>
      </w:r>
    </w:p>
    <w:p w14:paraId="213DFD78"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Foreign currency financial statement conversion</w:t>
      </w:r>
    </w:p>
    <w:p w14:paraId="6231B24B"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assets and liabilities in the balance sheet are converted at the spot exchange rate at the balance sheet date; the equity items, other than undistributed profit, are converted at the spot exchange rate at the transaction date; the incomes and expenses in the income statement are converted at the spot exchange rate at the transaction date. The foreign currency financial statement conversion difference arising from the aforementioned translation is included in other comprehensive income.</w:t>
      </w:r>
    </w:p>
    <w:p w14:paraId="2791CEF3" w14:textId="77777777" w:rsidR="00F73301" w:rsidRPr="00F73301" w:rsidRDefault="00F73301" w:rsidP="00FC242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8" w:name="_Toc989006"/>
      <w:r w:rsidRPr="00F73301">
        <w:rPr>
          <w:rFonts w:ascii="Times New Roman" w:eastAsia="宋体" w:hAnsi="Times New Roman" w:cs="Times New Roman"/>
          <w:b/>
          <w:bCs/>
          <w:sz w:val="24"/>
          <w:szCs w:val="24"/>
        </w:rPr>
        <w:t>9. Financial instruments</w:t>
      </w:r>
      <w:bookmarkEnd w:id="118"/>
    </w:p>
    <w:p w14:paraId="1FBD02BE"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Classification of financial assets and financial liabilities</w:t>
      </w:r>
    </w:p>
    <w:p w14:paraId="311EEAEC" w14:textId="53B3EE2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Financial assets are classified into the following three categories when initially recognized: 1) financial assets at amortized cost; 2) financial assets at fair value through other comprehensive income; 3) financial assets at fair value through profit or loss.</w:t>
      </w:r>
    </w:p>
    <w:p w14:paraId="0A27268C"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Financial liabilities are classified into the following four categories when initially recognized: 1) financial liabilities at fair value through profit or loss; 2) financial assets that arise when a transfer of a financial asset does not qualify for derecognition or when the continuing involvement approach applies; 3) financial guarantee contracts not falling within the above categories 1) and 2), and commitments to provide a loan at a below-market interest rate, which do not fall within the above category 1); 4) financial liabilities at amortized cost.</w:t>
      </w:r>
    </w:p>
    <w:p w14:paraId="1AFE6EED"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Recognition criteria, measurement method and derecognition of financial assets and financial liabilities</w:t>
      </w:r>
    </w:p>
    <w:p w14:paraId="2DF23811"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Recognition criteria and initial measurement method of financial assets and financial liabilities</w:t>
      </w:r>
    </w:p>
    <w:p w14:paraId="405D9FF8"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A financial instrument is recognized as an asset or liability when the Company becomes a party thereto. The financial assets and financial liabilities initially recognized are measured at fair value; for the financial assets and liabilities at fair value through profit or loss, the transaction expenses thereof are directly included in profit or loss; for other categories of financial assets and financial liabilities, the transaction expenses thereof are included into the initially recognized amount. However, if the accounts receivable initially recognized by the Company do not include material financing component or the financing component in the contract less than one year and not considered by the Company, the initial measurement is done according to the transaction price defined in </w:t>
      </w:r>
      <w:r w:rsidRPr="00F73301">
        <w:rPr>
          <w:rFonts w:ascii="Times New Roman" w:eastAsia="宋体" w:hAnsi="Times New Roman" w:cs="Times New Roman"/>
          <w:i/>
          <w:iCs/>
          <w:kern w:val="0"/>
          <w:sz w:val="24"/>
          <w:szCs w:val="24"/>
        </w:rPr>
        <w:t>CASBE No. 14 - Incomes</w:t>
      </w:r>
      <w:r w:rsidRPr="00F73301">
        <w:rPr>
          <w:rFonts w:ascii="Times New Roman" w:eastAsia="宋体" w:hAnsi="Times New Roman" w:cs="Times New Roman"/>
          <w:kern w:val="0"/>
          <w:sz w:val="24"/>
          <w:szCs w:val="24"/>
        </w:rPr>
        <w:t>.</w:t>
      </w:r>
    </w:p>
    <w:p w14:paraId="62CEC4FC"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Subsequent measurement method of financial assets</w:t>
      </w:r>
    </w:p>
    <w:p w14:paraId="3167D3DC"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Financial assets measured at amortized cost</w:t>
      </w:r>
    </w:p>
    <w:p w14:paraId="7737705E"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measures its financial assets at the amortized costs using effective interest method. Gains or losses on financial assets that are measured at amortized cost and are not part of hedging relationships shall be included into profit or loss when the financial assets are derecognized, reclassified, amortized using effective interest method or recognized with impairment loss.</w:t>
      </w:r>
    </w:p>
    <w:p w14:paraId="24DEB100"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b. Debt instrument investments at fair value through other comprehensive income</w:t>
      </w:r>
    </w:p>
    <w:p w14:paraId="0E390161"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measures its debt instrument investments at fair value. Interests, impairment gains or losses, and gains and losses on foreign exchange that calculated using effective interest method shall be included into profit or loss, while other gains or losses are included into other comprehensive income. Accumulated gains or losses that initially recognized as other comprehensive income should be transferred out into profit or loss when the financial assets are derecognized.</w:t>
      </w:r>
    </w:p>
    <w:p w14:paraId="3BF69871"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c. Equity instrument investments at fair value through other comprehensive income</w:t>
      </w:r>
    </w:p>
    <w:p w14:paraId="7E42F559"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measures its debt instrument investments at fair value. Dividends obtained (other than those as part of investment cost recovery) are included into profit or loss, while other gains or losses are included into other comprehensive income. Accumulated gains or losses that initially recognized as other comprehensive income should be transferred out into retained earnings when the financial assets are derecognized.</w:t>
      </w:r>
    </w:p>
    <w:p w14:paraId="69CB506A"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d. Financial assets measured at fair value through profit and loss for the current period</w:t>
      </w:r>
    </w:p>
    <w:p w14:paraId="37D8E0BA"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measures its financial assets at fair value. Gains or losses arising from changes in fair value (including interests and dividends) shall be included into profit or loss, except for financial assets that are part of hedging relationships.</w:t>
      </w:r>
    </w:p>
    <w:p w14:paraId="163220D5"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3) Subsequent measurement of financial liabilities</w:t>
      </w:r>
    </w:p>
    <w:p w14:paraId="1C223604"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Financial liabilities at fair value through profit or loss</w:t>
      </w:r>
    </w:p>
    <w:p w14:paraId="677EF87D"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Financial liabilities at fair value through profit or loss include held-for-trading financial liabilities (including derivatives that are liabilities) and financial liabilities designated as at fair value through profit or loss. Such financial liabilities are subsequently measured at fair value. The amount of changes in the fair value of the financial liabilities designated as at fair value through profit or loss that are attributable to changes in the Company’s own credit risk is included into other comprehensive income, unless such treatment will create or enlarge accounting mismatches in profit or loss. Other gains or losses on those financial liabilities (including interests, changes in fair value that are attributable to reasons other than changes in the Company's own credit risk) are included into profit or loss, except for financial liabilities that are part of hedging relationships. Accumulated gains or losses that initially recognized as other comprehensive income should be transferred out into retained earnings when the financial assets are derecognized.</w:t>
      </w:r>
    </w:p>
    <w:p w14:paraId="0D0FC6BA"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b. Financial liabilities that arise when a transfer of a financial asset does not qualify for derecognition or when the continuing involvement approach applies</w:t>
      </w:r>
    </w:p>
    <w:p w14:paraId="314795F4" w14:textId="3DAF3E04" w:rsidR="00F73301" w:rsidRPr="00F73301" w:rsidRDefault="00D70DE6"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They </w:t>
      </w:r>
      <w:r w:rsidR="00F73301" w:rsidRPr="00F73301">
        <w:rPr>
          <w:rFonts w:ascii="Times New Roman" w:eastAsia="宋体" w:hAnsi="Times New Roman" w:cs="Times New Roman"/>
          <w:kern w:val="0"/>
          <w:sz w:val="24"/>
          <w:szCs w:val="24"/>
        </w:rPr>
        <w:t xml:space="preserve">are measured according to the relevant provisions of </w:t>
      </w:r>
      <w:r w:rsidR="00F73301" w:rsidRPr="00F73301">
        <w:rPr>
          <w:rFonts w:ascii="Times New Roman" w:eastAsia="宋体" w:hAnsi="Times New Roman" w:cs="Times New Roman"/>
          <w:i/>
          <w:iCs/>
          <w:kern w:val="0"/>
          <w:sz w:val="24"/>
          <w:szCs w:val="24"/>
        </w:rPr>
        <w:t>CASBE No. 23 - Transfer of Financial Assets</w:t>
      </w:r>
      <w:r w:rsidR="00F73301" w:rsidRPr="00F73301">
        <w:rPr>
          <w:rFonts w:ascii="Times New Roman" w:eastAsia="宋体" w:hAnsi="Times New Roman" w:cs="Times New Roman"/>
          <w:kern w:val="0"/>
          <w:sz w:val="24"/>
          <w:szCs w:val="24"/>
        </w:rPr>
        <w:t>.</w:t>
      </w:r>
    </w:p>
    <w:p w14:paraId="225076F4"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c. Financial guarantee contracts not falling within the above categories a and b, and commitments to provide a loan at a below-market interest rate, which do not fall within the above category a</w:t>
      </w:r>
    </w:p>
    <w:p w14:paraId="03F022CB" w14:textId="5C9DE1D7" w:rsidR="00F73301" w:rsidRPr="00F73301" w:rsidRDefault="00830742"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They </w:t>
      </w:r>
      <w:r w:rsidR="00F73301" w:rsidRPr="00F73301">
        <w:rPr>
          <w:rFonts w:ascii="Times New Roman" w:eastAsia="宋体" w:hAnsi="Times New Roman" w:cs="Times New Roman"/>
          <w:kern w:val="0"/>
          <w:sz w:val="24"/>
          <w:szCs w:val="24"/>
        </w:rPr>
        <w:t xml:space="preserve">are subsequently measured at the higher of the following two amounts after initial recognition: a. the amount of loss allowances in accordance with impairment requirements of financial instruments; b. the amount initially recognized less the amount of accumulated amortization recognized according to the relevant provisions of </w:t>
      </w:r>
      <w:r w:rsidR="00F73301" w:rsidRPr="00F73301">
        <w:rPr>
          <w:rFonts w:ascii="Times New Roman" w:eastAsia="宋体" w:hAnsi="Times New Roman" w:cs="Times New Roman"/>
          <w:i/>
          <w:iCs/>
          <w:kern w:val="0"/>
          <w:sz w:val="24"/>
          <w:szCs w:val="24"/>
        </w:rPr>
        <w:t>CASBE No. 14 - Revenues</w:t>
      </w:r>
      <w:r w:rsidR="00F73301" w:rsidRPr="00F73301">
        <w:rPr>
          <w:rFonts w:ascii="Times New Roman" w:eastAsia="宋体" w:hAnsi="Times New Roman" w:cs="Times New Roman"/>
          <w:kern w:val="0"/>
          <w:sz w:val="24"/>
          <w:szCs w:val="24"/>
        </w:rPr>
        <w:t>.</w:t>
      </w:r>
    </w:p>
    <w:p w14:paraId="2E738968"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d. Financial liabilities at amortized cost</w:t>
      </w:r>
    </w:p>
    <w:p w14:paraId="216B3572"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Such financial liabilities are measured at amortized cost using the effective interest method. Gains or losses arising from a financial liability measured at amortized cost which does not form part of any hedging relationship are recorded in current profit or loss at the time of derecognition or amortization according to the effective interest method.</w:t>
      </w:r>
    </w:p>
    <w:p w14:paraId="28EE2803"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4) Derecognition of financial assets and financial liabilities</w:t>
      </w:r>
    </w:p>
    <w:p w14:paraId="5381CD83"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The financial assets meeting any one of the following conditions will be derecognized:</w:t>
      </w:r>
    </w:p>
    <w:p w14:paraId="35B5ECF0"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The contractual rights to the cash flows from the financial assets expire; or</w:t>
      </w:r>
    </w:p>
    <w:p w14:paraId="1F4F7E91"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b) The financial assets have been transferred and the transfer qualifies for derecognition according to </w:t>
      </w:r>
      <w:r w:rsidRPr="00F73301">
        <w:rPr>
          <w:rFonts w:ascii="Times New Roman" w:eastAsia="宋体" w:hAnsi="Times New Roman" w:cs="Times New Roman"/>
          <w:i/>
          <w:iCs/>
          <w:kern w:val="0"/>
          <w:sz w:val="24"/>
          <w:szCs w:val="24"/>
        </w:rPr>
        <w:t>CASBE No. 23 - Transfer of Financial Assets</w:t>
      </w:r>
      <w:r w:rsidRPr="00F73301">
        <w:rPr>
          <w:rFonts w:ascii="Times New Roman" w:eastAsia="宋体" w:hAnsi="Times New Roman" w:cs="Times New Roman"/>
          <w:kern w:val="0"/>
          <w:sz w:val="24"/>
          <w:szCs w:val="24"/>
        </w:rPr>
        <w:t>.</w:t>
      </w:r>
    </w:p>
    <w:p w14:paraId="47B7502D"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b. When the prevailing obligations of the financial liabilities (or a part thereof) have been terminated, the financial liabilities (or the part thereof) will be derecognized accordingly.</w:t>
      </w:r>
    </w:p>
    <w:p w14:paraId="5E8B9D78"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Recognition criteria and measurement method of financial assets transfer</w:t>
      </w:r>
    </w:p>
    <w:p w14:paraId="2D24FD9B"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If the Company has transferred substantially all risks and rewards of ownership of the financial asset, the financial asset is derecognized, and the right and obligation arising from or retained in the transfer are individually recognized as an asset or liability. If substantially all risks and rewards of ownership of the financial asset are retained, the financial asset transferred remains recognized. If the Company does not transfer or retain substantially all risks and rewards of ownership of the financial asset, the financial asset will be individually dealt with according to the following circumstances: 1) if the </w:t>
      </w:r>
      <w:r w:rsidRPr="00F73301">
        <w:rPr>
          <w:rFonts w:ascii="Times New Roman" w:eastAsia="宋体" w:hAnsi="Times New Roman" w:cs="Times New Roman"/>
          <w:kern w:val="0"/>
          <w:sz w:val="24"/>
          <w:szCs w:val="24"/>
        </w:rPr>
        <w:lastRenderedPageBreak/>
        <w:t>Company does not retain its control over the financial asset, the financial asset is derecognized, and the right and obligation arising from or retained in the transfer are individually recognized as an asset or liability; 2) if the Company retains its control over the financial asset, the financial asset is recognized as the related financial asset to the extent when the continuing involvement approach applies to the transfer of the financial asset, and the relevant liabilities are recognized accordingly.</w:t>
      </w:r>
    </w:p>
    <w:p w14:paraId="7F21E431"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If the transfer of an entire financial asset qualifies for derecognition, the difference between the following two amounts is included in profit or loss: 1) the carrying amount of the transferred financial asset at the derecognition date; 2) the sum of consideration received from the transfer of the financial asset, and the accumulative amount of the changes of the fair value originally included in other comprehensive income proportionate to the derecognized financial asset (financial assets transferred refer to debt instrument investments at fair value through other comprehensive income). If a part of the financial asset has been transferred and the transfer qualifies for derecognition, the entire carrying value of the transferred financial asset is, between the portion which is derecognized and the portion which is not, apportioned according to their respective relative fair value, and the difference between the following two amounts is included into profit or loss: 1) the carrying amount of the portion which is derecognized; 2) the sum of consideration of the portion which is derecognized, and the portion of the accumulative amount of the changes in the fair value originally included in other comprehensive income which is corresponding to the portion which is derecognized (financial assets transferred refer to debt instrument investments at fair value through other comprehensive income).</w:t>
      </w:r>
    </w:p>
    <w:p w14:paraId="523C378B"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(4) Fair value determination method of financial assets and financial liabilities</w:t>
      </w:r>
    </w:p>
    <w:p w14:paraId="6B2BA031"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applies valuation techniques that are applicable in the current situation and are supported by sufficient available data and other information to determine the fair value of relevant financial assets and financial liabilities. The Company classifies the inputs of valuation techniques into the following levels and applies them accordingly:</w:t>
      </w:r>
    </w:p>
    <w:p w14:paraId="03AD69B2"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Level I inputs are the unadjusted price quoted in the active market of the same assets or liabilities which can be obtained at the measurement date;</w:t>
      </w:r>
    </w:p>
    <w:p w14:paraId="2EBC88BD"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Level II inputs are the directly or indirectly observable inputs of the related assets or liabilities, other than Level I inputs, including: the quoted price of similar assets or liabilities in the active market; the quoted price of the same or similar assets or liabilities in the non-active market; other observable inputs than the aforementioned quoted prices, such as observable interest rate and yield curve during normal quotation intervals; inputs validated in the market, etc.;</w:t>
      </w:r>
    </w:p>
    <w:p w14:paraId="11D6818C"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Level III inputs are the non-observable inputs of the related assets or liabilities, including the interest rate which are not directly observable or not validated by observable market data, stock fluctuation ratio, future cash flow of the retirement obligations undertaken in business combination, financial forecast made by using its own data, etc.</w:t>
      </w:r>
    </w:p>
    <w:p w14:paraId="6D3484E4"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(5) Impairment of financial instruments</w:t>
      </w:r>
    </w:p>
    <w:p w14:paraId="12DAFF0A"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Measurement and accounting treatment for impairment of financial instruments</w:t>
      </w:r>
    </w:p>
    <w:p w14:paraId="7676DECC"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on the basis of expected credit loss, recognizes loss allowances of financial assets at amortized cost, debt instrument investments at fair value through other comprehensive income, contract assets, leases receivable, loan commitments other than financial liabilities at fair value through profit or loss, financial guarantee contracts not belong to financial liabilities at fair value through profit or loss or financial liabilities that arise when a transfer of a financial asset does not qualify for derecognition or when the continuing involvement approach applies.</w:t>
      </w:r>
    </w:p>
    <w:p w14:paraId="494E32D7"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Expected credit losses refer to the weighted average of credit losses with the respective risks of a default occurring as the weights. Credit loss refers to the difference between all contractual cash flows that are due to the Company in accordance with the contract and all the cash flows that the Company expects to receive (i.e. all cash shortfalls), discounted at the original effective interest rate. Among which, purchased or originated credit-impaired financial assets are discounted at the credit-adjusted effective interest rate.</w:t>
      </w:r>
    </w:p>
    <w:p w14:paraId="58015053"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At the balance sheet date, the Company shall only recognize the cumulative changes in the lifetime expected credit losses since initial recognition as a loss allowance for purchased or originated credit-impaired financial assets.</w:t>
      </w:r>
    </w:p>
    <w:p w14:paraId="45736169"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For receivables and contract assets resulting from transactions regulated in </w:t>
      </w:r>
      <w:r w:rsidRPr="00F73301">
        <w:rPr>
          <w:rFonts w:ascii="Times New Roman" w:eastAsia="宋体" w:hAnsi="Times New Roman" w:cs="Times New Roman"/>
          <w:i/>
          <w:iCs/>
          <w:kern w:val="0"/>
          <w:sz w:val="24"/>
          <w:szCs w:val="24"/>
        </w:rPr>
        <w:t>CASBE No. 14 - Revenues</w:t>
      </w:r>
      <w:r w:rsidRPr="00F73301">
        <w:rPr>
          <w:rFonts w:ascii="Times New Roman" w:eastAsia="宋体" w:hAnsi="Times New Roman" w:cs="Times New Roman"/>
          <w:kern w:val="0"/>
          <w:sz w:val="24"/>
          <w:szCs w:val="24"/>
        </w:rPr>
        <w:t>, which do not contain a significant financing component or in circumstances where the Company does not consider the financing components in contracts within one year, the Company chooses a simplified approach to measure the loss allowance at an amount equal to lifetime expected credit losses.</w:t>
      </w:r>
    </w:p>
    <w:p w14:paraId="766CCA24"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For financial assets other than the above, on each balance sheet date, the Company shall assess whether the credit risk on the financial instrument has increased significantly since initial recognition. The Company shall measure the loss allowance for the financial instrument at an amount equal to the lifetime expected credit losses if the credit risk on that financial instrument has increased significantly since initial recognition; otherwise, the Company shall measure the loss allowance for that financial instrument at an amount equal to 12-month expected credit loss.</w:t>
      </w:r>
    </w:p>
    <w:p w14:paraId="4693AE7B"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Considering reasonable and supportable forward-looking information, the Company compares the risk of a default occurring on the financial instrument as at the balance sheet date with the risk of a default occurring on the financial instrument as at the date of initial recognition, so as to assess whether the credit risk on the financial instrument has increased significantly since initial recognition.</w:t>
      </w:r>
    </w:p>
    <w:p w14:paraId="2A9971A3"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may assume that the credit risk on a financial instrument has not increased significantly since initial recognition if the financial instrument is determined to have relatively low credit risk at the balance sheet date.</w:t>
      </w:r>
    </w:p>
    <w:p w14:paraId="5BA94298"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shall estimate expected credit risk and measure expected credit losses on an individual or a collective basis. When the Company adopts the collective basis, financial instruments are grouped with similar credit risk features.</w:t>
      </w:r>
    </w:p>
    <w:p w14:paraId="076CACE5"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shall remeasure expected credit loss on each balance sheet date, and increased or reversed amounts of loss allowance arising therefrom shall be included into profit or loss as impairment losses or gains. For a financial asset measured at amortized cost, the loss allowance reduces the carrying amount of such financial asset presented in the balance sheet; for a debt investment measured at fair value through other comprehensive income, the loss allowance shall be recognized in other comprehensive income and shall not reduce the carrying amount of such financial asset.</w:t>
      </w:r>
    </w:p>
    <w:p w14:paraId="6F318157" w14:textId="77777777" w:rsidR="00F73301" w:rsidRPr="00F73301" w:rsidRDefault="00F73301" w:rsidP="00FC242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Financial instruments with expected credit risk assessed on a collective basis and expected credit losses measured with Phase III models</w:t>
      </w:r>
    </w:p>
    <w:tbl>
      <w:tblPr>
        <w:tblW w:w="5000" w:type="pct"/>
        <w:jc w:val="center"/>
        <w:tblCellMar>
          <w:left w:w="57" w:type="dxa"/>
          <w:right w:w="57" w:type="dxa"/>
        </w:tblCellMar>
        <w:tblLook w:val="04A0" w:firstRow="1" w:lastRow="0" w:firstColumn="1" w:lastColumn="0" w:noHBand="0" w:noVBand="1"/>
      </w:tblPr>
      <w:tblGrid>
        <w:gridCol w:w="3321"/>
        <w:gridCol w:w="3198"/>
        <w:gridCol w:w="3098"/>
      </w:tblGrid>
      <w:tr w:rsidR="00F73301" w:rsidRPr="00F73301" w14:paraId="6F512383" w14:textId="77777777" w:rsidTr="0001208F">
        <w:trPr>
          <w:tblHeader/>
          <w:jc w:val="center"/>
        </w:trPr>
        <w:tc>
          <w:tcPr>
            <w:tcW w:w="17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BD0A1" w14:textId="77777777" w:rsidR="00F73301" w:rsidRPr="00F73301" w:rsidRDefault="00F73301" w:rsidP="008C49B7">
            <w:pPr>
              <w:widowControl/>
              <w:snapToGrid w:val="0"/>
              <w:ind w:firstLine="21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Item</w:t>
            </w:r>
          </w:p>
        </w:tc>
        <w:tc>
          <w:tcPr>
            <w:tcW w:w="16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BF8B39"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Basis for determination of portfolio</w:t>
            </w:r>
          </w:p>
        </w:tc>
        <w:tc>
          <w:tcPr>
            <w:tcW w:w="1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4D08A2"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Method for measuring expected credit loss</w:t>
            </w:r>
          </w:p>
        </w:tc>
      </w:tr>
      <w:tr w:rsidR="00F73301" w:rsidRPr="00F73301" w14:paraId="6788CC4D" w14:textId="77777777" w:rsidTr="0001208F">
        <w:trPr>
          <w:jc w:val="center"/>
        </w:trPr>
        <w:tc>
          <w:tcPr>
            <w:tcW w:w="172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C51AD"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Other receivables - portfolio grouped with ages</w:t>
            </w:r>
          </w:p>
        </w:tc>
        <w:tc>
          <w:tcPr>
            <w:tcW w:w="1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621B4"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Ages</w:t>
            </w:r>
          </w:p>
        </w:tc>
        <w:tc>
          <w:tcPr>
            <w:tcW w:w="1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7D7A5"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xml:space="preserve">Based on historical credit loss experience, the current situation and the forecast of future economic conditions, the Company calculates expected credit loss through exposure at default and </w:t>
            </w:r>
            <w:r w:rsidRPr="00F73301">
              <w:rPr>
                <w:rFonts w:ascii="Times New Roman" w:eastAsia="宋体" w:hAnsi="Times New Roman" w:cs="Times New Roman"/>
                <w:kern w:val="0"/>
                <w:sz w:val="18"/>
                <w:szCs w:val="18"/>
              </w:rPr>
              <w:lastRenderedPageBreak/>
              <w:t>12-month or lifetime expected credit loss rate.</w:t>
            </w:r>
          </w:p>
        </w:tc>
      </w:tr>
    </w:tbl>
    <w:p w14:paraId="06128D61"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3) Receivables and contract assets with expected credit losses measured on a collective basis using a simplified measurement approach</w:t>
      </w:r>
    </w:p>
    <w:p w14:paraId="10C668D4"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Specific portfolios and method for measuring expected credit loss</w:t>
      </w:r>
    </w:p>
    <w:tbl>
      <w:tblPr>
        <w:tblW w:w="5000" w:type="pct"/>
        <w:jc w:val="center"/>
        <w:tblCellMar>
          <w:left w:w="57" w:type="dxa"/>
          <w:right w:w="57" w:type="dxa"/>
        </w:tblCellMar>
        <w:tblLook w:val="04A0" w:firstRow="1" w:lastRow="0" w:firstColumn="1" w:lastColumn="0" w:noHBand="0" w:noVBand="1"/>
      </w:tblPr>
      <w:tblGrid>
        <w:gridCol w:w="3161"/>
        <w:gridCol w:w="2878"/>
        <w:gridCol w:w="3578"/>
      </w:tblGrid>
      <w:tr w:rsidR="00F73301" w:rsidRPr="00F73301" w14:paraId="720656A1" w14:textId="77777777" w:rsidTr="0001208F">
        <w:trPr>
          <w:tblHeader/>
          <w:jc w:val="center"/>
        </w:trPr>
        <w:tc>
          <w:tcPr>
            <w:tcW w:w="16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05566" w14:textId="77777777" w:rsidR="00F73301" w:rsidRPr="00F73301" w:rsidRDefault="00F73301" w:rsidP="008C49B7">
            <w:pPr>
              <w:widowControl/>
              <w:snapToGrid w:val="0"/>
              <w:ind w:firstLine="21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Item</w:t>
            </w:r>
          </w:p>
        </w:tc>
        <w:tc>
          <w:tcPr>
            <w:tcW w:w="14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C8EF5D"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Basis for determination of portfolio</w:t>
            </w:r>
          </w:p>
        </w:tc>
        <w:tc>
          <w:tcPr>
            <w:tcW w:w="18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939D4D"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Method for measuring expected credit loss</w:t>
            </w:r>
          </w:p>
        </w:tc>
      </w:tr>
      <w:tr w:rsidR="00F73301" w:rsidRPr="00F73301" w14:paraId="01F182F2" w14:textId="77777777" w:rsidTr="0001208F">
        <w:trPr>
          <w:jc w:val="center"/>
        </w:trPr>
        <w:tc>
          <w:tcPr>
            <w:tcW w:w="16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65F83"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Bank acceptance receivable</w:t>
            </w:r>
          </w:p>
        </w:tc>
        <w:tc>
          <w:tcPr>
            <w:tcW w:w="149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1CB3"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Type of notes</w:t>
            </w:r>
          </w:p>
        </w:tc>
        <w:tc>
          <w:tcPr>
            <w:tcW w:w="185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88DF76"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Based on historical credit loss experience, the current situation and the forecast of future economic conditions, the Company calculates expected credit loss through exposure at default and lifetime expected credit loss rate.</w:t>
            </w:r>
          </w:p>
        </w:tc>
      </w:tr>
      <w:tr w:rsidR="00F73301" w:rsidRPr="00F73301" w14:paraId="2ACD3A98" w14:textId="77777777" w:rsidTr="0001208F">
        <w:trPr>
          <w:jc w:val="center"/>
        </w:trPr>
        <w:tc>
          <w:tcPr>
            <w:tcW w:w="16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91F8F"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Trade acceptance receivable</w:t>
            </w:r>
          </w:p>
        </w:tc>
        <w:tc>
          <w:tcPr>
            <w:tcW w:w="0" w:type="auto"/>
            <w:vMerge/>
            <w:tcBorders>
              <w:top w:val="nil"/>
              <w:left w:val="nil"/>
              <w:bottom w:val="single" w:sz="8" w:space="0" w:color="auto"/>
              <w:right w:val="single" w:sz="8" w:space="0" w:color="auto"/>
            </w:tcBorders>
            <w:vAlign w:val="center"/>
            <w:hideMark/>
          </w:tcPr>
          <w:p w14:paraId="0F7C79C9" w14:textId="77777777" w:rsidR="00F73301" w:rsidRPr="00F73301" w:rsidRDefault="00F73301" w:rsidP="008C49B7">
            <w:pPr>
              <w:snapToGrid w:val="0"/>
              <w:rPr>
                <w:rFonts w:ascii="Times New Roman" w:eastAsia="宋体"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14:paraId="3558CD6A"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21EE8F31" w14:textId="77777777" w:rsidTr="0001208F">
        <w:trPr>
          <w:jc w:val="center"/>
        </w:trPr>
        <w:tc>
          <w:tcPr>
            <w:tcW w:w="16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D9FF4"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Accounts receivable - portfolio grouped with ages</w:t>
            </w:r>
          </w:p>
        </w:tc>
        <w:tc>
          <w:tcPr>
            <w:tcW w:w="14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E191A"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Ages</w:t>
            </w:r>
          </w:p>
        </w:tc>
        <w:tc>
          <w:tcPr>
            <w:tcW w:w="18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5BC89"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Based on historical credit loss experience, the current situation and the forecast of future economic conditions, the Company prepares the comparison table of ages and lifetime expected credit loss rate of accounts receivable to calculate expected credit loss.</w:t>
            </w:r>
          </w:p>
        </w:tc>
      </w:tr>
    </w:tbl>
    <w:p w14:paraId="57F7FFD9"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b. Accounts receivable - comparison table of ages and lifetime expected credit loss rate of portfolio grouped with ages</w:t>
      </w:r>
    </w:p>
    <w:tbl>
      <w:tblPr>
        <w:tblW w:w="3879" w:type="pct"/>
        <w:jc w:val="center"/>
        <w:tblCellMar>
          <w:left w:w="57" w:type="dxa"/>
          <w:right w:w="57" w:type="dxa"/>
        </w:tblCellMar>
        <w:tblLook w:val="04A0" w:firstRow="1" w:lastRow="0" w:firstColumn="1" w:lastColumn="0" w:noHBand="0" w:noVBand="1"/>
      </w:tblPr>
      <w:tblGrid>
        <w:gridCol w:w="4920"/>
        <w:gridCol w:w="2541"/>
      </w:tblGrid>
      <w:tr w:rsidR="00F73301" w:rsidRPr="00F73301" w14:paraId="58AB2269" w14:textId="77777777" w:rsidTr="0001208F">
        <w:trPr>
          <w:tblHeader/>
          <w:jc w:val="center"/>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F18BF" w14:textId="16AE4FD4" w:rsidR="00F73301" w:rsidRPr="00F73301" w:rsidRDefault="00F73301" w:rsidP="008C49B7">
            <w:pPr>
              <w:widowControl/>
              <w:snapToGrid w:val="0"/>
              <w:ind w:right="-101"/>
              <w:rPr>
                <w:rFonts w:ascii="Times New Roman" w:eastAsia="宋体" w:hAnsi="Times New Roman" w:cs="Times New Roman"/>
                <w:kern w:val="0"/>
                <w:sz w:val="18"/>
                <w:szCs w:val="18"/>
              </w:rPr>
            </w:pPr>
            <w:r w:rsidRPr="00F73301">
              <w:rPr>
                <w:rFonts w:ascii="Times New Roman" w:eastAsia="宋体" w:hAnsi="Times New Roman" w:cs="Times New Roman"/>
                <w:i/>
                <w:iCs/>
                <w:kern w:val="0"/>
                <w:sz w:val="18"/>
                <w:szCs w:val="18"/>
              </w:rPr>
              <w:t>Ages</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054D53" w14:textId="77777777" w:rsidR="00F73301" w:rsidRPr="00F73301" w:rsidRDefault="00F73301" w:rsidP="008C49B7">
            <w:pPr>
              <w:widowControl/>
              <w:snapToGrid w:val="0"/>
              <w:ind w:left="-107" w:right="-122"/>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Accounts receivable</w:t>
            </w:r>
          </w:p>
          <w:p w14:paraId="7A743F3E" w14:textId="77777777" w:rsidR="00F73301" w:rsidRPr="00F73301" w:rsidRDefault="00F73301" w:rsidP="008C49B7">
            <w:pPr>
              <w:widowControl/>
              <w:snapToGrid w:val="0"/>
              <w:ind w:left="-107" w:right="-122"/>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Expected credit loss rate (%)</w:t>
            </w:r>
          </w:p>
        </w:tc>
      </w:tr>
      <w:tr w:rsidR="00F73301" w:rsidRPr="00F73301" w14:paraId="4389219E" w14:textId="77777777" w:rsidTr="0001208F">
        <w:trPr>
          <w:jc w:val="center"/>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3FDC5"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Within one year (inclusive, the same below)</w:t>
            </w:r>
          </w:p>
        </w:tc>
        <w:tc>
          <w:tcPr>
            <w:tcW w:w="2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B506D" w14:textId="77777777" w:rsidR="00F73301" w:rsidRPr="00F73301" w:rsidRDefault="00F73301" w:rsidP="008C49B7">
            <w:pPr>
              <w:widowControl/>
              <w:snapToGrid w:val="0"/>
              <w:ind w:left="-86" w:hanging="4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5.00</w:t>
            </w:r>
          </w:p>
        </w:tc>
      </w:tr>
      <w:tr w:rsidR="00F73301" w:rsidRPr="00F73301" w14:paraId="4A164829" w14:textId="77777777" w:rsidTr="0001208F">
        <w:trPr>
          <w:jc w:val="center"/>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B70D4"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One to two years</w:t>
            </w:r>
          </w:p>
        </w:tc>
        <w:tc>
          <w:tcPr>
            <w:tcW w:w="2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46B54" w14:textId="77777777" w:rsidR="00F73301" w:rsidRPr="00F73301" w:rsidRDefault="00F73301" w:rsidP="008C49B7">
            <w:pPr>
              <w:widowControl/>
              <w:snapToGrid w:val="0"/>
              <w:ind w:hanging="84"/>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10.00</w:t>
            </w:r>
          </w:p>
        </w:tc>
      </w:tr>
      <w:tr w:rsidR="00F73301" w:rsidRPr="00F73301" w14:paraId="25FECCEA" w14:textId="77777777" w:rsidTr="0001208F">
        <w:trPr>
          <w:jc w:val="center"/>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DB3425"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Two to three years</w:t>
            </w:r>
          </w:p>
        </w:tc>
        <w:tc>
          <w:tcPr>
            <w:tcW w:w="2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C54D2" w14:textId="77777777" w:rsidR="00F73301" w:rsidRPr="00F73301" w:rsidRDefault="00F73301" w:rsidP="008C49B7">
            <w:pPr>
              <w:widowControl/>
              <w:snapToGrid w:val="0"/>
              <w:ind w:hanging="84"/>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50.00</w:t>
            </w:r>
          </w:p>
        </w:tc>
      </w:tr>
      <w:tr w:rsidR="00F73301" w:rsidRPr="00F73301" w14:paraId="1EF9A94F" w14:textId="77777777" w:rsidTr="0001208F">
        <w:trPr>
          <w:jc w:val="center"/>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07F191"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Above three years</w:t>
            </w:r>
          </w:p>
        </w:tc>
        <w:tc>
          <w:tcPr>
            <w:tcW w:w="2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B293C" w14:textId="77777777" w:rsidR="00F73301" w:rsidRPr="00F73301" w:rsidRDefault="00F73301" w:rsidP="008C49B7">
            <w:pPr>
              <w:widowControl/>
              <w:snapToGrid w:val="0"/>
              <w:ind w:hanging="84"/>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100.00</w:t>
            </w:r>
          </w:p>
        </w:tc>
      </w:tr>
    </w:tbl>
    <w:p w14:paraId="6AE0EC40"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(6) Offsetting financial assets and financial liabilities</w:t>
      </w:r>
    </w:p>
    <w:p w14:paraId="51D44810"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Financial assets and financial liabilities are presented separately in the balance sheet and are not offset. However, the Company offsets a financial asset and a financial liability and presents the net amount in the balance sheet when, and only when, the Company: 1) currently has a legally enforceable right to set off the recognized amounts; and 2) intends either to settle on a net basis, or to realize the asset and settle the liability simultaneously.</w:t>
      </w:r>
    </w:p>
    <w:p w14:paraId="57DD6E8B"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For a transfer of a financial asset that does not qualify for derecognition, the Company does not offset the transferred asset and the associated liability.</w:t>
      </w:r>
    </w:p>
    <w:p w14:paraId="64E6B771"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19" w:name="_Toc989007"/>
      <w:r w:rsidRPr="00F73301">
        <w:rPr>
          <w:rFonts w:ascii="Times New Roman" w:eastAsia="宋体" w:hAnsi="Times New Roman" w:cs="Times New Roman"/>
          <w:b/>
          <w:bCs/>
          <w:sz w:val="24"/>
          <w:szCs w:val="24"/>
        </w:rPr>
        <w:t>10. Inventory</w:t>
      </w:r>
      <w:bookmarkEnd w:id="119"/>
    </w:p>
    <w:p w14:paraId="021847F1"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Classification of inventories</w:t>
      </w:r>
    </w:p>
    <w:p w14:paraId="788C8C83"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Inventories include finished goods or goods held for sale in the ordinary course of business, work in process in the production process, materials or supplies to be consumed in the production process, or the rendering of services.</w:t>
      </w:r>
    </w:p>
    <w:p w14:paraId="42F784F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Accounting method for dispatching inventories</w:t>
      </w:r>
    </w:p>
    <w:p w14:paraId="2CB5B10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Inventories dispatched from storage are accounted for with weighted average method at the end of each month.</w:t>
      </w:r>
    </w:p>
    <w:p w14:paraId="51545E0F"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Basis for determining net realizable value</w:t>
      </w:r>
    </w:p>
    <w:p w14:paraId="2CA95877"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At the balance sheet date, inventories are measured at the lower cost and net realizable value; provisions for inventory write-down are made on the excess of its cost over the net realizable value. </w:t>
      </w:r>
      <w:r w:rsidRPr="00F73301">
        <w:rPr>
          <w:rFonts w:ascii="Times New Roman" w:eastAsia="宋体" w:hAnsi="Times New Roman" w:cs="Times New Roman"/>
          <w:kern w:val="0"/>
          <w:sz w:val="24"/>
          <w:szCs w:val="24"/>
        </w:rPr>
        <w:lastRenderedPageBreak/>
        <w:t>The net realizable value of inventories held for sale is determined based on the amount of the estimated selling price less the estimated selling expenses and relevant taxes and surcharges in the ordinary course of business; the net realizable value of materials to be processed is determined based on the amount of the estimated selling price less the estimated costs of completion, selling expenses and relevant taxes and surcharges in the ordinary course of business; at the balance sheet date, when only part of the same item of inventories have agreed price, their net realizable value are determined separately and are compared with their costs to set the provision for inventory write-down to be made or reversed.</w:t>
      </w:r>
    </w:p>
    <w:p w14:paraId="77B3A019"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(4) Inventory system</w:t>
      </w:r>
    </w:p>
    <w:p w14:paraId="4111DB3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Perpetual inventory method is adopted.</w:t>
      </w:r>
    </w:p>
    <w:p w14:paraId="65148C3F"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(5) Amortization of low-value consumables and packing materials</w:t>
      </w:r>
    </w:p>
    <w:p w14:paraId="60554BF7"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Low-value consumables</w:t>
      </w:r>
    </w:p>
    <w:p w14:paraId="43501EF8"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Low-value consumables are amortized with one-off method.</w:t>
      </w:r>
    </w:p>
    <w:p w14:paraId="73C0DA9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Packing materials</w:t>
      </w:r>
    </w:p>
    <w:p w14:paraId="488E020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Packages are amortized with one-off method.</w:t>
      </w:r>
    </w:p>
    <w:p w14:paraId="0AEFE105"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20" w:name="_Toc989008"/>
      <w:r w:rsidRPr="00F73301">
        <w:rPr>
          <w:rFonts w:ascii="Times New Roman" w:eastAsia="宋体" w:hAnsi="Times New Roman" w:cs="Times New Roman"/>
          <w:b/>
          <w:bCs/>
          <w:sz w:val="24"/>
          <w:szCs w:val="24"/>
        </w:rPr>
        <w:t>11. Contract assets</w:t>
      </w:r>
      <w:bookmarkEnd w:id="120"/>
    </w:p>
    <w:p w14:paraId="2F982B93"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presents contract assets or contract liabilities in the balance sheet based on the relationship between its performance obligations and customers’ payments. Contract assets and contract liabilities under the same contract shall offset each other and be presented on a net basis.</w:t>
      </w:r>
    </w:p>
    <w:p w14:paraId="7BCC6710"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presents an unconditional right to consideration (i.e., only the passage of time is required before the consideration is due) as a receivable, and presents a right to consideration in exchange for goods that it has transferred to a customer (which is conditional on something other than the passage of time) as a contract asset.</w:t>
      </w:r>
    </w:p>
    <w:p w14:paraId="2BEA0871" w14:textId="38393276"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presents an obligation to transfer goods to a customer for which the Company has received consideration (or the amount is due) from the customer as a contract liability.</w:t>
      </w:r>
    </w:p>
    <w:p w14:paraId="4C52A87F"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21" w:name="_Toc989009"/>
      <w:r w:rsidRPr="00F73301">
        <w:rPr>
          <w:rFonts w:ascii="Times New Roman" w:eastAsia="宋体" w:hAnsi="Times New Roman" w:cs="Times New Roman"/>
          <w:b/>
          <w:bCs/>
          <w:sz w:val="24"/>
          <w:szCs w:val="24"/>
        </w:rPr>
        <w:t>12. Contract costs</w:t>
      </w:r>
      <w:bookmarkEnd w:id="121"/>
    </w:p>
    <w:p w14:paraId="1A16FAF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Assets related to contract costs include costs of obtaining a contract and costs to fulfill a contract.</w:t>
      </w:r>
    </w:p>
    <w:p w14:paraId="7EA7702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recognizes as an asset the incremental costs of obtaining a contract if those costs are expected to be recovered. The costs of obtaining a contract shall be included into profit or loss if the asset's amortization period is one year or less.</w:t>
      </w:r>
    </w:p>
    <w:p w14:paraId="7885B957"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If the costs incurred in fulfilling a contract are not within the scope of standards related to inventories, fixed assets or intangible assets, the Company shall recognize the costs to fulfill a contract as an asset if all the following criteria are satisfied:</w:t>
      </w:r>
    </w:p>
    <w:p w14:paraId="3D243B83"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The costs relate directly to a contract or to an anticipated contract, including direct labor, direct materials, manufacturing overhead cost (or a similar cost), cost that are explicitly chargeable to the customer under the contract, and other costs that are only related to the contract;</w:t>
      </w:r>
    </w:p>
    <w:p w14:paraId="320BE2A3"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The costs enhance resources of the Company that will be used in satisfying performance obligations in the future;</w:t>
      </w:r>
    </w:p>
    <w:p w14:paraId="0D025D16"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The costs are expected to be recovered.</w:t>
      </w:r>
    </w:p>
    <w:p w14:paraId="2EB9CE9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An asset related to contract costs shall be amortized on a systematic basis that is consistent with related goods or services, with amortization included into profit or loss.</w:t>
      </w:r>
    </w:p>
    <w:p w14:paraId="29382AAA"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shall make provision for impairment and recognize an impairment loss to the extent that the carrying amount of an asset related to contract costs exceeds the remaining amount of consideration that the Company expects to receive in exchange for the goods or services to which the asset relates less the costs expected to be incurred. The Company shall recognize a reversal of an impairment loss previously recognized in profit or loss when the impairment conditions no longer exist or have improved. The carrying amount of the asset after the reversal shall not exceed the amount that would have been determined on the reversal date if no provision for impairment had been made previously. </w:t>
      </w:r>
    </w:p>
    <w:p w14:paraId="6AC97620"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22" w:name="_Toc989010"/>
      <w:r w:rsidRPr="00F73301">
        <w:rPr>
          <w:rFonts w:ascii="Times New Roman" w:eastAsia="宋体" w:hAnsi="Times New Roman" w:cs="Times New Roman"/>
          <w:b/>
          <w:bCs/>
          <w:sz w:val="24"/>
          <w:szCs w:val="24"/>
        </w:rPr>
        <w:t>13. Long-term equity investment</w:t>
      </w:r>
      <w:bookmarkEnd w:id="122"/>
    </w:p>
    <w:p w14:paraId="4DC5969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Judgment criteria for joint control and significant influence</w:t>
      </w:r>
    </w:p>
    <w:p w14:paraId="302E3D13"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Joint control is the contractually agreed sharing of control of an arrangement, which exists only when decisions about the relevant activities require the unanimous consent of the parties sharing control. Significant influence is the power to participate in the financial and operating policy decisions of the investee but is not control or joint control of these policies.</w:t>
      </w:r>
    </w:p>
    <w:p w14:paraId="78E9DA2A"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Determination of investment cost</w:t>
      </w:r>
    </w:p>
    <w:p w14:paraId="3E637C69"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For business combination under common control, if the combining party considers that it makes payment in cash, transfers non-cash assets, assumes its liabilities, or issues equity securities on the date of combination, it regards the share of the carrying amount of the equity of the combined party included in the consolidated financial statements of the ultimate controlling party as the initial cost of the investment. The difference between the initial cost of the long-term equity investments and the carrying amount of the combination consideration paid or the par value of shares issued offsets capital reserve; if the balance of capital reserve is insufficient to offset, any excess is adjusted to retained earnings.</w:t>
      </w:r>
    </w:p>
    <w:p w14:paraId="09A8AB6E"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When long-term equity investments are obtained through business combination under common control achieved in stages, the Company determines whether it is "a bundled transaction". If it is "a bundled transaction", stages as a whole are considered as one transaction resulting in acquisition of control in accounting treatment. If it is not "a bundled transaction", on the date of combination, investment cost is initially recognized at the share of the carrying amount of net assets of the combined party included the consolidated financial statements of the ultimate controlling party. The difference between the initial investment cost of long-term equity investments at the acquisition date and the carrying amount of the previously held long-term equity investments plus the carrying amount of the consideration paid for the newly acquired equity is adjusted to capital reserve; if the balance of capital reserve is insufficient to offset, any excess is adjusted to retained earnings.</w:t>
      </w:r>
    </w:p>
    <w:p w14:paraId="26C541E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For business combinations not under common control, the fair value of the combination consideration paid by it on the acquisition date shall be its initial investment cost.</w:t>
      </w:r>
    </w:p>
    <w:p w14:paraId="787EE5F4"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When long-term equity investments are obtained through business combination not under common control achieved in stages, the Company determines whether they are stand-alone financial statements or consolidated financial statements in accounting treatment:</w:t>
      </w:r>
    </w:p>
    <w:p w14:paraId="3748BF1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In the case of stand-alone financial statements, investment cost is initially recognized at the carrying amount of the previously held long-term equity investments plus the carrying amount of the consideration paid for the newly acquired equity.</w:t>
      </w:r>
    </w:p>
    <w:p w14:paraId="7CD6F21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b. In the case of consolidated financial statements, the Company determines whether it is "a bundled transaction". If it is "a bundled transaction", stages as a whole are considered as one transaction resulting in acquisition of control in accounting treatment. If it is not "a bundled transaction", the carrying amount of the acquirer's previously held equity interest in the acquiree is remeasured at the acquisition-date fair value, and the difference between the fair value and the carrying amount is recognized in investment income; when the acquirer's previously held equity interest in the acquiree involves other comprehensive income under equity method, the related other comprehensive income is reclassified as income for the acquisition period, excluding other comprehensive income arising from changes in net liabilities or assets from remeasurement of defined benefit plan of the acquiree.</w:t>
      </w:r>
    </w:p>
    <w:p w14:paraId="5D11A941"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3) Except for business combination: If it is acquired by paying cash, the actual acquisition price shall be taken as its initial investment cost; if it is acquired by issuing equity securities, the fair value of the issued equity securities shall be taken as its initial investment cost; if it is acquired by means of debt restructuring, the initial investment cost shall be determined according to </w:t>
      </w:r>
      <w:r w:rsidRPr="00F73301">
        <w:rPr>
          <w:rFonts w:ascii="Times New Roman" w:eastAsia="宋体" w:hAnsi="Times New Roman" w:cs="Times New Roman"/>
          <w:i/>
          <w:iCs/>
          <w:kern w:val="0"/>
          <w:sz w:val="24"/>
          <w:szCs w:val="24"/>
        </w:rPr>
        <w:t>CASBE No. 12 - Debt Restructuring</w:t>
      </w:r>
      <w:r w:rsidRPr="00F73301">
        <w:rPr>
          <w:rFonts w:ascii="Times New Roman" w:eastAsia="宋体" w:hAnsi="Times New Roman" w:cs="Times New Roman"/>
          <w:kern w:val="0"/>
          <w:sz w:val="24"/>
          <w:szCs w:val="24"/>
        </w:rPr>
        <w:t xml:space="preserve">; if it is acquired by exchange of non-monetary assets, the initial investment cost shall be determined according to </w:t>
      </w:r>
      <w:r w:rsidRPr="00F73301">
        <w:rPr>
          <w:rFonts w:ascii="Times New Roman" w:eastAsia="宋体" w:hAnsi="Times New Roman" w:cs="Times New Roman"/>
          <w:i/>
          <w:iCs/>
          <w:kern w:val="0"/>
          <w:sz w:val="24"/>
          <w:szCs w:val="24"/>
        </w:rPr>
        <w:t>CASBE No. 7 - Exchange of Non-monetary Assets</w:t>
      </w:r>
      <w:r w:rsidRPr="00F73301">
        <w:rPr>
          <w:rFonts w:ascii="Times New Roman" w:eastAsia="宋体" w:hAnsi="Times New Roman" w:cs="Times New Roman"/>
          <w:kern w:val="0"/>
          <w:sz w:val="24"/>
          <w:szCs w:val="24"/>
        </w:rPr>
        <w:t>.</w:t>
      </w:r>
    </w:p>
    <w:p w14:paraId="09970140"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Method for subsequent measurement and recognition of profit or loss</w:t>
      </w:r>
    </w:p>
    <w:p w14:paraId="0117B78A"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For a long-term equity investment with a control relationship, it is accounted for with cost method; for a long-term equity investment with joint control or significant influence relationship, it is accounted for with equity method.</w:t>
      </w:r>
    </w:p>
    <w:p w14:paraId="05E8E0F5"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(4) Treatment method of investing in subsidiaries until loss of control right step by step through multiple transactions</w:t>
      </w:r>
    </w:p>
    <w:p w14:paraId="520AD6D8"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Stand-alone financial statements</w:t>
      </w:r>
    </w:p>
    <w:p w14:paraId="04E0F884"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The difference between the carrying amount of the disposed equity and the consideration obtained thereof is recognized in profit or loss. For the remaining equity, if it still has a significant impact on the investee or implements joint control with other parties, it shall be accounted for by the equity method; if it is no longer possible to exercise control, joint control or significant influence on the investee, accounting shall be carried out in accordance with the relevant provisions of </w:t>
      </w:r>
      <w:r w:rsidRPr="00F73301">
        <w:rPr>
          <w:rFonts w:ascii="Times New Roman" w:eastAsia="宋体" w:hAnsi="Times New Roman" w:cs="Times New Roman"/>
          <w:i/>
          <w:iCs/>
          <w:kern w:val="0"/>
          <w:sz w:val="24"/>
          <w:szCs w:val="24"/>
        </w:rPr>
        <w:t>CASBE No. 22 - Recognition and Measurement of Financial Instruments</w:t>
      </w:r>
      <w:r w:rsidRPr="00F73301">
        <w:rPr>
          <w:rFonts w:ascii="Times New Roman" w:eastAsia="宋体" w:hAnsi="Times New Roman" w:cs="Times New Roman"/>
          <w:kern w:val="0"/>
          <w:sz w:val="24"/>
          <w:szCs w:val="24"/>
        </w:rPr>
        <w:t>.</w:t>
      </w:r>
    </w:p>
    <w:p w14:paraId="45AAA496"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Consolidated financial statements</w:t>
      </w:r>
    </w:p>
    <w:p w14:paraId="3E78F704"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If the Company disposes of investment in subsidiaries in stages through multiple transactions until loss of control right and such stages as a whole are not considered as "a bundled transaction":</w:t>
      </w:r>
    </w:p>
    <w:p w14:paraId="41A93D34"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Before the Company's loss of control, the difference between the disposal consideration and the proportionate share of net assets in the disposed subsidiary from the acquisition date or combination date to the disposal date is adjusted to capital reserve (capital premium) and, if the balance of capital reserve is insufficient to offset, any excess is adjusted to retained earnings;</w:t>
      </w:r>
    </w:p>
    <w:p w14:paraId="149DCB2F"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When the Company loses control, the remained equity is remeasured at the loss-of-control-date fair value; The aggregated value of disposal consideration and the fair value of the remained equity, less the share of net assets in the disposed subsidiary held before the disposal from the acquisition date or combination date to the disposal date is recognized in investment income in the period when the Company loses control over such subsidiary, and meanwhile goodwill is offset correspondingly. Other comprehensive income related to equity investments in former subsidiary is reclassified as investment income upon the Company’s loss of control.</w:t>
      </w:r>
    </w:p>
    <w:p w14:paraId="0488950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b. If the Company disposes of investment in subsidiaries in stages through multiple transactions until loss of control right and such stages as a whole are considered as "a bundled transaction":</w:t>
      </w:r>
    </w:p>
    <w:p w14:paraId="06C9136B"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Stages as a whole are considered as one transaction resulting in loss of control in accounting treatment; However, before the Company loses control, the difference between the disposal consideration at each stage and the proportionate share of net assets in the disposed subsidiary is recognized as other comprehensive income in the consolidated financial statements and reclassified as profit or loss in the period when the Company loses control over such subsidiary.</w:t>
      </w:r>
    </w:p>
    <w:p w14:paraId="6AFAB15B"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23" w:name="_Toc989011"/>
      <w:r w:rsidRPr="00F73301">
        <w:rPr>
          <w:rFonts w:ascii="Times New Roman" w:eastAsia="宋体" w:hAnsi="Times New Roman" w:cs="Times New Roman"/>
          <w:b/>
          <w:bCs/>
          <w:sz w:val="24"/>
          <w:szCs w:val="24"/>
        </w:rPr>
        <w:t>14. Investment property</w:t>
      </w:r>
      <w:bookmarkEnd w:id="123"/>
    </w:p>
    <w:p w14:paraId="2E72E6D2"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Measurement model for investment property</w:t>
      </w:r>
    </w:p>
    <w:p w14:paraId="090DDC63"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Measurement with cost method</w:t>
      </w:r>
    </w:p>
    <w:p w14:paraId="73CC6A20"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Depreciation or amortization method</w:t>
      </w:r>
    </w:p>
    <w:p w14:paraId="04103541"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Investment property includes land use right of leased-out property and of property held for capital appreciation and buildings that have been leased out.</w:t>
      </w:r>
    </w:p>
    <w:p w14:paraId="7CD7BA2E"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The initial measurement of investment property is based on its cost, and subsequent measurement is made using the cost model, the depreciation or amortization method is the same as that of fixed assets and intangible assets.</w:t>
      </w:r>
    </w:p>
    <w:p w14:paraId="7B0E600F"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24" w:name="_Toc989012"/>
      <w:r w:rsidRPr="00F73301">
        <w:rPr>
          <w:rFonts w:ascii="Times New Roman" w:eastAsia="宋体" w:hAnsi="Times New Roman" w:cs="Times New Roman"/>
          <w:b/>
          <w:bCs/>
          <w:sz w:val="24"/>
          <w:szCs w:val="24"/>
        </w:rPr>
        <w:t>15. Fixed assets</w:t>
      </w:r>
      <w:bookmarkEnd w:id="124"/>
    </w:p>
    <w:p w14:paraId="71880845"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25" w:name="_Toc989013"/>
      <w:r w:rsidRPr="00F73301">
        <w:rPr>
          <w:rFonts w:ascii="Times New Roman" w:eastAsia="宋体" w:hAnsi="Times New Roman" w:cs="Times New Roman"/>
          <w:b/>
          <w:bCs/>
          <w:sz w:val="24"/>
          <w:szCs w:val="24"/>
        </w:rPr>
        <w:t>(1) Recognition conditions</w:t>
      </w:r>
      <w:bookmarkEnd w:id="125"/>
    </w:p>
    <w:p w14:paraId="0AB243C5"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Fixed assets are tangible assets held for producing goods or rendering services, for rental to others, or administrative purposes and are expected to be used during more than one accounting year. Fixed assets are recognized if, and only if, it is probable that future economic benefits associated with the assets will flow to the Company and the cost of the assets can be measured reliably.</w:t>
      </w:r>
    </w:p>
    <w:p w14:paraId="73DE840D"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26" w:name="_Toc989014"/>
      <w:r w:rsidRPr="00F73301">
        <w:rPr>
          <w:rFonts w:ascii="Times New Roman" w:eastAsia="宋体" w:hAnsi="Times New Roman" w:cs="Times New Roman"/>
          <w:b/>
          <w:bCs/>
          <w:sz w:val="24"/>
          <w:szCs w:val="24"/>
        </w:rPr>
        <w:t>(2) Depreciation method</w:t>
      </w:r>
      <w:bookmarkEnd w:id="126"/>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7925D56C" w14:textId="77777777" w:rsidTr="00454D40">
        <w:trPr>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31E962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Type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73431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Depreciation method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E28D6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Depreciable life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58329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Residual value rate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989F5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Annual depreciation rate</w:t>
            </w:r>
          </w:p>
        </w:tc>
      </w:tr>
      <w:tr w:rsidR="00F73301" w:rsidRPr="00F73301" w14:paraId="636A6197" w14:textId="77777777" w:rsidTr="00454D40">
        <w:trPr>
          <w:jc w:val="center"/>
        </w:trPr>
        <w:tc>
          <w:tcPr>
            <w:tcW w:w="1927" w:type="dxa"/>
            <w:tcBorders>
              <w:top w:val="single" w:sz="2" w:space="0" w:color="auto"/>
              <w:left w:val="single" w:sz="2" w:space="0" w:color="auto"/>
              <w:bottom w:val="single" w:sz="2" w:space="0" w:color="auto"/>
              <w:right w:val="single" w:sz="2" w:space="0" w:color="auto"/>
            </w:tcBorders>
            <w:vAlign w:val="center"/>
          </w:tcPr>
          <w:p w14:paraId="3B79840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Buildings and structures</w:t>
            </w:r>
          </w:p>
        </w:tc>
        <w:tc>
          <w:tcPr>
            <w:tcW w:w="1928" w:type="dxa"/>
            <w:tcBorders>
              <w:top w:val="single" w:sz="2" w:space="0" w:color="auto"/>
              <w:left w:val="single" w:sz="2" w:space="0" w:color="auto"/>
              <w:bottom w:val="single" w:sz="2" w:space="0" w:color="auto"/>
              <w:right w:val="single" w:sz="2" w:space="0" w:color="auto"/>
            </w:tcBorders>
            <w:vAlign w:val="center"/>
          </w:tcPr>
          <w:p w14:paraId="3FC9BFE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Straight-line method</w:t>
            </w:r>
          </w:p>
        </w:tc>
        <w:tc>
          <w:tcPr>
            <w:tcW w:w="1928" w:type="dxa"/>
            <w:tcBorders>
              <w:top w:val="single" w:sz="2" w:space="0" w:color="auto"/>
              <w:left w:val="single" w:sz="2" w:space="0" w:color="auto"/>
              <w:bottom w:val="single" w:sz="2" w:space="0" w:color="auto"/>
              <w:right w:val="single" w:sz="2" w:space="0" w:color="auto"/>
            </w:tcBorders>
            <w:vAlign w:val="center"/>
          </w:tcPr>
          <w:p w14:paraId="39D3DAD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20</w:t>
            </w:r>
          </w:p>
        </w:tc>
        <w:tc>
          <w:tcPr>
            <w:tcW w:w="1928" w:type="dxa"/>
            <w:tcBorders>
              <w:top w:val="single" w:sz="2" w:space="0" w:color="auto"/>
              <w:left w:val="single" w:sz="2" w:space="0" w:color="auto"/>
              <w:bottom w:val="single" w:sz="2" w:space="0" w:color="auto"/>
              <w:right w:val="single" w:sz="2" w:space="0" w:color="auto"/>
            </w:tcBorders>
            <w:vAlign w:val="center"/>
          </w:tcPr>
          <w:p w14:paraId="0F7EF6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14:paraId="14B0F31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4.75%</w:t>
            </w:r>
          </w:p>
        </w:tc>
      </w:tr>
      <w:tr w:rsidR="00F73301" w:rsidRPr="00F73301" w14:paraId="40961E50" w14:textId="77777777" w:rsidTr="00454D40">
        <w:trPr>
          <w:jc w:val="center"/>
        </w:trPr>
        <w:tc>
          <w:tcPr>
            <w:tcW w:w="1927" w:type="dxa"/>
            <w:tcBorders>
              <w:top w:val="single" w:sz="2" w:space="0" w:color="auto"/>
              <w:left w:val="single" w:sz="2" w:space="0" w:color="auto"/>
              <w:bottom w:val="single" w:sz="2" w:space="0" w:color="auto"/>
              <w:right w:val="single" w:sz="2" w:space="0" w:color="auto"/>
            </w:tcBorders>
            <w:vAlign w:val="center"/>
          </w:tcPr>
          <w:p w14:paraId="032ECC7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General equipment</w:t>
            </w:r>
          </w:p>
        </w:tc>
        <w:tc>
          <w:tcPr>
            <w:tcW w:w="1928" w:type="dxa"/>
            <w:tcBorders>
              <w:top w:val="single" w:sz="2" w:space="0" w:color="auto"/>
              <w:left w:val="single" w:sz="2" w:space="0" w:color="auto"/>
              <w:bottom w:val="single" w:sz="2" w:space="0" w:color="auto"/>
              <w:right w:val="single" w:sz="2" w:space="0" w:color="auto"/>
            </w:tcBorders>
            <w:vAlign w:val="center"/>
          </w:tcPr>
          <w:p w14:paraId="3566358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Straight-line method</w:t>
            </w:r>
          </w:p>
        </w:tc>
        <w:tc>
          <w:tcPr>
            <w:tcW w:w="1928" w:type="dxa"/>
            <w:tcBorders>
              <w:top w:val="single" w:sz="2" w:space="0" w:color="auto"/>
              <w:left w:val="single" w:sz="2" w:space="0" w:color="auto"/>
              <w:bottom w:val="single" w:sz="2" w:space="0" w:color="auto"/>
              <w:right w:val="single" w:sz="2" w:space="0" w:color="auto"/>
            </w:tcBorders>
            <w:vAlign w:val="center"/>
          </w:tcPr>
          <w:p w14:paraId="2D1FC55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36E2C13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14:paraId="341C668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31.67%-19.00%</w:t>
            </w:r>
          </w:p>
        </w:tc>
      </w:tr>
      <w:tr w:rsidR="00F73301" w:rsidRPr="00F73301" w14:paraId="5A5206A2" w14:textId="77777777" w:rsidTr="00454D40">
        <w:trPr>
          <w:jc w:val="center"/>
        </w:trPr>
        <w:tc>
          <w:tcPr>
            <w:tcW w:w="1927" w:type="dxa"/>
            <w:tcBorders>
              <w:top w:val="single" w:sz="2" w:space="0" w:color="auto"/>
              <w:left w:val="single" w:sz="2" w:space="0" w:color="auto"/>
              <w:bottom w:val="single" w:sz="2" w:space="0" w:color="auto"/>
              <w:right w:val="single" w:sz="2" w:space="0" w:color="auto"/>
            </w:tcBorders>
            <w:vAlign w:val="center"/>
          </w:tcPr>
          <w:p w14:paraId="5A15B1A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equipment</w:t>
            </w:r>
          </w:p>
        </w:tc>
        <w:tc>
          <w:tcPr>
            <w:tcW w:w="1928" w:type="dxa"/>
            <w:tcBorders>
              <w:top w:val="single" w:sz="2" w:space="0" w:color="auto"/>
              <w:left w:val="single" w:sz="2" w:space="0" w:color="auto"/>
              <w:bottom w:val="single" w:sz="2" w:space="0" w:color="auto"/>
              <w:right w:val="single" w:sz="2" w:space="0" w:color="auto"/>
            </w:tcBorders>
            <w:vAlign w:val="center"/>
          </w:tcPr>
          <w:p w14:paraId="0D4D8EF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Straight-line method</w:t>
            </w:r>
          </w:p>
        </w:tc>
        <w:tc>
          <w:tcPr>
            <w:tcW w:w="1928" w:type="dxa"/>
            <w:tcBorders>
              <w:top w:val="single" w:sz="2" w:space="0" w:color="auto"/>
              <w:left w:val="single" w:sz="2" w:space="0" w:color="auto"/>
              <w:bottom w:val="single" w:sz="2" w:space="0" w:color="auto"/>
              <w:right w:val="single" w:sz="2" w:space="0" w:color="auto"/>
            </w:tcBorders>
            <w:vAlign w:val="center"/>
          </w:tcPr>
          <w:p w14:paraId="73735DA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5-10</w:t>
            </w:r>
          </w:p>
        </w:tc>
        <w:tc>
          <w:tcPr>
            <w:tcW w:w="1928" w:type="dxa"/>
            <w:tcBorders>
              <w:top w:val="single" w:sz="2" w:space="0" w:color="auto"/>
              <w:left w:val="single" w:sz="2" w:space="0" w:color="auto"/>
              <w:bottom w:val="single" w:sz="2" w:space="0" w:color="auto"/>
              <w:right w:val="single" w:sz="2" w:space="0" w:color="auto"/>
            </w:tcBorders>
            <w:vAlign w:val="center"/>
          </w:tcPr>
          <w:p w14:paraId="2BDC65B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14:paraId="4136471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19.00%-9.50%</w:t>
            </w:r>
          </w:p>
        </w:tc>
      </w:tr>
      <w:tr w:rsidR="00F73301" w:rsidRPr="00F73301" w14:paraId="430673E2" w14:textId="77777777" w:rsidTr="00454D40">
        <w:trPr>
          <w:jc w:val="center"/>
        </w:trPr>
        <w:tc>
          <w:tcPr>
            <w:tcW w:w="1927" w:type="dxa"/>
            <w:tcBorders>
              <w:top w:val="single" w:sz="2" w:space="0" w:color="auto"/>
              <w:left w:val="single" w:sz="2" w:space="0" w:color="auto"/>
              <w:bottom w:val="single" w:sz="2" w:space="0" w:color="auto"/>
              <w:right w:val="single" w:sz="2" w:space="0" w:color="auto"/>
            </w:tcBorders>
            <w:vAlign w:val="center"/>
          </w:tcPr>
          <w:p w14:paraId="17D5676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Transport facilities</w:t>
            </w:r>
          </w:p>
        </w:tc>
        <w:tc>
          <w:tcPr>
            <w:tcW w:w="1928" w:type="dxa"/>
            <w:tcBorders>
              <w:top w:val="single" w:sz="2" w:space="0" w:color="auto"/>
              <w:left w:val="single" w:sz="2" w:space="0" w:color="auto"/>
              <w:bottom w:val="single" w:sz="2" w:space="0" w:color="auto"/>
              <w:right w:val="single" w:sz="2" w:space="0" w:color="auto"/>
            </w:tcBorders>
            <w:vAlign w:val="center"/>
          </w:tcPr>
          <w:p w14:paraId="70ED434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Straight-line method</w:t>
            </w:r>
          </w:p>
        </w:tc>
        <w:tc>
          <w:tcPr>
            <w:tcW w:w="1928" w:type="dxa"/>
            <w:tcBorders>
              <w:top w:val="single" w:sz="2" w:space="0" w:color="auto"/>
              <w:left w:val="single" w:sz="2" w:space="0" w:color="auto"/>
              <w:bottom w:val="single" w:sz="2" w:space="0" w:color="auto"/>
              <w:right w:val="single" w:sz="2" w:space="0" w:color="auto"/>
            </w:tcBorders>
            <w:vAlign w:val="center"/>
          </w:tcPr>
          <w:p w14:paraId="593B82C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4</w:t>
            </w:r>
          </w:p>
        </w:tc>
        <w:tc>
          <w:tcPr>
            <w:tcW w:w="1928" w:type="dxa"/>
            <w:tcBorders>
              <w:top w:val="single" w:sz="2" w:space="0" w:color="auto"/>
              <w:left w:val="single" w:sz="2" w:space="0" w:color="auto"/>
              <w:bottom w:val="single" w:sz="2" w:space="0" w:color="auto"/>
              <w:right w:val="single" w:sz="2" w:space="0" w:color="auto"/>
            </w:tcBorders>
            <w:vAlign w:val="center"/>
          </w:tcPr>
          <w:p w14:paraId="5B14700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14:paraId="3A1B43D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23.75%</w:t>
            </w:r>
          </w:p>
        </w:tc>
      </w:tr>
    </w:tbl>
    <w:p w14:paraId="69988AB4"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1C0E00EC"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27" w:name="_Toc989015"/>
      <w:r w:rsidRPr="00F73301">
        <w:rPr>
          <w:rFonts w:ascii="Times New Roman" w:eastAsia="宋体" w:hAnsi="Times New Roman" w:cs="Times New Roman"/>
          <w:b/>
          <w:bCs/>
          <w:sz w:val="24"/>
          <w:szCs w:val="24"/>
        </w:rPr>
        <w:t>(3) Recognition basis, pricing and depreciation method of fixed asset under finance lease</w:t>
      </w:r>
      <w:bookmarkEnd w:id="127"/>
    </w:p>
    <w:p w14:paraId="604615EE"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7BC42E23"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28" w:name="_Toc989016"/>
      <w:r w:rsidRPr="00F73301">
        <w:rPr>
          <w:rFonts w:ascii="Times New Roman" w:eastAsia="宋体" w:hAnsi="Times New Roman" w:cs="Times New Roman"/>
          <w:b/>
          <w:bCs/>
          <w:sz w:val="24"/>
          <w:szCs w:val="24"/>
        </w:rPr>
        <w:t>16. Construction in progress</w:t>
      </w:r>
      <w:bookmarkEnd w:id="128"/>
    </w:p>
    <w:p w14:paraId="302AFD63"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Construction in progress is recognized if, and only if, it is probable that future economic benefits associated with the item will flow to the Company and the cost of the item can be measured reliably. Construction in progress is measured at the actual cost incurred to reach its designed usable conditions.</w:t>
      </w:r>
    </w:p>
    <w:p w14:paraId="7C477E6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Construction in progress is transferred into fixed assets at its actual cost when it reaches the designed usable conditions. When the auditing of the construction in progress was not finished while reaching the designed usable conditions, it is transferred to fixed assets using estimated value first, and then adjusted accordingly when the actual cost is settled, but the accumulated depreciation is not to be adjusted retrospectively.</w:t>
      </w:r>
    </w:p>
    <w:p w14:paraId="5DCA1607"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29" w:name="_Toc989017"/>
      <w:r w:rsidRPr="00F73301">
        <w:rPr>
          <w:rFonts w:ascii="Times New Roman" w:eastAsia="宋体" w:hAnsi="Times New Roman" w:cs="Times New Roman"/>
          <w:b/>
          <w:bCs/>
          <w:sz w:val="24"/>
          <w:szCs w:val="24"/>
        </w:rPr>
        <w:t>17. Borrowing costs</w:t>
      </w:r>
      <w:bookmarkEnd w:id="129"/>
    </w:p>
    <w:p w14:paraId="2CBC0341"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Recognition principles for the capitalization of borrowing costs</w:t>
      </w:r>
    </w:p>
    <w:p w14:paraId="43D59FFE"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Where the borrowing costs incurred to the Company can be directly attributable to the acquisition and construction or production of assets eligible for capitalization, it is capitalized and included in the costs of relevant assets; other borrowing costs are recognized as expenses on the basis of the actual amount incurred, and are included in profit or loss.</w:t>
      </w:r>
    </w:p>
    <w:p w14:paraId="7567A2C5"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Period for capitalization of borrowing costs</w:t>
      </w:r>
    </w:p>
    <w:p w14:paraId="23DC550E"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When all the following conditions are met by the borrowing costs, capitalization will start: a. asset expenditure has occurred; b. borrowing costs have occurred; c. acquisition, construction or production activities have started in order to make the fixed asset be ready for the intended use or sale.</w:t>
      </w:r>
    </w:p>
    <w:p w14:paraId="56B7CCBB" w14:textId="53BE75FD"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If the acquisition, construction or production of an asset eligible for capitalization is continuously suspended for over three months for abnormal reasons, capitalization of the borrowing costs shall be suspended; borrowing costs incurred during the suspension shall be recognized as the current expenses until the acquisition, construction or production of the asset is resumed.</w:t>
      </w:r>
    </w:p>
    <w:p w14:paraId="6436092F"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When the assets with the purchase, construction or production meeting the capitalization conditions reach the expected available or marketable state, the borrowing cost ceases to be capitalized.</w:t>
      </w:r>
    </w:p>
    <w:p w14:paraId="080B3575"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Capitalization rate and capitalization amount of borrowing costs</w:t>
      </w:r>
    </w:p>
    <w:p w14:paraId="310E73C4"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For borrowings exclusively for the acquisition and construction or production of assets eligible for capitalization, the to-be-capitalized amount of interest is determined in light of the actual interest expenses incurred (including amortization of premium or discount based on effective interest method) of the special borrowings in the current period less the interest income on the unused borrowings as a deposit in the bank or as a temporary investment; where a general borrowing is used for the acquisition and construction or production of assets eligible for capitalization, the Company calculates and determines the to-be-capitalized amount of interests on the general borrowing by multiplying the weighted average asset disbursement of the part of the accumulative asset disbursements less the general borrowing by the capitalization rate of the general borrowing used.</w:t>
      </w:r>
    </w:p>
    <w:p w14:paraId="127BEAC4"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30" w:name="_Toc989018"/>
      <w:r w:rsidRPr="00F73301">
        <w:rPr>
          <w:rFonts w:ascii="Times New Roman" w:eastAsia="宋体" w:hAnsi="Times New Roman" w:cs="Times New Roman"/>
          <w:b/>
          <w:bCs/>
          <w:sz w:val="24"/>
          <w:szCs w:val="24"/>
        </w:rPr>
        <w:t>18. Right-of-use assets</w:t>
      </w:r>
      <w:bookmarkEnd w:id="130"/>
    </w:p>
    <w:p w14:paraId="36EA1C66"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At the commencement date, the Company recognizes a lease that has a lease term of 12 months or less as a short-term lease, which shall not contain a purchase option; the Company recognizes an ease as a lease of a low-value asset if the underlying asset is of low value when it is new. If the Company subleases an asset, or expects to sublease an asset, the head lease does not qualify as a lease of a low-value asset.</w:t>
      </w:r>
    </w:p>
    <w:p w14:paraId="4E503B90"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For all short-term leases and leases of low-value assets, lease payments are recognized as cost or profit or loss with straight-line method over the lease term.</w:t>
      </w:r>
    </w:p>
    <w:p w14:paraId="7709DA3A"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Apart from the above-mentioned short-term leases and leases of low-value assets with simplified approach, the Company recognizes right-of-use assets and lease liabilities at the commencement date.</w:t>
      </w:r>
    </w:p>
    <w:p w14:paraId="5005D7E2"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The right-of-use asset is measured at cost and the cost shall comprise: 1) the amount of the initial measurement of the lease liabilities; 2) any lease payments made at or before the commencement date, less any lease incentives received; 3) any initial direct costs incurred by the lessee; and 4) an estimate of costs to be incurred by the lessee in dismantling and removing the underlying asset, restoring the site on which it is located or restoring the underlying asset to the condition required by the terms and conditions of the lease.</w:t>
      </w:r>
    </w:p>
    <w:p w14:paraId="0B37D9D6"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The Company depreciates the right-of-use asset using the straight-line method. If it is reasonable to be certain that the ownership of the underlying asset can be acquired by the end of the lease term, the Company depreciates the right-of-use asset from the commencement date to the end of the useful life </w:t>
      </w:r>
      <w:r w:rsidRPr="00F73301">
        <w:rPr>
          <w:rFonts w:ascii="Times New Roman" w:eastAsia="宋体" w:hAnsi="Times New Roman" w:cs="Times New Roman"/>
          <w:kern w:val="0"/>
          <w:sz w:val="24"/>
          <w:szCs w:val="24"/>
        </w:rPr>
        <w:lastRenderedPageBreak/>
        <w:t>of the underlying asset. Otherwise, the Company depreciates the right-of-use asset from the commencement date to the earlier of the end of the useful life of the right-of-use asset or the end of the lease term.</w:t>
      </w:r>
    </w:p>
    <w:p w14:paraId="78ACAD52"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31" w:name="_Toc989019"/>
      <w:r w:rsidRPr="00F73301">
        <w:rPr>
          <w:rFonts w:ascii="Times New Roman" w:eastAsia="宋体" w:hAnsi="Times New Roman" w:cs="Times New Roman"/>
          <w:b/>
          <w:bCs/>
          <w:sz w:val="24"/>
          <w:szCs w:val="24"/>
        </w:rPr>
        <w:t>19. Intangible assets</w:t>
      </w:r>
      <w:bookmarkEnd w:id="131"/>
    </w:p>
    <w:p w14:paraId="1382270A"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32" w:name="_Toc989020"/>
      <w:r w:rsidRPr="00F73301">
        <w:rPr>
          <w:rFonts w:ascii="Times New Roman" w:eastAsia="宋体" w:hAnsi="Times New Roman" w:cs="Times New Roman"/>
          <w:b/>
          <w:bCs/>
          <w:sz w:val="24"/>
          <w:szCs w:val="24"/>
        </w:rPr>
        <w:t>(1) Pricing method, useful life and impairment test</w:t>
      </w:r>
      <w:bookmarkEnd w:id="132"/>
    </w:p>
    <w:p w14:paraId="0320750A"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Intangible assets, including land use rights, patent rights and non-patented technology, are initially measured at cost.</w:t>
      </w:r>
    </w:p>
    <w:p w14:paraId="0F36C246"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For intangible assets with finite useful lives, their amortization amounts are amortized within their useful lives systematically and reasonably; if it is unable to determine the expected realization pattern reliably, intangible assets are amortized by the straight-line method. The detailed period is as follows:</w:t>
      </w:r>
    </w:p>
    <w:tbl>
      <w:tblPr>
        <w:tblW w:w="3207" w:type="pct"/>
        <w:jc w:val="center"/>
        <w:tblCellMar>
          <w:left w:w="57" w:type="dxa"/>
          <w:right w:w="57" w:type="dxa"/>
        </w:tblCellMar>
        <w:tblLook w:val="04A0" w:firstRow="1" w:lastRow="0" w:firstColumn="1" w:lastColumn="0" w:noHBand="0" w:noVBand="1"/>
      </w:tblPr>
      <w:tblGrid>
        <w:gridCol w:w="3135"/>
        <w:gridCol w:w="3033"/>
      </w:tblGrid>
      <w:tr w:rsidR="00F73301" w:rsidRPr="00F73301" w14:paraId="14D24EC5" w14:textId="77777777" w:rsidTr="0001208F">
        <w:trPr>
          <w:tblHeader/>
          <w:jc w:val="center"/>
        </w:trPr>
        <w:tc>
          <w:tcPr>
            <w:tcW w:w="2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AF67" w14:textId="77777777" w:rsidR="00F73301" w:rsidRPr="00F73301" w:rsidRDefault="00F73301" w:rsidP="008C49B7">
            <w:pPr>
              <w:widowControl/>
              <w:snapToGrid w:val="0"/>
              <w:ind w:firstLine="210"/>
              <w:jc w:val="both"/>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Item</w:t>
            </w:r>
          </w:p>
        </w:tc>
        <w:tc>
          <w:tcPr>
            <w:tcW w:w="26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0E733"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Amortization period (years)</w:t>
            </w:r>
          </w:p>
        </w:tc>
      </w:tr>
      <w:tr w:rsidR="00F73301" w:rsidRPr="00F73301" w14:paraId="4FFABE90" w14:textId="77777777" w:rsidTr="0001208F">
        <w:trPr>
          <w:jc w:val="center"/>
        </w:trPr>
        <w:tc>
          <w:tcPr>
            <w:tcW w:w="27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49ABB" w14:textId="77777777" w:rsidR="00F73301" w:rsidRPr="00F73301" w:rsidRDefault="00F73301" w:rsidP="008C49B7">
            <w:pPr>
              <w:widowControl/>
              <w:snapToGrid w:val="0"/>
              <w:jc w:val="both"/>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Land use right</w:t>
            </w:r>
          </w:p>
        </w:tc>
        <w:tc>
          <w:tcPr>
            <w:tcW w:w="2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0E1FF"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50</w:t>
            </w:r>
          </w:p>
        </w:tc>
      </w:tr>
      <w:tr w:rsidR="00F73301" w:rsidRPr="00F73301" w14:paraId="59D636A2" w14:textId="77777777" w:rsidTr="0001208F">
        <w:trPr>
          <w:jc w:val="center"/>
        </w:trPr>
        <w:tc>
          <w:tcPr>
            <w:tcW w:w="27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D8CBA" w14:textId="77777777" w:rsidR="00F73301" w:rsidRPr="00F73301" w:rsidRDefault="00F73301" w:rsidP="008C49B7">
            <w:pPr>
              <w:widowControl/>
              <w:snapToGrid w:val="0"/>
              <w:jc w:val="both"/>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Software</w:t>
            </w:r>
          </w:p>
        </w:tc>
        <w:tc>
          <w:tcPr>
            <w:tcW w:w="2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CA36C"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5-10</w:t>
            </w:r>
          </w:p>
        </w:tc>
      </w:tr>
      <w:tr w:rsidR="00F73301" w:rsidRPr="00F73301" w14:paraId="0D84DA6D" w14:textId="77777777" w:rsidTr="0001208F">
        <w:trPr>
          <w:jc w:val="center"/>
        </w:trPr>
        <w:tc>
          <w:tcPr>
            <w:tcW w:w="27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ABADF" w14:textId="77777777" w:rsidR="00F73301" w:rsidRPr="00F73301" w:rsidRDefault="00F73301" w:rsidP="008C49B7">
            <w:pPr>
              <w:widowControl/>
              <w:snapToGrid w:val="0"/>
              <w:jc w:val="both"/>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Proprietary technology</w:t>
            </w:r>
          </w:p>
        </w:tc>
        <w:tc>
          <w:tcPr>
            <w:tcW w:w="2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FC491"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10</w:t>
            </w:r>
          </w:p>
        </w:tc>
      </w:tr>
    </w:tbl>
    <w:p w14:paraId="3CBC42DE"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1D5E0C20"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33" w:name="_Toc989021"/>
      <w:r w:rsidRPr="00F73301">
        <w:rPr>
          <w:rFonts w:ascii="Times New Roman" w:eastAsia="宋体" w:hAnsi="Times New Roman" w:cs="Times New Roman"/>
          <w:b/>
          <w:bCs/>
          <w:sz w:val="24"/>
          <w:szCs w:val="24"/>
        </w:rPr>
        <w:t>(2) Accounting policy for internal research and development expenditures</w:t>
      </w:r>
      <w:bookmarkEnd w:id="133"/>
    </w:p>
    <w:p w14:paraId="3C03FA6C"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Expenditures on the research phase of an internal project are recognized as profit or loss when they are incurred. An intangible asset arising from the development phase of an internal project is recognized if the Company can demonstrate all of the followings: 1) the technical feasibility of completing the intangible asset so that it will be available for use or sale; 2) its intention to complete the intangible asset and use or sell it; 3) how the intangible asset will generate probable future economic benefits, among other things, the Company can demonstrate the existence of a market for the output of the intangible asset or the intangible asset itself or, if it is to be used internally, the usefulness of the intangible asset; 4) the availability of adequate technical, financial and other resources to complete the development and to use or sell the intangible asset; and 5) its ability to measure the expenditure attributable to the intangible asset reliably during its development.</w:t>
      </w:r>
    </w:p>
    <w:p w14:paraId="7FAAD00E"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34" w:name="_Toc989022"/>
      <w:r w:rsidRPr="00F73301">
        <w:rPr>
          <w:rFonts w:ascii="Times New Roman" w:eastAsia="宋体" w:hAnsi="Times New Roman" w:cs="Times New Roman"/>
          <w:b/>
          <w:bCs/>
          <w:sz w:val="24"/>
          <w:szCs w:val="24"/>
        </w:rPr>
        <w:t>20. Impairment of long-term assets</w:t>
      </w:r>
      <w:bookmarkEnd w:id="134"/>
    </w:p>
    <w:p w14:paraId="56FCAC96"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For long-term assets such as long-term equity investments, fixed assets, construction in progress, right-of-use assets, and intangible assets with finite useful lives, the recoverable amount is to be estimated if there is an indication of impairment at the balance sheet date. For goodwill recognized in a business combination and intangible assets with indefinite useful lives, no matter whether there is an indication of impairment, an impairment test is performed annually. Impairment test on goodwill is performed on related asset group or asset group portfolio.</w:t>
      </w:r>
    </w:p>
    <w:p w14:paraId="3675C7F1"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When the recoverable amount of such long-term assets is lower than their carrying amount, the difference is recognized as a provision for assets impairment through profit or loss.</w:t>
      </w:r>
    </w:p>
    <w:p w14:paraId="5F842D09"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35" w:name="_Toc989023"/>
      <w:r w:rsidRPr="00F73301">
        <w:rPr>
          <w:rFonts w:ascii="Times New Roman" w:eastAsia="宋体" w:hAnsi="Times New Roman" w:cs="Times New Roman"/>
          <w:b/>
          <w:bCs/>
          <w:sz w:val="24"/>
          <w:szCs w:val="24"/>
        </w:rPr>
        <w:t>21. Long-term prepayments</w:t>
      </w:r>
      <w:bookmarkEnd w:id="135"/>
    </w:p>
    <w:p w14:paraId="6CC08CDB"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Long-term prepayments are expenses that have been recognized but with an amortization period of over one year (excluding one year). They are recorded with actual cost, and evenly amortized within the beneficiary period or stipulated period. If items of long-term prepayments fail to be beneficial to the following accounting periods, residual values of such items are included in profit or loss.</w:t>
      </w:r>
    </w:p>
    <w:p w14:paraId="31E89E8D"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36" w:name="_Toc989024"/>
      <w:r w:rsidRPr="00F73301">
        <w:rPr>
          <w:rFonts w:ascii="Times New Roman" w:eastAsia="宋体" w:hAnsi="Times New Roman" w:cs="Times New Roman"/>
          <w:b/>
          <w:bCs/>
          <w:sz w:val="24"/>
          <w:szCs w:val="24"/>
        </w:rPr>
        <w:lastRenderedPageBreak/>
        <w:t>22. Contract liabilities</w:t>
      </w:r>
      <w:bookmarkEnd w:id="136"/>
    </w:p>
    <w:p w14:paraId="44175DC4"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The Company presents contract assets or contract liabilities in the balance sheet based on the relationship between its performance obligations and customers’ payments. Contract assets and contract liabilities under the same contract shall offset each other and be presented on a net basis.</w:t>
      </w:r>
    </w:p>
    <w:p w14:paraId="4F74FA2D"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The Company presents an unconditional right to consideration (i.e., only the passage of time is required before the consideration is due) as a receivable, and presents a right to consideration in exchange for goods that it has transferred to a customer (which is conditional on something other than the passage of time) as a contract asset.</w:t>
      </w:r>
    </w:p>
    <w:p w14:paraId="55AE5F3F"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The Company presents an obligation to transfer goods to a customer for which the Company has received consideration (or the amount is due) from the customer as a contract liability.</w:t>
      </w:r>
    </w:p>
    <w:p w14:paraId="1D88D7FE"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37" w:name="_Toc989025"/>
      <w:r w:rsidRPr="00F73301">
        <w:rPr>
          <w:rFonts w:ascii="Times New Roman" w:eastAsia="宋体" w:hAnsi="Times New Roman" w:cs="Times New Roman"/>
          <w:b/>
          <w:bCs/>
          <w:sz w:val="24"/>
          <w:szCs w:val="24"/>
        </w:rPr>
        <w:t>23. Employee benefits</w:t>
      </w:r>
      <w:bookmarkEnd w:id="137"/>
    </w:p>
    <w:p w14:paraId="25D2F887"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38" w:name="_Toc989026"/>
      <w:r w:rsidRPr="00F73301">
        <w:rPr>
          <w:rFonts w:ascii="Times New Roman" w:eastAsia="宋体" w:hAnsi="Times New Roman" w:cs="Times New Roman"/>
          <w:b/>
          <w:bCs/>
          <w:sz w:val="24"/>
          <w:szCs w:val="24"/>
        </w:rPr>
        <w:t>(1) Accounting treatment of short-term compensation</w:t>
      </w:r>
      <w:bookmarkEnd w:id="138"/>
    </w:p>
    <w:p w14:paraId="299510EF"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recognizes, in the accounting period in which an employee provides service, short- term employee benefits actually incurred as liabilities, with a corresponding charge to profit or loss or the cost of a relevant asset.</w:t>
      </w:r>
    </w:p>
    <w:p w14:paraId="56B77C03"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39" w:name="_Toc989027"/>
      <w:r w:rsidRPr="00F73301">
        <w:rPr>
          <w:rFonts w:ascii="Times New Roman" w:eastAsia="宋体" w:hAnsi="Times New Roman" w:cs="Times New Roman"/>
          <w:b/>
          <w:bCs/>
          <w:sz w:val="24"/>
          <w:szCs w:val="24"/>
        </w:rPr>
        <w:t>(2) Accounting treatment of termination benefits</w:t>
      </w:r>
      <w:bookmarkEnd w:id="139"/>
    </w:p>
    <w:p w14:paraId="581D5B1A"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classifies termination benefit plans as either defined contribution plans or defined benefit plans.</w:t>
      </w:r>
    </w:p>
    <w:p w14:paraId="793CD061"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The Company recognizes, in the accounting period in which an employee provides service, the contribution payable to a defined contribution plan as a liability, with a corresponding charge to profit or loss or the cost of a relevant asset.</w:t>
      </w:r>
    </w:p>
    <w:p w14:paraId="2D13149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Accounting treatment by the Company for a defined benefit plan usually involves the following steps:</w:t>
      </w:r>
    </w:p>
    <w:p w14:paraId="5008FE47"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Based on the projected unit credit method, the Company estimates related demographic variables and financial variables with unbiased and mutually compatible actuarial assumptions, measures the obligations under the defined benefit plan, and determines the terms of the relevant obligations. Meanwhile, the Company discounts the obligations under the defined benefit plan to determine the present value of the obligations under the defined benefit plan and the service cost in the period concerned.</w:t>
      </w:r>
    </w:p>
    <w:p w14:paraId="040FD073"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b. When there are assets under a defined benefit plan, the deficit or surplus formed by present value of obligations under the defined benefit plan minus the fair value of assets under the defined benefit plan is recognized as one net liability or net asset under the defined benefit plan. When there is a surplus under a defined benefit plan, the Company measures the net assets under the defined benefit plan by whichever is lower of the surplus under the defined benefit plan or the asset ceiling;</w:t>
      </w:r>
    </w:p>
    <w:p w14:paraId="6DBC7968"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c. At the end of the period, the Company recognizes the following components of employee benefits cost arising from defined benefit plan: a) service cost; b) net interest on the net defined benefit plan liability (asset); and c) changes as a result of remeasurement of the net defined benefit liability (asset). Specifically, a) and b) are recognized in profit or loss or the cost of a relevant asset, and c) is recognized in other comprehensive income and is not to be reclassified subsequently to profit or loss. However, the Company may transfer those amounts recognized in other comprehensive income within equity.</w:t>
      </w:r>
    </w:p>
    <w:p w14:paraId="728A7C5F"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40" w:name="_Toc989028"/>
      <w:r w:rsidRPr="00F73301">
        <w:rPr>
          <w:rFonts w:ascii="Times New Roman" w:eastAsia="宋体" w:hAnsi="Times New Roman" w:cs="Times New Roman"/>
          <w:b/>
          <w:bCs/>
          <w:sz w:val="24"/>
          <w:szCs w:val="24"/>
        </w:rPr>
        <w:lastRenderedPageBreak/>
        <w:t>(3) Accounting treatment of the termination benefits</w:t>
      </w:r>
      <w:bookmarkEnd w:id="140"/>
    </w:p>
    <w:p w14:paraId="45D23070"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Termination benefits provided to employees are recognized as an employee benefit liability for termination benefits, with a corresponding charge to profit or loss at the earlier of the following dates: 1) when the Company cannot unilaterally withdraw the offer of termination benefits because of an employment termination plan or a curtailment proposal; 2) when the Company recognizes costs or expenses relating to the restructure of payments of dismissal benefits.</w:t>
      </w:r>
    </w:p>
    <w:p w14:paraId="2B991021"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41" w:name="_Toc989029"/>
      <w:r w:rsidRPr="00F73301">
        <w:rPr>
          <w:rFonts w:ascii="Times New Roman" w:eastAsia="宋体" w:hAnsi="Times New Roman" w:cs="Times New Roman"/>
          <w:b/>
          <w:bCs/>
          <w:sz w:val="24"/>
          <w:szCs w:val="24"/>
        </w:rPr>
        <w:t>(4) Accounting treatment of the benefits of other long-term staffs</w:t>
      </w:r>
      <w:bookmarkEnd w:id="141"/>
    </w:p>
    <w:p w14:paraId="2A0C9ADB"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When other long-term employee benefits provided to the employees satisfied the conditions for classifying as a defined contribution plan, those benefits are accounted for in accordance with the requirements relating to defined contribution plan, while other benefits are accounted for in accordance with the requirements relating to defined benefit plan. The Company recognizes the cost of employee benefits arising from other long-term employee benefits as the followings: (1) service cost; (2) net interest on the net liability or net assets of other long-term employee benefits; and (3) changes as a result of remeasurement of the net liability or net assets of other long-term employee benefits. As a practical expedient, the net total of the aforesaid amounts is recognized in profit or loss or included in the cost of a relevant asset.</w:t>
      </w:r>
    </w:p>
    <w:p w14:paraId="409D875E"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42" w:name="_Toc989030"/>
      <w:r w:rsidRPr="00F73301">
        <w:rPr>
          <w:rFonts w:ascii="Times New Roman" w:eastAsia="宋体" w:hAnsi="Times New Roman" w:cs="Times New Roman"/>
          <w:b/>
          <w:bCs/>
          <w:sz w:val="24"/>
          <w:szCs w:val="24"/>
        </w:rPr>
        <w:t>24. Lease liabilities</w:t>
      </w:r>
      <w:bookmarkEnd w:id="142"/>
    </w:p>
    <w:p w14:paraId="765F09BF"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At the commencement date, the Company measures the lease liabilities at the present value of the lease payments that are not paid at that date, discounted using the interest rate implicit in the lease. If that rate cannot be readily determined, the Company’s incremental borrowing rate shall be used. Unrecognized financing expenses, calculated at the difference between the lease payment and its present value, are recognized as interest expenses over the lease term using the discount rate which has been used to determine the present value of lease payment and included in profit or loss. Variable lease payments not included in the measurement of lease liabilities are included in profit or loss in the periods in which they are incurred.</w:t>
      </w:r>
    </w:p>
    <w:p w14:paraId="3705D41B"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After the commencement date, if there is a change in the following items: (1) actual fixed payments; (2) amounts expected to be payable under residual value guarantees; (3) an index or a rate used to determine lease payments; (4) assessment result or exercise of purchase option, extension option or termination option., the Company remeasures the lease liabilities based on the present value of lease payments after changes, and adjusts the carrying amount of the right-of-use asset accordingly. If the carrying amount of the right-of-use asset is reduced to zero but there shall be a further reduction in the lease liabilities, the remaining amount shall be recognized into profit or loss.</w:t>
      </w:r>
    </w:p>
    <w:p w14:paraId="75A6E30D"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43" w:name="_Toc989031"/>
      <w:r w:rsidRPr="00F73301">
        <w:rPr>
          <w:rFonts w:ascii="Times New Roman" w:eastAsia="宋体" w:hAnsi="Times New Roman" w:cs="Times New Roman"/>
          <w:b/>
          <w:bCs/>
          <w:sz w:val="24"/>
          <w:szCs w:val="24"/>
        </w:rPr>
        <w:t>25. Share-based payment</w:t>
      </w:r>
      <w:bookmarkEnd w:id="143"/>
    </w:p>
    <w:p w14:paraId="1E61625C"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Category of share-based payments</w:t>
      </w:r>
    </w:p>
    <w:p w14:paraId="190727FC"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Share-based payment consists of equity-settled share-based payment and cash-settled share-based payment.</w:t>
      </w:r>
    </w:p>
    <w:p w14:paraId="4295A9BE"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Relevant accounting processing for the implementation, modification and termination of share-based payment plans</w:t>
      </w:r>
    </w:p>
    <w:p w14:paraId="029DA489"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Equity-settled share-based payments</w:t>
      </w:r>
    </w:p>
    <w:p w14:paraId="74BDCC5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For equity-settled share-based payment transactions with employees, if the equity instruments granted vest immediately, the fair value of those equity instruments is measured at grant date and recognized as transaction cost or expense, with a corresponding adjustment in capital reserve; if the equity instruments granted do not vest until the counterparty completes a specified period of service, at the </w:t>
      </w:r>
      <w:r w:rsidRPr="00F73301">
        <w:rPr>
          <w:rFonts w:ascii="Times New Roman" w:eastAsia="宋体" w:hAnsi="Times New Roman" w:cs="Times New Roman"/>
          <w:kern w:val="0"/>
          <w:sz w:val="24"/>
          <w:szCs w:val="24"/>
        </w:rPr>
        <w:lastRenderedPageBreak/>
        <w:t>balance sheet date within the vesting period, the fair value of those equity instruments measured at grant date based on the best estimate of the number of equity instruments expected to vest is recognized as transaction cost or expense, with a corresponding adjustment in capital reserve.</w:t>
      </w:r>
    </w:p>
    <w:p w14:paraId="30545A9B"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For equity-settled share-based payment transactions with parties other than employees, if the fair value of the services received can be measured reliably, the fair value is measured at the date the Company receives the service; if the fair value of the services received cannot be measured reliably, but that of equity instruments can be measured reliably, the fair value of the equity instruments granted measured at the date the Company receives the service is referred to, and recognized as transaction cost or expense, with a corresponding increase in equity.</w:t>
      </w:r>
    </w:p>
    <w:p w14:paraId="2F24BD9B"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Cash-settled share-based payments</w:t>
      </w:r>
    </w:p>
    <w:p w14:paraId="2F8AC039"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For cash-settled share-based payment transactions with employees, if share appreciation rights vest immediately, the fair value of the liability incurred as the acquisition of services is measured at grant date and recognized as transaction cost or expense, with a corresponding increase in liabilities; if share appreciation rights do not vest until the employees have completed a specified period of service, the liability is measured, at each balance sheet date until settled, at the fair value of the share appreciation rights measured at grant date based on the best estimate of the number of share appreciation right expected to vest.</w:t>
      </w:r>
    </w:p>
    <w:p w14:paraId="78FD072C"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Modification and termination of share-based payment plans</w:t>
      </w:r>
    </w:p>
    <w:p w14:paraId="1E09133B"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If the modification increases the fair value of the equity instruments granted, the Company includes the incremental fair value granted in the measurement of the amount recognized for services received as consideration for the equity instruments granted; similarly, if the modification increases the number of equity instruments granted, the Company includes the fair value of the additional equity instruments granted, in the measurement of the amount recognized for services received as consideration for the equity instruments granted; if the Company modifies the vesting conditions in a manner that is beneficial to the employee, the Company takes the modified vesting conditions into account.</w:t>
      </w:r>
    </w:p>
    <w:p w14:paraId="5D3375CE"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If the modification reduces the fair value of the equity instruments granted, the Company does not take into account that decrease in fair value and continue to measure the amount recognized for services received as consideration for the equity instruments based on the grant date fair value of the equity instruments granted; if the modification reduces the number of equity instruments granted to an employee, that reduction is accounted for as a cancellation of that portion of the grant; if the Company modifies the vesting conditions in a manner that is not beneficial to the employee, the Company does not take the modified vesting conditions into account.</w:t>
      </w:r>
    </w:p>
    <w:p w14:paraId="1A3B4298"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If the Company cancels or settles a grant of equity instruments during the vesting period (other than that cancelled when the vesting conditions are not satisfied), the Company accounts for the cancellation or settlement as an acceleration of vesting, and therefore recognizes immediately the amount that otherwise would have been recognized for services received over the remainder of the vesting period.</w:t>
      </w:r>
    </w:p>
    <w:p w14:paraId="6E768421"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44" w:name="_Toc989032"/>
      <w:r w:rsidRPr="00F73301">
        <w:rPr>
          <w:rFonts w:ascii="Times New Roman" w:eastAsia="宋体" w:hAnsi="Times New Roman" w:cs="Times New Roman"/>
          <w:b/>
          <w:bCs/>
          <w:sz w:val="24"/>
          <w:szCs w:val="24"/>
        </w:rPr>
        <w:t>26. Revenue</w:t>
      </w:r>
      <w:bookmarkEnd w:id="144"/>
    </w:p>
    <w:p w14:paraId="53B7C7B2"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Accounting policies adopted for recognition and measurement of revenue</w:t>
      </w:r>
    </w:p>
    <w:p w14:paraId="4C74CC1C"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Principles for revenue recognition</w:t>
      </w:r>
    </w:p>
    <w:p w14:paraId="37C71CD9"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At contract inception, the Company shall assess the contracts and shall identify each performance obligation in the contracts, and determine whether the performance obligation should be satisfied over time or at a point in time.</w:t>
      </w:r>
    </w:p>
    <w:p w14:paraId="6CAA8007"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The Company satisfies a performance obligation over time if one of the following criteria is met, otherwise, the performance obligation is satisfied at a point in time: 1) the customer simultaneously receives and consumes the economic benefits provided by the Company’s performance as the Company performs; 2) the customer can control goods as they are created by the Company’s performance; 3) goods created during the Company’s performance have irreplaceable uses and the Company has an enforceable right to the payments for performance completed to date during the whole contract period.</w:t>
      </w:r>
    </w:p>
    <w:p w14:paraId="63FE8C85"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For each performance obligation satisfied over time, the Company shall recognize revenue over time by measuring the progress towards complete satisfaction of that performance obligation. In the circumstance that the progress cannot be measured reasonably, but the costs incurred in satisfying the performance obligation are expected to be recovered, the Company shall recognize revenue only to the extent of the costs incurred until it can reasonably measure the progress. For each performance obligation satisfied at a point in time, the Company shall recognize revenue at the time point that the customer obtains control of relevant goods or services. To decide whether the customer has obtained the control over goods, the Company takes into account the following signs: 1) the Company has a present right to payments for the goods, i.e., the customer is presently obliged to pay for the goods; 2) the Company has transferred the legal title of the goods to the customer, i.e., the customer has legal title to the goods; 3) the Company has transferred physical possession of the goods to the customer, i.e., the customer has physically possessed the goods; 4) the Company has transferred significant risks and rewards of ownership of the goods to the customer, i.e., the customer has obtained significant risks and rewards of ownership of the goods; 5) the customer has accepted the goods; 6) other evidence indicating the customer has obtained control over the goods.</w:t>
      </w:r>
    </w:p>
    <w:p w14:paraId="3761AD73"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Principles for revenue measurement</w:t>
      </w:r>
    </w:p>
    <w:p w14:paraId="3947D42B"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The Company measures revenue on the basis of the transaction price allocated to each performance obligation. The transaction price is the amount of consideration to which the Company expects to be entitled in exchange for transferring goods or services to a customer, excluding amounts collected on behalf of third parties and those expected to be refunded to the customer.</w:t>
      </w:r>
    </w:p>
    <w:p w14:paraId="13A342BA"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If there is variable consideration in a contract, the Company shall determine the best estimate of the variable consideration according to the expected value or the most likely amount, but the transaction price including the variable consideration shall not exceed the amount that the cumulative recognized income will most likely not be significantly written-back when the relevant uncertainty is eliminated.</w:t>
      </w:r>
    </w:p>
    <w:p w14:paraId="79438985"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If there is a significant financing component in a contract, the Company shall determine the transaction price according to the amount payable in cash when the customer assumes control of the goods or services. The difference between the transaction price and the amount of promised consideration is amortized under effective interest method over contractual period. The effects of a significant financing component shall not be considered if the Company expects, at the contract inception, that the period between when the customer obtains control over goods or services and when the customer pays consideration will be one year or less.</w:t>
      </w:r>
    </w:p>
    <w:p w14:paraId="2EFFBD1C"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4) If a contract contains two or more performance obligations, the Company shall allocate the transaction price to each single performance obligation according to the relative proportion of the single selling price of the goods promised by each single performance obligation on the commencement date of the</w:t>
      </w:r>
    </w:p>
    <w:p w14:paraId="2406B683"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Specific methods for revenue recognition</w:t>
      </w:r>
    </w:p>
    <w:p w14:paraId="3094832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The Company is mainly engaged in sales of semiconductor components, semiconductor chips, semiconductor silicon wafers, etc. which is a performance obligation satisfied at a point in time. </w:t>
      </w:r>
      <w:r w:rsidRPr="00F73301">
        <w:rPr>
          <w:rFonts w:ascii="Times New Roman" w:eastAsia="宋体" w:hAnsi="Times New Roman" w:cs="Times New Roman"/>
          <w:kern w:val="0"/>
          <w:sz w:val="24"/>
          <w:szCs w:val="24"/>
        </w:rPr>
        <w:lastRenderedPageBreak/>
        <w:t>Revenue from domestic sales is recognized when the Company has delivered goods to the customer as agreed by contract, and the Company has collected the payments or has obtained the right to the payments, and related economic benefits are highly probable to flow to the Company. Revenue from overseas sales is recognized when the Company has declared goods to the customs based on contractual agreements and has obtained a bill of lading, and the Company has collected the payments or has obtained the right to the payments, and related economic benefits are highly probable to flow to the Company.</w:t>
      </w:r>
    </w:p>
    <w:p w14:paraId="4C79290B"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Differences in accounting policies for revenue recognition caused by different business models for the same type of business</w:t>
      </w:r>
    </w:p>
    <w:p w14:paraId="5F2860B6"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None</w:t>
      </w:r>
    </w:p>
    <w:p w14:paraId="2B131E87"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45" w:name="_Toc989033"/>
      <w:r w:rsidRPr="00F73301">
        <w:rPr>
          <w:rFonts w:ascii="Times New Roman" w:eastAsia="宋体" w:hAnsi="Times New Roman" w:cs="Times New Roman"/>
          <w:b/>
          <w:bCs/>
          <w:sz w:val="24"/>
          <w:szCs w:val="24"/>
        </w:rPr>
        <w:t>27. Government grants</w:t>
      </w:r>
      <w:bookmarkEnd w:id="145"/>
    </w:p>
    <w:p w14:paraId="1786F6EA"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Government grants shall be recognized if, and only if, the following conditions are all met: 1) The Company is able to satisfy all the conditions attached to such government grant; 2) The Company is able to receive the grants from the government. Monetary government grants are measured at the amount received or receivable. Non-monetary government grants were measured at fair value; if the fair value could not be reliably obtained, they were measured at the nominal amount.</w:t>
      </w:r>
    </w:p>
    <w:p w14:paraId="2FBB28A1"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Judgment basis and accounting treatment method for government grants related to assets</w:t>
      </w:r>
    </w:p>
    <w:p w14:paraId="3A12761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color w:val="000000"/>
          <w:kern w:val="0"/>
          <w:sz w:val="24"/>
          <w:szCs w:val="24"/>
        </w:rPr>
        <w:t>Government grants related to assets are government grants with which the Company purchases, constructs or otherwise acquires long-term assets under requirements of government. In the circumstances that there is no specific government requirement, the Company shall determine based on the primary condition to acquire the grants, and government grants related to assets are government grants whose primary condition is to construct or otherwise acquire long-term assets. They offset carrying amount of relevant assets, or they are recognized as deferred income. If recognized as deferred income, they are included in profit or loss on a systematic basis over the useful lives of the relevant assets. Those government grants measured at notional amount are directly included into profit or loss. For assets sold, transferred, disposed or damaged within the useful lives, balance of unamortized deferred income is transferred into profit or loss of the period in which the disposal occurred.</w:t>
      </w:r>
    </w:p>
    <w:p w14:paraId="714A1744"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Judgment basis and accounting treatment method for government grants related to income</w:t>
      </w:r>
    </w:p>
    <w:p w14:paraId="426B78A6"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color w:val="000000"/>
          <w:kern w:val="0"/>
          <w:sz w:val="24"/>
          <w:szCs w:val="24"/>
        </w:rPr>
        <w:t>Government grants related to income are government grants other than those related to assets. For government grants that contain both parts related to assets and parts related to income, in which those two parts are blurred, they are thus collectively classified as government grants related to income. For government grants related to income used for compensating the related future cost, expenses or losses, they are recognized as deferred income and included in profit or loss or used to offset relevant costs during the period in which the relevant cost, expenses or losses are recognized; for government grants related to income used for compensating the related cost, expenses or losses incurred to the Company, they are directly included in profit or loss or used to offset the relevant cost.</w:t>
      </w:r>
    </w:p>
    <w:p w14:paraId="30005657"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color w:val="000000"/>
          <w:kern w:val="0"/>
          <w:sz w:val="24"/>
          <w:szCs w:val="24"/>
        </w:rPr>
        <w:t>(4) Government grants related to the ordinary course of business shall be included into other income or used to offset relevant cost based on business nature, while those not related to the ordinary course of business shall be included into non-operating revenue or expenditures.</w:t>
      </w:r>
    </w:p>
    <w:p w14:paraId="17FD1FE0"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(5) Accounting treatment method for policy interest subvention</w:t>
      </w:r>
    </w:p>
    <w:p w14:paraId="64BC86C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1) In the circumstance that government appropriates interest subvention to a lending bank that provides loans for the Company with a policy subsidized interest rate, borrowings are carried at the </w:t>
      </w:r>
      <w:r w:rsidRPr="00F73301">
        <w:rPr>
          <w:rFonts w:ascii="Times New Roman" w:eastAsia="宋体" w:hAnsi="Times New Roman" w:cs="Times New Roman"/>
          <w:kern w:val="0"/>
          <w:sz w:val="24"/>
          <w:szCs w:val="24"/>
        </w:rPr>
        <w:lastRenderedPageBreak/>
        <w:t xml:space="preserve">amount received, with relevant borrowings cost computed based on the principal and the policy subsidized interest rate. </w:t>
      </w:r>
    </w:p>
    <w:p w14:paraId="2F8C49AE"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In the circumstance that government directly appropriates interest subvention to the Company, the subsidized interest shall offset relevant borrowing costs.</w:t>
      </w:r>
    </w:p>
    <w:p w14:paraId="33F35E92"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46" w:name="_Toc989034"/>
      <w:r w:rsidRPr="00F73301">
        <w:rPr>
          <w:rFonts w:ascii="Times New Roman" w:eastAsia="宋体" w:hAnsi="Times New Roman" w:cs="Times New Roman"/>
          <w:b/>
          <w:bCs/>
          <w:sz w:val="24"/>
          <w:szCs w:val="24"/>
        </w:rPr>
        <w:t>28. Deferred tax assets/deferred tax liabilities</w:t>
      </w:r>
      <w:bookmarkEnd w:id="146"/>
    </w:p>
    <w:p w14:paraId="1A7FD006"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Deferred tax assets or deferred tax liabilities are calculated and recognized based on the difference between the carrying amount and tax base of assets and liabilities (and the difference between the carrying amount and tax base of items not recognized as assets and liabilities but with their tax base being able to be determined according to tax laws) and in accordance with the tax rate applicable to the period during which the assets are expected to be recovered or the liabilities are expected to be settled.</w:t>
      </w:r>
    </w:p>
    <w:p w14:paraId="345C268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A deferred tax asset is recognized to the extent of the amount of the taxable income, which is most likely to obtain and which can be deducted from the deductible temporary difference. At the balance sheet date, if there is any exact evidence that it is probable that future taxable income will be available against which deductible temporary differences can be utilized, the deferred tax assets unrecognized in prior periods are recognized.</w:t>
      </w:r>
    </w:p>
    <w:p w14:paraId="4E3E2922"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At the balance sheet date, the carrying amount of deferred tax assets is reviewed. The carrying amount of a deferred tax asset is reduced to the extent that it is no longer probable that sufficient taxable income will be available to allow the benefit of the deferred tax asset to be utilized. Such reduction is subsequently reversed to the extent that it becomes probable that sufficient taxable income will be available.</w:t>
      </w:r>
    </w:p>
    <w:p w14:paraId="41BCEA5F"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(4) The income tax and deferred tax for the period are treated as income tax expenses or income through profit or loss, excluding those arising from the following circumstances: 1) business combination; and 2) the transactions or items directly recognized in equity.</w:t>
      </w:r>
    </w:p>
    <w:p w14:paraId="0778235E"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47" w:name="_Toc989035"/>
      <w:r w:rsidRPr="00F73301">
        <w:rPr>
          <w:rFonts w:ascii="Times New Roman" w:eastAsia="宋体" w:hAnsi="Times New Roman" w:cs="Times New Roman"/>
          <w:b/>
          <w:bCs/>
          <w:sz w:val="24"/>
          <w:szCs w:val="24"/>
        </w:rPr>
        <w:t>29. Leases</w:t>
      </w:r>
      <w:bookmarkEnd w:id="147"/>
    </w:p>
    <w:p w14:paraId="26F1935C"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48" w:name="_Toc989036"/>
      <w:r w:rsidRPr="00F73301">
        <w:rPr>
          <w:rFonts w:ascii="Times New Roman" w:eastAsia="宋体" w:hAnsi="Times New Roman" w:cs="Times New Roman"/>
          <w:b/>
          <w:bCs/>
          <w:sz w:val="24"/>
          <w:szCs w:val="24"/>
        </w:rPr>
        <w:t>(1) Accounting treatment of operating lease</w:t>
      </w:r>
      <w:bookmarkEnd w:id="148"/>
    </w:p>
    <w:p w14:paraId="1CAEEB78"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Lease receipts are recognized as lease income with straight-line method over the lease term. Initial direct costs incurred shall be capitalized, amortized on the same basis as the recognition of lease income, and included into profit or loss by installments. Variable lease payments related to operating lease which are not included in the lease payment are charged as profit or loss in the periods in which they are incurred.</w:t>
      </w:r>
    </w:p>
    <w:p w14:paraId="7D8C1329"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49" w:name="_Toc989037"/>
      <w:r w:rsidRPr="00F73301">
        <w:rPr>
          <w:rFonts w:ascii="Times New Roman" w:eastAsia="宋体" w:hAnsi="Times New Roman" w:cs="Times New Roman"/>
          <w:b/>
          <w:bCs/>
          <w:sz w:val="24"/>
          <w:szCs w:val="24"/>
        </w:rPr>
        <w:t>(2) Accounting treatment method of financial lease</w:t>
      </w:r>
      <w:bookmarkEnd w:id="149"/>
    </w:p>
    <w:p w14:paraId="01C8116C"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At the commencement date, the Company recognizes the finance lease payment receivable based on the net investment in the lease (sum of the present value of unguaranteed residual value and lease receipts that are not received at the commencement date, discounted by the interest rate implicit in the lease), and derecognizes assets held under the finance lease. The Company calculates and recognizes interest income using the interest rate implicit in the lease over the lease term.</w:t>
      </w:r>
    </w:p>
    <w:p w14:paraId="735103B8"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Variable lease payments not included in the measurement of the net investment in the lease are charged as profit or loss in the periods in which they are incurred.</w:t>
      </w:r>
    </w:p>
    <w:p w14:paraId="06089F7D"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50" w:name="_Toc989038"/>
      <w:r w:rsidRPr="00F73301">
        <w:rPr>
          <w:rFonts w:ascii="Times New Roman" w:eastAsia="宋体" w:hAnsi="Times New Roman" w:cs="Times New Roman"/>
          <w:b/>
          <w:bCs/>
          <w:sz w:val="24"/>
          <w:szCs w:val="24"/>
        </w:rPr>
        <w:t>30. Significant accounting policies and estimates</w:t>
      </w:r>
      <w:bookmarkEnd w:id="150"/>
    </w:p>
    <w:p w14:paraId="13DB2959"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51" w:name="_Toc989039"/>
      <w:r w:rsidRPr="00F73301">
        <w:rPr>
          <w:rFonts w:ascii="Times New Roman" w:eastAsia="宋体" w:hAnsi="Times New Roman" w:cs="Times New Roman"/>
          <w:b/>
          <w:bCs/>
          <w:sz w:val="24"/>
          <w:szCs w:val="24"/>
        </w:rPr>
        <w:t>(1) Change in accounting policies</w:t>
      </w:r>
      <w:bookmarkEnd w:id="151"/>
    </w:p>
    <w:p w14:paraId="59CDF1E1" w14:textId="4CC15276"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4CC52791"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52" w:name="_Toc989040"/>
      <w:r w:rsidRPr="00F73301">
        <w:rPr>
          <w:rFonts w:ascii="Times New Roman" w:eastAsia="宋体" w:hAnsi="Times New Roman" w:cs="Times New Roman"/>
          <w:b/>
          <w:bCs/>
          <w:sz w:val="24"/>
          <w:szCs w:val="24"/>
        </w:rPr>
        <w:lastRenderedPageBreak/>
        <w:t>(2) Changes in accounting estimates</w:t>
      </w:r>
      <w:bookmarkEnd w:id="152"/>
    </w:p>
    <w:p w14:paraId="428BD5EB" w14:textId="2F8553C2"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99A75F6"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53" w:name="_Toc989041"/>
      <w:r w:rsidRPr="00F73301">
        <w:rPr>
          <w:rFonts w:ascii="Times New Roman" w:eastAsia="宋体" w:hAnsi="Times New Roman" w:cs="Times New Roman"/>
          <w:b/>
          <w:bCs/>
          <w:sz w:val="24"/>
          <w:szCs w:val="24"/>
        </w:rPr>
        <w:t>(3) Information on the first implementation of the year-beginning financial statement after the first implementation of the adjustments in the new accounting standards in 2023</w:t>
      </w:r>
      <w:bookmarkEnd w:id="153"/>
    </w:p>
    <w:p w14:paraId="05AC0CD4" w14:textId="28EAF99E"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3474C5CE"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54" w:name="_Toc989042"/>
      <w:r w:rsidRPr="00F73301">
        <w:rPr>
          <w:rFonts w:ascii="Times New Roman" w:eastAsia="宋体" w:hAnsi="Times New Roman" w:cs="Times New Roman"/>
          <w:b/>
          <w:bCs/>
          <w:sz w:val="24"/>
          <w:szCs w:val="24"/>
        </w:rPr>
        <w:t>31. Others</w:t>
      </w:r>
      <w:bookmarkEnd w:id="154"/>
    </w:p>
    <w:p w14:paraId="7ED550CA"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Segment reporting</w:t>
      </w:r>
    </w:p>
    <w:p w14:paraId="5889573B"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Operating segments are determined based on the structure of the Company’s internal organization, management requirements and internal reporting system. An operating segment is a component of the Company:</w:t>
      </w:r>
    </w:p>
    <w:p w14:paraId="27E46A65"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(1) that engages in business activities from which it may earn revenues and incur expenses;</w:t>
      </w:r>
    </w:p>
    <w:p w14:paraId="00D2771E"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(2) of which the financial performance is regularly reviewed by the Management to make decisions about resources to be allocated to the segment and to assess its performance; and</w:t>
      </w:r>
    </w:p>
    <w:p w14:paraId="253065E2"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(3) for which accounting information regarding financial position, financial performance and cash flows is available through analysis.</w:t>
      </w:r>
    </w:p>
    <w:p w14:paraId="4CC15A7B" w14:textId="77777777" w:rsidR="00F73301" w:rsidRPr="00F73301" w:rsidRDefault="00F73301" w:rsidP="00454D40">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155" w:name="_Toc989043"/>
      <w:r w:rsidRPr="00F73301">
        <w:rPr>
          <w:rFonts w:ascii="Times New Roman" w:eastAsia="宋体" w:hAnsi="Times New Roman" w:cs="Times New Roman"/>
          <w:b/>
          <w:bCs/>
          <w:sz w:val="24"/>
          <w:szCs w:val="24"/>
        </w:rPr>
        <w:t>VI. Taxes</w:t>
      </w:r>
      <w:bookmarkEnd w:id="155"/>
    </w:p>
    <w:p w14:paraId="30B8FBAF"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56" w:name="_Toc989044"/>
      <w:r w:rsidRPr="00F73301">
        <w:rPr>
          <w:rFonts w:ascii="Times New Roman" w:eastAsia="宋体" w:hAnsi="Times New Roman" w:cs="Times New Roman"/>
          <w:b/>
          <w:bCs/>
          <w:sz w:val="24"/>
          <w:szCs w:val="24"/>
        </w:rPr>
        <w:t>1. Main taxes and tax rates</w:t>
      </w:r>
      <w:bookmarkEnd w:id="156"/>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047F26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9C466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Tax</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45075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Tax basis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36E04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Tax rate</w:t>
            </w:r>
          </w:p>
        </w:tc>
      </w:tr>
      <w:tr w:rsidR="00F73301" w:rsidRPr="00F73301" w14:paraId="46E204A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2BC3C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VAT</w:t>
            </w:r>
          </w:p>
        </w:tc>
        <w:tc>
          <w:tcPr>
            <w:tcW w:w="3213" w:type="dxa"/>
            <w:tcBorders>
              <w:top w:val="single" w:sz="2" w:space="0" w:color="auto"/>
              <w:left w:val="single" w:sz="2" w:space="0" w:color="auto"/>
              <w:bottom w:val="single" w:sz="2" w:space="0" w:color="auto"/>
              <w:right w:val="single" w:sz="2" w:space="0" w:color="auto"/>
            </w:tcBorders>
            <w:vAlign w:val="center"/>
          </w:tcPr>
          <w:p w14:paraId="4103232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Revenue from sales of goods and taxable services calculated according to the tax law are the basis calculation of output tax. After deducting the amount of input tax which is allowed to be deducted in the current period, the difference is the VAT payable.</w:t>
            </w:r>
          </w:p>
        </w:tc>
        <w:tc>
          <w:tcPr>
            <w:tcW w:w="3213" w:type="dxa"/>
            <w:tcBorders>
              <w:top w:val="single" w:sz="2" w:space="0" w:color="auto"/>
              <w:left w:val="single" w:sz="2" w:space="0" w:color="auto"/>
              <w:bottom w:val="single" w:sz="2" w:space="0" w:color="auto"/>
              <w:right w:val="single" w:sz="2" w:space="0" w:color="auto"/>
            </w:tcBorders>
            <w:vAlign w:val="center"/>
          </w:tcPr>
          <w:p w14:paraId="30696CC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13%</w:t>
            </w:r>
          </w:p>
          <w:p w14:paraId="577F3A0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The export tax rebate rate is 13%</w:t>
            </w:r>
          </w:p>
        </w:tc>
      </w:tr>
      <w:tr w:rsidR="00F73301" w:rsidRPr="00F73301" w14:paraId="16097D3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DA041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Urban maintenance and construction tax</w:t>
            </w:r>
          </w:p>
        </w:tc>
        <w:tc>
          <w:tcPr>
            <w:tcW w:w="3213" w:type="dxa"/>
            <w:tcBorders>
              <w:top w:val="single" w:sz="2" w:space="0" w:color="auto"/>
              <w:left w:val="single" w:sz="2" w:space="0" w:color="auto"/>
              <w:bottom w:val="single" w:sz="2" w:space="0" w:color="auto"/>
              <w:right w:val="single" w:sz="2" w:space="0" w:color="auto"/>
            </w:tcBorders>
            <w:vAlign w:val="center"/>
          </w:tcPr>
          <w:p w14:paraId="31DAC1E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Turnover tax actually paid</w:t>
            </w:r>
          </w:p>
        </w:tc>
        <w:tc>
          <w:tcPr>
            <w:tcW w:w="3213" w:type="dxa"/>
            <w:tcBorders>
              <w:top w:val="single" w:sz="2" w:space="0" w:color="auto"/>
              <w:left w:val="single" w:sz="2" w:space="0" w:color="auto"/>
              <w:bottom w:val="single" w:sz="2" w:space="0" w:color="auto"/>
              <w:right w:val="single" w:sz="2" w:space="0" w:color="auto"/>
            </w:tcBorders>
            <w:vAlign w:val="center"/>
          </w:tcPr>
          <w:p w14:paraId="304D06C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7%, 5%, 1%</w:t>
            </w:r>
          </w:p>
        </w:tc>
      </w:tr>
      <w:tr w:rsidR="00F73301" w:rsidRPr="00F73301" w14:paraId="7F4FE0E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15BC6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Enterprise income tax</w:t>
            </w:r>
          </w:p>
        </w:tc>
        <w:tc>
          <w:tcPr>
            <w:tcW w:w="3213" w:type="dxa"/>
            <w:tcBorders>
              <w:top w:val="single" w:sz="2" w:space="0" w:color="auto"/>
              <w:left w:val="single" w:sz="2" w:space="0" w:color="auto"/>
              <w:bottom w:val="single" w:sz="2" w:space="0" w:color="auto"/>
              <w:right w:val="single" w:sz="2" w:space="0" w:color="auto"/>
            </w:tcBorders>
            <w:vAlign w:val="center"/>
          </w:tcPr>
          <w:p w14:paraId="2DE9032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Amount of taxable income</w:t>
            </w:r>
          </w:p>
        </w:tc>
        <w:tc>
          <w:tcPr>
            <w:tcW w:w="3213" w:type="dxa"/>
            <w:tcBorders>
              <w:top w:val="single" w:sz="2" w:space="0" w:color="auto"/>
              <w:left w:val="single" w:sz="2" w:space="0" w:color="auto"/>
              <w:bottom w:val="single" w:sz="2" w:space="0" w:color="auto"/>
              <w:right w:val="single" w:sz="2" w:space="0" w:color="auto"/>
            </w:tcBorders>
            <w:vAlign w:val="center"/>
          </w:tcPr>
          <w:p w14:paraId="5F2A92D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15%, 20%, 25%</w:t>
            </w:r>
          </w:p>
        </w:tc>
      </w:tr>
      <w:tr w:rsidR="00F73301" w:rsidRPr="00F73301" w14:paraId="68AF624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673CA7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Property tax</w:t>
            </w:r>
          </w:p>
        </w:tc>
        <w:tc>
          <w:tcPr>
            <w:tcW w:w="3213" w:type="dxa"/>
            <w:tcBorders>
              <w:top w:val="single" w:sz="2" w:space="0" w:color="auto"/>
              <w:left w:val="single" w:sz="2" w:space="0" w:color="auto"/>
              <w:bottom w:val="single" w:sz="2" w:space="0" w:color="auto"/>
              <w:right w:val="single" w:sz="2" w:space="0" w:color="auto"/>
            </w:tcBorders>
            <w:vAlign w:val="center"/>
          </w:tcPr>
          <w:p w14:paraId="132C363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Housing property is levied at 1.2% of the remaining value after deducting 30% from the original value of the housing property; and tax levied from rent is levied at 12% of the rental income.</w:t>
            </w:r>
          </w:p>
        </w:tc>
        <w:tc>
          <w:tcPr>
            <w:tcW w:w="3213" w:type="dxa"/>
            <w:tcBorders>
              <w:top w:val="single" w:sz="2" w:space="0" w:color="auto"/>
              <w:left w:val="single" w:sz="2" w:space="0" w:color="auto"/>
              <w:bottom w:val="single" w:sz="2" w:space="0" w:color="auto"/>
              <w:right w:val="single" w:sz="2" w:space="0" w:color="auto"/>
            </w:tcBorders>
            <w:vAlign w:val="center"/>
          </w:tcPr>
          <w:p w14:paraId="2227B74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1.2%, 12%</w:t>
            </w:r>
          </w:p>
        </w:tc>
      </w:tr>
      <w:tr w:rsidR="00F73301" w:rsidRPr="00F73301" w14:paraId="1458AF3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B5A3A2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Education surcharge</w:t>
            </w:r>
          </w:p>
        </w:tc>
        <w:tc>
          <w:tcPr>
            <w:tcW w:w="3213" w:type="dxa"/>
            <w:tcBorders>
              <w:top w:val="single" w:sz="2" w:space="0" w:color="auto"/>
              <w:left w:val="single" w:sz="2" w:space="0" w:color="auto"/>
              <w:bottom w:val="single" w:sz="2" w:space="0" w:color="auto"/>
              <w:right w:val="single" w:sz="2" w:space="0" w:color="auto"/>
            </w:tcBorders>
            <w:vAlign w:val="center"/>
          </w:tcPr>
          <w:p w14:paraId="3F7697E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Turnover tax actually paid</w:t>
            </w:r>
          </w:p>
        </w:tc>
        <w:tc>
          <w:tcPr>
            <w:tcW w:w="3213" w:type="dxa"/>
            <w:tcBorders>
              <w:top w:val="single" w:sz="2" w:space="0" w:color="auto"/>
              <w:left w:val="single" w:sz="2" w:space="0" w:color="auto"/>
              <w:bottom w:val="single" w:sz="2" w:space="0" w:color="auto"/>
              <w:right w:val="single" w:sz="2" w:space="0" w:color="auto"/>
            </w:tcBorders>
            <w:vAlign w:val="center"/>
          </w:tcPr>
          <w:p w14:paraId="43AE64A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3%</w:t>
            </w:r>
          </w:p>
        </w:tc>
      </w:tr>
      <w:tr w:rsidR="00F73301" w:rsidRPr="00F73301" w14:paraId="23D9813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9479D1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Local education surcharge</w:t>
            </w:r>
          </w:p>
        </w:tc>
        <w:tc>
          <w:tcPr>
            <w:tcW w:w="3213" w:type="dxa"/>
            <w:tcBorders>
              <w:top w:val="single" w:sz="2" w:space="0" w:color="auto"/>
              <w:left w:val="single" w:sz="2" w:space="0" w:color="auto"/>
              <w:bottom w:val="single" w:sz="2" w:space="0" w:color="auto"/>
              <w:right w:val="single" w:sz="2" w:space="0" w:color="auto"/>
            </w:tcBorders>
            <w:vAlign w:val="center"/>
          </w:tcPr>
          <w:p w14:paraId="3B6149D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Turnover tax actually paid</w:t>
            </w:r>
          </w:p>
        </w:tc>
        <w:tc>
          <w:tcPr>
            <w:tcW w:w="3213" w:type="dxa"/>
            <w:tcBorders>
              <w:top w:val="single" w:sz="2" w:space="0" w:color="auto"/>
              <w:left w:val="single" w:sz="2" w:space="0" w:color="auto"/>
              <w:bottom w:val="single" w:sz="2" w:space="0" w:color="auto"/>
              <w:right w:val="single" w:sz="2" w:space="0" w:color="auto"/>
            </w:tcBorders>
            <w:vAlign w:val="center"/>
          </w:tcPr>
          <w:p w14:paraId="1E5AFE4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w:t>
            </w:r>
          </w:p>
        </w:tc>
      </w:tr>
    </w:tbl>
    <w:p w14:paraId="6A40221B"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Explanation of disclosure if different income tax rates apply to different corporate taxpayers</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0769D30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96945F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 of taxpayer</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6AD0A1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Income tax rate</w:t>
            </w:r>
          </w:p>
        </w:tc>
      </w:tr>
      <w:tr w:rsidR="00F73301" w:rsidRPr="00F73301" w14:paraId="78EBBDD3"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01D17AE1" w14:textId="1AB22F76" w:rsidR="00F73301" w:rsidRPr="00F73301" w:rsidRDefault="0066314B" w:rsidP="00F87479">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The Company, Chengdu </w:t>
            </w:r>
            <w:proofErr w:type="spellStart"/>
            <w:r>
              <w:rPr>
                <w:rFonts w:ascii="Times New Roman" w:eastAsia="宋体" w:hAnsi="Times New Roman" w:cs="Times New Roman"/>
                <w:sz w:val="18"/>
                <w:szCs w:val="18"/>
              </w:rPr>
              <w:t>Qingyang</w:t>
            </w:r>
            <w:proofErr w:type="spellEnd"/>
            <w:r w:rsidR="00F73301" w:rsidRPr="00F73301">
              <w:rPr>
                <w:rFonts w:ascii="Times New Roman" w:eastAsia="宋体" w:hAnsi="Times New Roman" w:cs="Times New Roman"/>
                <w:sz w:val="18"/>
                <w:szCs w:val="18"/>
              </w:rPr>
              <w:t>, J</w:t>
            </w:r>
            <w:r w:rsidR="00F87479">
              <w:rPr>
                <w:rFonts w:ascii="Times New Roman" w:eastAsia="宋体" w:hAnsi="Times New Roman" w:cs="Times New Roman"/>
                <w:sz w:val="18"/>
                <w:szCs w:val="18"/>
              </w:rPr>
              <w:t xml:space="preserve">&amp;V Semiconductor, </w:t>
            </w:r>
            <w:proofErr w:type="spellStart"/>
            <w:r w:rsidR="00F87479">
              <w:rPr>
                <w:rFonts w:ascii="Times New Roman" w:eastAsia="宋体" w:hAnsi="Times New Roman" w:cs="Times New Roman"/>
                <w:sz w:val="18"/>
                <w:szCs w:val="18"/>
              </w:rPr>
              <w:t>Yixing</w:t>
            </w:r>
            <w:proofErr w:type="spellEnd"/>
            <w:r w:rsidR="00F87479">
              <w:rPr>
                <w:rFonts w:ascii="Times New Roman" w:eastAsia="宋体" w:hAnsi="Times New Roman" w:cs="Times New Roman"/>
                <w:sz w:val="18"/>
                <w:szCs w:val="18"/>
              </w:rPr>
              <w:t xml:space="preserve"> </w:t>
            </w:r>
            <w:proofErr w:type="spellStart"/>
            <w:r w:rsidR="00F87479">
              <w:rPr>
                <w:rFonts w:ascii="Times New Roman" w:eastAsia="宋体" w:hAnsi="Times New Roman" w:cs="Times New Roman"/>
                <w:sz w:val="18"/>
                <w:szCs w:val="18"/>
              </w:rPr>
              <w:t>Jiexin</w:t>
            </w:r>
            <w:proofErr w:type="spellEnd"/>
            <w:r w:rsidR="00F73301" w:rsidRPr="00F73301">
              <w:rPr>
                <w:rFonts w:ascii="Times New Roman" w:eastAsia="宋体" w:hAnsi="Times New Roman" w:cs="Times New Roman"/>
                <w:sz w:val="18"/>
                <w:szCs w:val="18"/>
              </w:rPr>
              <w:t xml:space="preserve">, Jiangsu </w:t>
            </w:r>
            <w:proofErr w:type="spellStart"/>
            <w:r w:rsidR="00F73301" w:rsidRPr="00F73301">
              <w:rPr>
                <w:rFonts w:ascii="Times New Roman" w:eastAsia="宋体" w:hAnsi="Times New Roman" w:cs="Times New Roman"/>
                <w:sz w:val="18"/>
                <w:szCs w:val="18"/>
              </w:rPr>
              <w:t>Runau</w:t>
            </w:r>
            <w:proofErr w:type="spellEnd"/>
            <w:r w:rsidR="00F73301" w:rsidRPr="00F73301">
              <w:rPr>
                <w:rFonts w:ascii="Times New Roman" w:eastAsia="宋体" w:hAnsi="Times New Roman" w:cs="Times New Roman"/>
                <w:sz w:val="18"/>
                <w:szCs w:val="18"/>
              </w:rPr>
              <w:t xml:space="preserve">, Sichuan </w:t>
            </w:r>
            <w:proofErr w:type="spellStart"/>
            <w:r w:rsidR="00F73301" w:rsidRPr="00F73301">
              <w:rPr>
                <w:rFonts w:ascii="Times New Roman" w:eastAsia="宋体" w:hAnsi="Times New Roman" w:cs="Times New Roman"/>
                <w:sz w:val="18"/>
                <w:szCs w:val="18"/>
              </w:rPr>
              <w:t>Yajixin</w:t>
            </w:r>
            <w:proofErr w:type="spellEnd"/>
            <w:r w:rsidR="00F87479">
              <w:rPr>
                <w:rFonts w:ascii="Times New Roman" w:eastAsia="宋体" w:hAnsi="Times New Roman" w:cs="Times New Roman"/>
                <w:sz w:val="18"/>
                <w:szCs w:val="18"/>
              </w:rPr>
              <w:t xml:space="preserve">, Inner Mongolia </w:t>
            </w:r>
            <w:proofErr w:type="spellStart"/>
            <w:r w:rsidR="00F87479">
              <w:rPr>
                <w:rFonts w:ascii="Times New Roman" w:eastAsia="宋体" w:hAnsi="Times New Roman" w:cs="Times New Roman"/>
                <w:sz w:val="18"/>
                <w:szCs w:val="18"/>
              </w:rPr>
              <w:t>Qingyang</w:t>
            </w:r>
            <w:proofErr w:type="spellEnd"/>
            <w:r w:rsidR="00F73301" w:rsidRPr="00F73301">
              <w:rPr>
                <w:rFonts w:ascii="Times New Roman" w:eastAsia="宋体" w:hAnsi="Times New Roman" w:cs="Times New Roman"/>
                <w:sz w:val="18"/>
                <w:szCs w:val="18"/>
              </w:rPr>
              <w:t xml:space="preserve">, Hunan </w:t>
            </w:r>
            <w:proofErr w:type="spellStart"/>
            <w:r w:rsidR="00F73301" w:rsidRPr="00F73301">
              <w:rPr>
                <w:rFonts w:ascii="Times New Roman" w:eastAsia="宋体" w:hAnsi="Times New Roman" w:cs="Times New Roman"/>
                <w:sz w:val="18"/>
                <w:szCs w:val="18"/>
              </w:rPr>
              <w:t>Chuwei</w:t>
            </w:r>
            <w:proofErr w:type="spellEnd"/>
          </w:p>
        </w:tc>
        <w:tc>
          <w:tcPr>
            <w:tcW w:w="4820" w:type="dxa"/>
            <w:tcBorders>
              <w:top w:val="single" w:sz="2" w:space="0" w:color="auto"/>
              <w:left w:val="single" w:sz="2" w:space="0" w:color="auto"/>
              <w:bottom w:val="single" w:sz="2" w:space="0" w:color="auto"/>
              <w:right w:val="single" w:sz="2" w:space="0" w:color="auto"/>
            </w:tcBorders>
            <w:vAlign w:val="center"/>
          </w:tcPr>
          <w:p w14:paraId="5C63BA3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15%</w:t>
            </w:r>
          </w:p>
        </w:tc>
      </w:tr>
      <w:tr w:rsidR="00F73301" w:rsidRPr="00F73301" w14:paraId="4E923F46"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06DE4370" w14:textId="181286F9" w:rsidR="00F73301" w:rsidRPr="00F73301" w:rsidRDefault="00F73301" w:rsidP="00F87479">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MCC Jiangsu</w:t>
            </w:r>
            <w:r w:rsidR="00F87479">
              <w:rPr>
                <w:rFonts w:ascii="Times New Roman" w:eastAsia="宋体" w:hAnsi="Times New Roman" w:cs="Times New Roman"/>
                <w:sz w:val="18"/>
                <w:szCs w:val="18"/>
              </w:rPr>
              <w:t xml:space="preserve">, Yangzhou </w:t>
            </w:r>
            <w:proofErr w:type="spellStart"/>
            <w:r w:rsidR="00F87479">
              <w:rPr>
                <w:rFonts w:ascii="Times New Roman" w:eastAsia="宋体" w:hAnsi="Times New Roman" w:cs="Times New Roman"/>
                <w:sz w:val="18"/>
                <w:szCs w:val="18"/>
              </w:rPr>
              <w:t>Jiemei</w:t>
            </w:r>
            <w:proofErr w:type="spellEnd"/>
            <w:r w:rsidR="00F87479">
              <w:rPr>
                <w:rFonts w:ascii="Times New Roman" w:eastAsia="宋体" w:hAnsi="Times New Roman" w:cs="Times New Roman"/>
                <w:sz w:val="18"/>
                <w:szCs w:val="18"/>
              </w:rPr>
              <w:t xml:space="preserve">, Shanghai </w:t>
            </w:r>
            <w:proofErr w:type="spellStart"/>
            <w:r w:rsidR="00F87479">
              <w:rPr>
                <w:rFonts w:ascii="Times New Roman" w:eastAsia="宋体" w:hAnsi="Times New Roman" w:cs="Times New Roman"/>
                <w:sz w:val="18"/>
                <w:szCs w:val="18"/>
              </w:rPr>
              <w:t>Paiqi</w:t>
            </w:r>
            <w:proofErr w:type="spellEnd"/>
            <w:r w:rsidRPr="00F73301">
              <w:rPr>
                <w:rFonts w:ascii="Times New Roman" w:eastAsia="宋体" w:hAnsi="Times New Roman" w:cs="Times New Roman"/>
                <w:sz w:val="18"/>
                <w:szCs w:val="18"/>
              </w:rPr>
              <w:t>, Shangh</w:t>
            </w:r>
            <w:r w:rsidR="00A91E52">
              <w:rPr>
                <w:rFonts w:ascii="Times New Roman" w:eastAsia="宋体" w:hAnsi="Times New Roman" w:cs="Times New Roman"/>
                <w:sz w:val="18"/>
                <w:szCs w:val="18"/>
              </w:rPr>
              <w:t xml:space="preserve">ai </w:t>
            </w:r>
            <w:proofErr w:type="spellStart"/>
            <w:r w:rsidR="00F87479">
              <w:rPr>
                <w:rFonts w:ascii="Times New Roman" w:eastAsia="宋体" w:hAnsi="Times New Roman" w:cs="Times New Roman"/>
                <w:sz w:val="18"/>
                <w:szCs w:val="18"/>
              </w:rPr>
              <w:t>Lingxin</w:t>
            </w:r>
            <w:proofErr w:type="spellEnd"/>
            <w:r w:rsidR="00A91E52">
              <w:rPr>
                <w:rFonts w:ascii="Times New Roman" w:eastAsia="宋体" w:hAnsi="Times New Roman" w:cs="Times New Roman"/>
                <w:sz w:val="18"/>
                <w:szCs w:val="18"/>
              </w:rPr>
              <w:t xml:space="preserve">, </w:t>
            </w:r>
            <w:proofErr w:type="spellStart"/>
            <w:r w:rsidR="00A91E52">
              <w:rPr>
                <w:rFonts w:ascii="Times New Roman" w:eastAsia="宋体" w:hAnsi="Times New Roman" w:cs="Times New Roman"/>
                <w:sz w:val="18"/>
                <w:szCs w:val="18"/>
              </w:rPr>
              <w:t>Jaywin</w:t>
            </w:r>
            <w:proofErr w:type="spellEnd"/>
            <w:r w:rsidR="00A91E52">
              <w:rPr>
                <w:rFonts w:ascii="Times New Roman" w:eastAsia="宋体" w:hAnsi="Times New Roman" w:cs="Times New Roman"/>
                <w:sz w:val="18"/>
                <w:szCs w:val="18"/>
              </w:rPr>
              <w:t xml:space="preserve"> Chip</w:t>
            </w:r>
            <w:r w:rsidR="00F87479">
              <w:rPr>
                <w:rFonts w:ascii="Times New Roman" w:eastAsia="宋体" w:hAnsi="Times New Roman" w:cs="Times New Roman"/>
                <w:sz w:val="18"/>
                <w:szCs w:val="18"/>
              </w:rPr>
              <w:t xml:space="preserve">, Wuxi </w:t>
            </w:r>
            <w:proofErr w:type="spellStart"/>
            <w:r w:rsidR="00F87479">
              <w:rPr>
                <w:rFonts w:ascii="Times New Roman" w:eastAsia="宋体" w:hAnsi="Times New Roman" w:cs="Times New Roman"/>
                <w:sz w:val="18"/>
                <w:szCs w:val="18"/>
              </w:rPr>
              <w:t>Jiexiwei</w:t>
            </w:r>
            <w:proofErr w:type="spellEnd"/>
            <w:r w:rsidR="00F87479">
              <w:rPr>
                <w:rFonts w:ascii="Times New Roman" w:eastAsia="宋体" w:hAnsi="Times New Roman" w:cs="Times New Roman"/>
                <w:sz w:val="18"/>
                <w:szCs w:val="18"/>
              </w:rPr>
              <w:t xml:space="preserve">, </w:t>
            </w:r>
            <w:proofErr w:type="spellStart"/>
            <w:r w:rsidR="00F87479">
              <w:rPr>
                <w:rFonts w:ascii="Times New Roman" w:eastAsia="宋体" w:hAnsi="Times New Roman" w:cs="Times New Roman"/>
                <w:sz w:val="18"/>
                <w:szCs w:val="18"/>
              </w:rPr>
              <w:t>Jieguan</w:t>
            </w:r>
            <w:proofErr w:type="spellEnd"/>
            <w:r w:rsidR="00F87479">
              <w:rPr>
                <w:rFonts w:ascii="Times New Roman" w:eastAsia="宋体" w:hAnsi="Times New Roman" w:cs="Times New Roman"/>
                <w:sz w:val="18"/>
                <w:szCs w:val="18"/>
              </w:rPr>
              <w:t xml:space="preserve"> Microelectronics</w:t>
            </w:r>
          </w:p>
        </w:tc>
        <w:tc>
          <w:tcPr>
            <w:tcW w:w="4820" w:type="dxa"/>
            <w:tcBorders>
              <w:top w:val="single" w:sz="2" w:space="0" w:color="auto"/>
              <w:left w:val="single" w:sz="2" w:space="0" w:color="auto"/>
              <w:bottom w:val="single" w:sz="2" w:space="0" w:color="auto"/>
              <w:right w:val="single" w:sz="2" w:space="0" w:color="auto"/>
            </w:tcBorders>
            <w:vAlign w:val="center"/>
          </w:tcPr>
          <w:p w14:paraId="17CDD5D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20%</w:t>
            </w:r>
          </w:p>
        </w:tc>
      </w:tr>
      <w:tr w:rsidR="00F73301" w:rsidRPr="00F73301" w14:paraId="3831E346"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5B923EE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domestic subsidiaries</w:t>
            </w:r>
          </w:p>
        </w:tc>
        <w:tc>
          <w:tcPr>
            <w:tcW w:w="4820" w:type="dxa"/>
            <w:tcBorders>
              <w:top w:val="single" w:sz="2" w:space="0" w:color="auto"/>
              <w:left w:val="single" w:sz="2" w:space="0" w:color="auto"/>
              <w:bottom w:val="single" w:sz="2" w:space="0" w:color="auto"/>
              <w:right w:val="single" w:sz="2" w:space="0" w:color="auto"/>
            </w:tcBorders>
            <w:vAlign w:val="center"/>
          </w:tcPr>
          <w:p w14:paraId="148472B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25%</w:t>
            </w:r>
          </w:p>
        </w:tc>
      </w:tr>
    </w:tbl>
    <w:p w14:paraId="6CE8B384"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57" w:name="_Toc989045"/>
      <w:r w:rsidRPr="00F73301">
        <w:rPr>
          <w:rFonts w:ascii="Times New Roman" w:eastAsia="宋体" w:hAnsi="Times New Roman" w:cs="Times New Roman"/>
          <w:b/>
          <w:bCs/>
          <w:sz w:val="24"/>
          <w:szCs w:val="24"/>
        </w:rPr>
        <w:t>2. Tax incentives</w:t>
      </w:r>
      <w:bookmarkEnd w:id="157"/>
    </w:p>
    <w:p w14:paraId="363BCCE9"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Pursuant to the</w:t>
      </w:r>
      <w:r w:rsidRPr="00F73301">
        <w:rPr>
          <w:rFonts w:ascii="Times New Roman" w:eastAsia="宋体" w:hAnsi="Times New Roman" w:cs="Times New Roman"/>
          <w:i/>
          <w:iCs/>
          <w:kern w:val="0"/>
          <w:sz w:val="24"/>
          <w:szCs w:val="24"/>
        </w:rPr>
        <w:t xml:space="preserve"> Announcement on List of the First Batch of High-tech Enterprises to be Recorded in Jiangsu Province in 2021</w:t>
      </w:r>
      <w:r w:rsidRPr="00F73301">
        <w:rPr>
          <w:rFonts w:ascii="Times New Roman" w:eastAsia="宋体" w:hAnsi="Times New Roman" w:cs="Times New Roman"/>
          <w:kern w:val="0"/>
          <w:sz w:val="24"/>
          <w:szCs w:val="24"/>
        </w:rPr>
        <w:t xml:space="preserve"> by the National High-tech Enterprise Accreditation Management Leading Group, the Company passed the review of high-tech enterprises and was accredited as a </w:t>
      </w:r>
      <w:r w:rsidRPr="00F73301">
        <w:rPr>
          <w:rFonts w:ascii="Times New Roman" w:eastAsia="宋体" w:hAnsi="Times New Roman" w:cs="Times New Roman"/>
          <w:kern w:val="0"/>
          <w:sz w:val="24"/>
          <w:szCs w:val="24"/>
        </w:rPr>
        <w:lastRenderedPageBreak/>
        <w:t>high-tech enterprise with a valid period from 2021 to 2023. In the current period, it was subject to a tax rate of 15% for enterprise income tax.</w:t>
      </w:r>
    </w:p>
    <w:p w14:paraId="2F30C729" w14:textId="542F238F"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(2) Pursuant to the </w:t>
      </w:r>
      <w:r w:rsidRPr="00F73301">
        <w:rPr>
          <w:rFonts w:ascii="Times New Roman" w:eastAsia="宋体" w:hAnsi="Times New Roman" w:cs="Times New Roman"/>
          <w:i/>
          <w:iCs/>
          <w:kern w:val="0"/>
          <w:sz w:val="24"/>
          <w:szCs w:val="24"/>
        </w:rPr>
        <w:t>Announcement on Record of the Second Batch of High-tech Enterprises Accredited by the Accreditation Authority in Sichuan Province</w:t>
      </w:r>
      <w:r w:rsidRPr="00F73301">
        <w:rPr>
          <w:rFonts w:ascii="Times New Roman" w:eastAsia="宋体" w:hAnsi="Times New Roman" w:cs="Times New Roman"/>
          <w:kern w:val="0"/>
          <w:sz w:val="24"/>
          <w:szCs w:val="24"/>
        </w:rPr>
        <w:t xml:space="preserve"> </w:t>
      </w:r>
      <w:r w:rsidRPr="00F73301">
        <w:rPr>
          <w:rFonts w:ascii="Times New Roman" w:eastAsia="宋体" w:hAnsi="Times New Roman" w:cs="Times New Roman"/>
          <w:i/>
          <w:iCs/>
          <w:kern w:val="0"/>
          <w:sz w:val="24"/>
          <w:szCs w:val="24"/>
        </w:rPr>
        <w:t xml:space="preserve">in 2022 </w:t>
      </w:r>
      <w:r w:rsidRPr="00F73301">
        <w:rPr>
          <w:rFonts w:ascii="Times New Roman" w:eastAsia="宋体" w:hAnsi="Times New Roman" w:cs="Times New Roman"/>
          <w:kern w:val="0"/>
          <w:sz w:val="24"/>
          <w:szCs w:val="24"/>
        </w:rPr>
        <w:t xml:space="preserve">by the National High-tech Enterprise Accreditation Management Leading Group, </w:t>
      </w:r>
      <w:r w:rsidR="0066314B">
        <w:rPr>
          <w:rFonts w:ascii="Times New Roman" w:eastAsia="宋体" w:hAnsi="Times New Roman" w:cs="Times New Roman"/>
          <w:kern w:val="0"/>
          <w:sz w:val="24"/>
          <w:szCs w:val="24"/>
        </w:rPr>
        <w:t>the subsidiary Chengdu Qingyang</w:t>
      </w:r>
      <w:r w:rsidRPr="00F73301">
        <w:rPr>
          <w:rFonts w:ascii="Times New Roman" w:eastAsia="宋体" w:hAnsi="Times New Roman" w:cs="Times New Roman"/>
          <w:kern w:val="0"/>
          <w:sz w:val="24"/>
          <w:szCs w:val="24"/>
        </w:rPr>
        <w:t xml:space="preserve"> was accredited as a high-tech enterprise with a valid period from 2022 to 2024. In the current period, it was subject to a tax rate of 15% for enterprise income tax.</w:t>
      </w:r>
    </w:p>
    <w:p w14:paraId="7D55326D" w14:textId="77777777"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(3) Pursuant to the </w:t>
      </w:r>
      <w:r w:rsidRPr="00F73301">
        <w:rPr>
          <w:rFonts w:ascii="Times New Roman" w:eastAsia="宋体" w:hAnsi="Times New Roman" w:cs="Times New Roman"/>
          <w:i/>
          <w:iCs/>
          <w:kern w:val="0"/>
          <w:sz w:val="24"/>
          <w:szCs w:val="24"/>
        </w:rPr>
        <w:t>Announcement on List of the Fourth Batch of Accredited High-tech Enterprises in Jiangsu Province in 2021</w:t>
      </w:r>
      <w:r w:rsidRPr="00F73301">
        <w:rPr>
          <w:rFonts w:ascii="Times New Roman" w:eastAsia="宋体" w:hAnsi="Times New Roman" w:cs="Times New Roman"/>
          <w:kern w:val="0"/>
          <w:sz w:val="24"/>
          <w:szCs w:val="24"/>
        </w:rPr>
        <w:t xml:space="preserve"> by the National High-tech Enterprise Accreditation Management Leading Group, the subsidiary J&amp;V Semiconductor was accredited as a high-tech enterprise with a valid period from 2021 to 2023. In the current period, it was subject to a tax rate of 15% for enterprise income tax.</w:t>
      </w:r>
    </w:p>
    <w:p w14:paraId="487C8B30" w14:textId="76A00B7C"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(4) Pursuant to the </w:t>
      </w:r>
      <w:r w:rsidRPr="00F73301">
        <w:rPr>
          <w:rFonts w:ascii="Times New Roman" w:eastAsia="宋体" w:hAnsi="Times New Roman" w:cs="Times New Roman"/>
          <w:i/>
          <w:iCs/>
          <w:kern w:val="0"/>
          <w:sz w:val="24"/>
          <w:szCs w:val="24"/>
        </w:rPr>
        <w:t>Notice on Publicity of Record-filing of the Fourth Batch of High-tech Enterprises in Jiangsu Province in 2022</w:t>
      </w:r>
      <w:r w:rsidRPr="00F73301">
        <w:rPr>
          <w:rFonts w:ascii="Times New Roman" w:eastAsia="宋体" w:hAnsi="Times New Roman" w:cs="Times New Roman"/>
          <w:kern w:val="0"/>
          <w:sz w:val="24"/>
          <w:szCs w:val="24"/>
        </w:rPr>
        <w:t xml:space="preserve"> by the National High-tech Enterprise Accreditation Management Leading Group, the subsidiaries, Jiangsu </w:t>
      </w:r>
      <w:proofErr w:type="spellStart"/>
      <w:r w:rsidRPr="00F73301">
        <w:rPr>
          <w:rFonts w:ascii="Times New Roman" w:eastAsia="宋体" w:hAnsi="Times New Roman" w:cs="Times New Roman"/>
          <w:kern w:val="0"/>
          <w:sz w:val="24"/>
          <w:szCs w:val="24"/>
        </w:rPr>
        <w:t>Runau</w:t>
      </w:r>
      <w:proofErr w:type="spellEnd"/>
      <w:r w:rsidRPr="00F73301">
        <w:rPr>
          <w:rFonts w:ascii="Times New Roman" w:eastAsia="宋体" w:hAnsi="Times New Roman" w:cs="Times New Roman"/>
          <w:kern w:val="0"/>
          <w:sz w:val="24"/>
          <w:szCs w:val="24"/>
        </w:rPr>
        <w:t xml:space="preserve"> and </w:t>
      </w:r>
      <w:proofErr w:type="spellStart"/>
      <w:r w:rsidRPr="00F73301">
        <w:rPr>
          <w:rFonts w:ascii="Times New Roman" w:eastAsia="宋体" w:hAnsi="Times New Roman" w:cs="Times New Roman"/>
          <w:kern w:val="0"/>
          <w:sz w:val="24"/>
          <w:szCs w:val="24"/>
        </w:rPr>
        <w:t>Yixing</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Jiexin</w:t>
      </w:r>
      <w:proofErr w:type="spellEnd"/>
      <w:r w:rsidRPr="00F73301">
        <w:rPr>
          <w:rFonts w:ascii="Times New Roman" w:eastAsia="宋体" w:hAnsi="Times New Roman" w:cs="Times New Roman"/>
          <w:kern w:val="0"/>
          <w:sz w:val="24"/>
          <w:szCs w:val="24"/>
        </w:rPr>
        <w:t>, were accredited as high-tech enterprises with a valid period from 2022 to 2024. In the current period, it was subject to a tax rate of 15% for enterprise income tax.</w:t>
      </w:r>
    </w:p>
    <w:p w14:paraId="6CF4998F" w14:textId="22482C2F"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(5) Pursuant to tax reduction and exemption conditions as stipulated in the </w:t>
      </w:r>
      <w:r w:rsidRPr="00F73301">
        <w:rPr>
          <w:rFonts w:ascii="Times New Roman" w:eastAsia="宋体" w:hAnsi="Times New Roman" w:cs="Times New Roman"/>
          <w:i/>
          <w:iCs/>
          <w:kern w:val="0"/>
          <w:sz w:val="24"/>
          <w:szCs w:val="24"/>
        </w:rPr>
        <w:t>Announcement of the Ministry of Finance, the State Taxation Administration and the National Development and Reform Commission on Continuing the Enterprise Income Tax Policy for the Western Development</w:t>
      </w:r>
      <w:r w:rsidRPr="00F73301">
        <w:rPr>
          <w:rFonts w:ascii="Times New Roman" w:eastAsia="宋体" w:hAnsi="Times New Roman" w:cs="Times New Roman"/>
          <w:kern w:val="0"/>
          <w:sz w:val="24"/>
          <w:szCs w:val="24"/>
        </w:rPr>
        <w:t xml:space="preserve"> (Announcement of the Ministry of Finance [2020] No. 23), the subsidiaries, Sic</w:t>
      </w:r>
      <w:r w:rsidR="00F87479">
        <w:rPr>
          <w:rFonts w:ascii="Times New Roman" w:eastAsia="宋体" w:hAnsi="Times New Roman" w:cs="Times New Roman"/>
          <w:kern w:val="0"/>
          <w:sz w:val="24"/>
          <w:szCs w:val="24"/>
        </w:rPr>
        <w:t xml:space="preserve">huan </w:t>
      </w:r>
      <w:proofErr w:type="spellStart"/>
      <w:r w:rsidR="00F87479">
        <w:rPr>
          <w:rFonts w:ascii="Times New Roman" w:eastAsia="宋体" w:hAnsi="Times New Roman" w:cs="Times New Roman"/>
          <w:kern w:val="0"/>
          <w:sz w:val="24"/>
          <w:szCs w:val="24"/>
        </w:rPr>
        <w:t>Yajixin</w:t>
      </w:r>
      <w:proofErr w:type="spellEnd"/>
      <w:r w:rsidR="00F87479">
        <w:rPr>
          <w:rFonts w:ascii="Times New Roman" w:eastAsia="宋体" w:hAnsi="Times New Roman" w:cs="Times New Roman"/>
          <w:kern w:val="0"/>
          <w:sz w:val="24"/>
          <w:szCs w:val="24"/>
        </w:rPr>
        <w:t xml:space="preserve"> and Inner Mongolia Qingyang</w:t>
      </w:r>
      <w:r w:rsidRPr="00F73301">
        <w:rPr>
          <w:rFonts w:ascii="Times New Roman" w:eastAsia="宋体" w:hAnsi="Times New Roman" w:cs="Times New Roman"/>
          <w:kern w:val="0"/>
          <w:sz w:val="24"/>
          <w:szCs w:val="24"/>
        </w:rPr>
        <w:t xml:space="preserve">, were entitled to enjoy relevant preferential tax policy since January 1, 2021, which were subject to reduced rate of 15% for enterprise income tax from January 1, 2021 to December 31, 2030. </w:t>
      </w:r>
    </w:p>
    <w:p w14:paraId="7EB3FD14" w14:textId="1805CFDE"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(6) Pursuant to the </w:t>
      </w:r>
      <w:r w:rsidRPr="00F73301">
        <w:rPr>
          <w:rFonts w:ascii="Times New Roman" w:eastAsia="宋体" w:hAnsi="Times New Roman" w:cs="Times New Roman"/>
          <w:i/>
          <w:iCs/>
          <w:kern w:val="0"/>
          <w:sz w:val="24"/>
          <w:szCs w:val="24"/>
        </w:rPr>
        <w:t>Announcement on Record of the Second Batch of High-tech Enterprises Accredited by the Accreditation Authority in Hunan Province in 2022</w:t>
      </w:r>
      <w:r w:rsidRPr="00F73301">
        <w:rPr>
          <w:rFonts w:ascii="Times New Roman" w:eastAsia="宋体" w:hAnsi="Times New Roman" w:cs="Times New Roman"/>
          <w:kern w:val="0"/>
          <w:sz w:val="24"/>
          <w:szCs w:val="24"/>
        </w:rPr>
        <w:t xml:space="preserve"> by the National High-tech Enterprise Accreditation Management Leading Group, the subsidiary Hunan </w:t>
      </w:r>
      <w:proofErr w:type="spellStart"/>
      <w:r w:rsidR="00AE6574">
        <w:rPr>
          <w:rFonts w:ascii="Times New Roman" w:eastAsia="宋体" w:hAnsi="Times New Roman" w:cs="Times New Roman" w:hint="eastAsia"/>
          <w:kern w:val="0"/>
          <w:sz w:val="24"/>
          <w:szCs w:val="24"/>
        </w:rPr>
        <w:t>Chuw</w:t>
      </w:r>
      <w:r w:rsidRPr="00F73301">
        <w:rPr>
          <w:rFonts w:ascii="Times New Roman" w:eastAsia="宋体" w:hAnsi="Times New Roman" w:cs="Times New Roman"/>
          <w:kern w:val="0"/>
          <w:sz w:val="24"/>
          <w:szCs w:val="24"/>
        </w:rPr>
        <w:t>ei</w:t>
      </w:r>
      <w:proofErr w:type="spellEnd"/>
      <w:r w:rsidRPr="00F73301">
        <w:rPr>
          <w:rFonts w:ascii="Times New Roman" w:eastAsia="宋体" w:hAnsi="Times New Roman" w:cs="Times New Roman"/>
          <w:kern w:val="0"/>
          <w:sz w:val="24"/>
          <w:szCs w:val="24"/>
        </w:rPr>
        <w:t xml:space="preserve"> was accredited as a high-tech enterprise with a valid period from 2022 to </w:t>
      </w:r>
      <w:r w:rsidR="00160313" w:rsidRPr="00F73301">
        <w:rPr>
          <w:rFonts w:ascii="Times New Roman" w:eastAsia="宋体" w:hAnsi="Times New Roman" w:cs="Times New Roman"/>
          <w:kern w:val="0"/>
          <w:sz w:val="24"/>
          <w:szCs w:val="24"/>
        </w:rPr>
        <w:t>20</w:t>
      </w:r>
      <w:r w:rsidR="00160313">
        <w:rPr>
          <w:rFonts w:ascii="Times New Roman" w:eastAsia="宋体" w:hAnsi="Times New Roman" w:cs="Times New Roman"/>
          <w:kern w:val="0"/>
          <w:sz w:val="24"/>
          <w:szCs w:val="24"/>
        </w:rPr>
        <w:t>25</w:t>
      </w:r>
      <w:r w:rsidRPr="00F73301">
        <w:rPr>
          <w:rFonts w:ascii="Times New Roman" w:eastAsia="宋体" w:hAnsi="Times New Roman" w:cs="Times New Roman"/>
          <w:kern w:val="0"/>
          <w:sz w:val="24"/>
          <w:szCs w:val="24"/>
        </w:rPr>
        <w:t>. In the current period, it was subject to a tax rate of 15% for enterprise income tax.</w:t>
      </w:r>
    </w:p>
    <w:p w14:paraId="5A00EB77" w14:textId="19D03FF0"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(7) Pursuant to the </w:t>
      </w:r>
      <w:r w:rsidRPr="00F73301">
        <w:rPr>
          <w:rFonts w:ascii="Times New Roman" w:eastAsia="宋体" w:hAnsi="Times New Roman" w:cs="Times New Roman"/>
          <w:i/>
          <w:iCs/>
          <w:kern w:val="0"/>
          <w:sz w:val="24"/>
          <w:szCs w:val="24"/>
        </w:rPr>
        <w:t>Announcement of the Ministry of Finance and the State Taxation Administration on Further Implementing the Income Tax Preferential Policy for Small- and Micro-sized Enterprises</w:t>
      </w:r>
      <w:r w:rsidRPr="00F73301">
        <w:rPr>
          <w:rFonts w:ascii="Times New Roman" w:eastAsia="宋体" w:hAnsi="Times New Roman" w:cs="Times New Roman"/>
          <w:kern w:val="0"/>
          <w:sz w:val="24"/>
          <w:szCs w:val="24"/>
        </w:rPr>
        <w:t xml:space="preserve"> (Announcement of the Ministry of Finance and State Taxation Administration [2022] No. 13), the part of the annual taxable income of small-sized micro-profit enterprises that is between RMB1 million (exclusive) and RMB3 million (inclusive) is subject to reduced rate of 25% and a tax rate of 20% for enterprise income tax from January 1, 2022 to December 31, 2024. Pursuant to the </w:t>
      </w:r>
      <w:r w:rsidRPr="00F73301">
        <w:rPr>
          <w:rFonts w:ascii="Times New Roman" w:eastAsia="宋体" w:hAnsi="Times New Roman" w:cs="Times New Roman"/>
          <w:i/>
          <w:iCs/>
          <w:kern w:val="0"/>
          <w:sz w:val="24"/>
          <w:szCs w:val="24"/>
        </w:rPr>
        <w:t>Announcement of the Ministry of Finance and the State Taxation Administration on the Income Tax Preferential Policy for Small- and Micro-sized Enterprises and Individual Business</w:t>
      </w:r>
      <w:r w:rsidRPr="00F73301">
        <w:rPr>
          <w:rFonts w:ascii="Times New Roman" w:eastAsia="宋体" w:hAnsi="Times New Roman" w:cs="Times New Roman"/>
          <w:kern w:val="0"/>
          <w:sz w:val="24"/>
          <w:szCs w:val="24"/>
        </w:rPr>
        <w:t xml:space="preserve"> (Announcement of the Ministry of Finance and State Taxation Administration [2023] No. 6), the part of the annual taxable income of small-sized micro-profit enterprises that does not exceed RMB1 million is subject to reduced rate of 25% and a tax rate of 20% for enterprise income tax from January 1, 2023 to December 31, 2024. Pursuant to the </w:t>
      </w:r>
      <w:r w:rsidRPr="00F73301">
        <w:rPr>
          <w:rFonts w:ascii="Times New Roman" w:eastAsia="宋体" w:hAnsi="Times New Roman" w:cs="Times New Roman"/>
          <w:i/>
          <w:iCs/>
          <w:kern w:val="0"/>
          <w:sz w:val="24"/>
          <w:szCs w:val="24"/>
        </w:rPr>
        <w:t>Announcement of the Ministry of Finance and the State Taxation Administration on the Tax Policies Further Supporting the Development of Small- and Micro-sized Enterprises and Individual Business</w:t>
      </w:r>
      <w:r w:rsidRPr="00F73301">
        <w:rPr>
          <w:rFonts w:ascii="Times New Roman" w:eastAsia="宋体" w:hAnsi="Times New Roman" w:cs="Times New Roman"/>
          <w:kern w:val="0"/>
          <w:sz w:val="24"/>
          <w:szCs w:val="24"/>
        </w:rPr>
        <w:t xml:space="preserve"> (Announcement of the Ministry of Finance and State Taxation Administration [2023] No. 12), the taxable income of a small-sized micro-profit enterprises is subject to reduced rate of 25% and a tax rate of 20% for enterprise income tax until December 31, 2027. The subsidiaries, MCC Jiangsu</w:t>
      </w:r>
      <w:r w:rsidR="00F87479">
        <w:rPr>
          <w:rFonts w:ascii="Times New Roman" w:eastAsia="宋体" w:hAnsi="Times New Roman" w:cs="Times New Roman"/>
          <w:kern w:val="0"/>
          <w:sz w:val="24"/>
          <w:szCs w:val="24"/>
        </w:rPr>
        <w:t xml:space="preserve">, Yangzhou </w:t>
      </w:r>
      <w:proofErr w:type="spellStart"/>
      <w:r w:rsidR="00F87479">
        <w:rPr>
          <w:rFonts w:ascii="Times New Roman" w:eastAsia="宋体" w:hAnsi="Times New Roman" w:cs="Times New Roman"/>
          <w:kern w:val="0"/>
          <w:sz w:val="24"/>
          <w:szCs w:val="24"/>
        </w:rPr>
        <w:t>Jiemei</w:t>
      </w:r>
      <w:proofErr w:type="spellEnd"/>
      <w:r w:rsidR="00F87479">
        <w:rPr>
          <w:rFonts w:ascii="Times New Roman" w:eastAsia="宋体" w:hAnsi="Times New Roman" w:cs="Times New Roman"/>
          <w:kern w:val="0"/>
          <w:sz w:val="24"/>
          <w:szCs w:val="24"/>
        </w:rPr>
        <w:t xml:space="preserve">, Shanghai </w:t>
      </w:r>
      <w:proofErr w:type="spellStart"/>
      <w:r w:rsidR="00F87479">
        <w:rPr>
          <w:rFonts w:ascii="Times New Roman" w:eastAsia="宋体" w:hAnsi="Times New Roman" w:cs="Times New Roman"/>
          <w:kern w:val="0"/>
          <w:sz w:val="24"/>
          <w:szCs w:val="24"/>
        </w:rPr>
        <w:t>Paiqi</w:t>
      </w:r>
      <w:proofErr w:type="spellEnd"/>
      <w:r w:rsidRPr="00F73301">
        <w:rPr>
          <w:rFonts w:ascii="Times New Roman" w:eastAsia="宋体" w:hAnsi="Times New Roman" w:cs="Times New Roman"/>
          <w:kern w:val="0"/>
          <w:sz w:val="24"/>
          <w:szCs w:val="24"/>
        </w:rPr>
        <w:t>, Shangh</w:t>
      </w:r>
      <w:r w:rsidR="00A91E52">
        <w:rPr>
          <w:rFonts w:ascii="Times New Roman" w:eastAsia="宋体" w:hAnsi="Times New Roman" w:cs="Times New Roman"/>
          <w:kern w:val="0"/>
          <w:sz w:val="24"/>
          <w:szCs w:val="24"/>
        </w:rPr>
        <w:t xml:space="preserve">ai </w:t>
      </w:r>
      <w:proofErr w:type="spellStart"/>
      <w:r w:rsidR="00A91E52">
        <w:rPr>
          <w:rFonts w:ascii="Times New Roman" w:eastAsia="宋体" w:hAnsi="Times New Roman" w:cs="Times New Roman"/>
          <w:kern w:val="0"/>
          <w:sz w:val="24"/>
          <w:szCs w:val="24"/>
        </w:rPr>
        <w:t>Lingxin</w:t>
      </w:r>
      <w:proofErr w:type="spellEnd"/>
      <w:r w:rsidR="00A91E52">
        <w:rPr>
          <w:rFonts w:ascii="Times New Roman" w:eastAsia="宋体" w:hAnsi="Times New Roman" w:cs="Times New Roman"/>
          <w:kern w:val="0"/>
          <w:sz w:val="24"/>
          <w:szCs w:val="24"/>
        </w:rPr>
        <w:t xml:space="preserve">, </w:t>
      </w:r>
      <w:proofErr w:type="spellStart"/>
      <w:r w:rsidR="00A91E52">
        <w:rPr>
          <w:rFonts w:ascii="Times New Roman" w:eastAsia="宋体" w:hAnsi="Times New Roman" w:cs="Times New Roman"/>
          <w:kern w:val="0"/>
          <w:sz w:val="24"/>
          <w:szCs w:val="24"/>
        </w:rPr>
        <w:t>Jaywin</w:t>
      </w:r>
      <w:proofErr w:type="spellEnd"/>
      <w:r w:rsidR="00A91E52">
        <w:rPr>
          <w:rFonts w:ascii="Times New Roman" w:eastAsia="宋体" w:hAnsi="Times New Roman" w:cs="Times New Roman"/>
          <w:kern w:val="0"/>
          <w:sz w:val="24"/>
          <w:szCs w:val="24"/>
        </w:rPr>
        <w:t xml:space="preserve"> Chip</w:t>
      </w:r>
      <w:r w:rsidRPr="00F73301">
        <w:rPr>
          <w:rFonts w:ascii="Times New Roman" w:eastAsia="宋体" w:hAnsi="Times New Roman" w:cs="Times New Roman"/>
          <w:kern w:val="0"/>
          <w:sz w:val="24"/>
          <w:szCs w:val="24"/>
        </w:rPr>
        <w:t xml:space="preserve">, Wuxi </w:t>
      </w:r>
      <w:proofErr w:type="spellStart"/>
      <w:r w:rsidRPr="00F73301">
        <w:rPr>
          <w:rFonts w:ascii="Times New Roman" w:eastAsia="宋体" w:hAnsi="Times New Roman" w:cs="Times New Roman"/>
          <w:kern w:val="0"/>
          <w:sz w:val="24"/>
          <w:szCs w:val="24"/>
        </w:rPr>
        <w:t>Jiexiwei</w:t>
      </w:r>
      <w:proofErr w:type="spellEnd"/>
      <w:r w:rsidRPr="00F73301">
        <w:rPr>
          <w:rFonts w:ascii="Times New Roman" w:eastAsia="宋体" w:hAnsi="Times New Roman" w:cs="Times New Roman"/>
          <w:kern w:val="0"/>
          <w:sz w:val="24"/>
          <w:szCs w:val="24"/>
        </w:rPr>
        <w:t xml:space="preserve"> </w:t>
      </w:r>
      <w:r w:rsidR="00F87479">
        <w:rPr>
          <w:rFonts w:ascii="Times New Roman" w:eastAsia="宋体" w:hAnsi="Times New Roman" w:cs="Times New Roman"/>
          <w:kern w:val="0"/>
          <w:sz w:val="24"/>
          <w:szCs w:val="24"/>
        </w:rPr>
        <w:t xml:space="preserve">and </w:t>
      </w:r>
      <w:proofErr w:type="spellStart"/>
      <w:r w:rsidR="00F87479">
        <w:rPr>
          <w:rFonts w:ascii="Times New Roman" w:eastAsia="宋体" w:hAnsi="Times New Roman" w:cs="Times New Roman"/>
          <w:kern w:val="0"/>
          <w:sz w:val="24"/>
          <w:szCs w:val="24"/>
        </w:rPr>
        <w:t>Jieguan</w:t>
      </w:r>
      <w:proofErr w:type="spellEnd"/>
      <w:r w:rsidR="00F87479">
        <w:rPr>
          <w:rFonts w:ascii="Times New Roman" w:eastAsia="宋体" w:hAnsi="Times New Roman" w:cs="Times New Roman"/>
          <w:kern w:val="0"/>
          <w:sz w:val="24"/>
          <w:szCs w:val="24"/>
        </w:rPr>
        <w:t xml:space="preserve"> Microelectronics</w:t>
      </w:r>
      <w:r w:rsidRPr="00F73301">
        <w:rPr>
          <w:rFonts w:ascii="Times New Roman" w:eastAsia="宋体" w:hAnsi="Times New Roman" w:cs="Times New Roman"/>
          <w:kern w:val="0"/>
          <w:sz w:val="24"/>
          <w:szCs w:val="24"/>
        </w:rPr>
        <w:t>, are small- and micro-sized enterprises, and enjoy the above preferential policies for enterprise income tax from January 1 to December 31, 2023.</w:t>
      </w:r>
    </w:p>
    <w:p w14:paraId="7056102A"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58" w:name="_Toc989046"/>
      <w:r w:rsidRPr="00F73301">
        <w:rPr>
          <w:rFonts w:ascii="Times New Roman" w:eastAsia="宋体" w:hAnsi="Times New Roman" w:cs="Times New Roman"/>
          <w:b/>
          <w:bCs/>
          <w:sz w:val="24"/>
          <w:szCs w:val="24"/>
        </w:rPr>
        <w:lastRenderedPageBreak/>
        <w:t>3. Others</w:t>
      </w:r>
      <w:bookmarkEnd w:id="158"/>
    </w:p>
    <w:p w14:paraId="30B71697" w14:textId="145D8980" w:rsidR="00F73301" w:rsidRPr="00F73301" w:rsidRDefault="00F73301" w:rsidP="00454D40">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The subsidiaries, MCC Hong Kong, Caswell, MCC USA, MCC Taiwan, </w:t>
      </w:r>
      <w:proofErr w:type="spellStart"/>
      <w:r w:rsidRPr="00F73301">
        <w:rPr>
          <w:rFonts w:ascii="Times New Roman" w:eastAsia="宋体" w:hAnsi="Times New Roman" w:cs="Times New Roman"/>
          <w:kern w:val="0"/>
          <w:sz w:val="24"/>
          <w:szCs w:val="24"/>
        </w:rPr>
        <w:t>Yangjie</w:t>
      </w:r>
      <w:proofErr w:type="spellEnd"/>
      <w:r w:rsidRPr="00F73301">
        <w:rPr>
          <w:rFonts w:ascii="Times New Roman" w:eastAsia="宋体" w:hAnsi="Times New Roman" w:cs="Times New Roman"/>
          <w:kern w:val="0"/>
          <w:sz w:val="24"/>
          <w:szCs w:val="24"/>
        </w:rPr>
        <w:t xml:space="preserve"> Korea, MCC Germany, </w:t>
      </w:r>
      <w:proofErr w:type="spellStart"/>
      <w:r w:rsidRPr="00F73301">
        <w:rPr>
          <w:rFonts w:ascii="Times New Roman" w:eastAsia="宋体" w:hAnsi="Times New Roman" w:cs="Times New Roman"/>
          <w:kern w:val="0"/>
          <w:sz w:val="24"/>
          <w:szCs w:val="24"/>
        </w:rPr>
        <w:t>Yangjie</w:t>
      </w:r>
      <w:proofErr w:type="spellEnd"/>
      <w:r w:rsidRPr="00F73301">
        <w:rPr>
          <w:rFonts w:ascii="Times New Roman" w:eastAsia="宋体" w:hAnsi="Times New Roman" w:cs="Times New Roman"/>
          <w:kern w:val="0"/>
          <w:sz w:val="24"/>
          <w:szCs w:val="24"/>
        </w:rPr>
        <w:t xml:space="preserve"> Japan and MCC Singapore are registered in Hong Kong, China, the Virgin Islands, the United States, Taiwan, China, South Korea, Germany, Japan and Singapore, respectively, and are subject to local tax policies. </w:t>
      </w:r>
    </w:p>
    <w:p w14:paraId="7AEA7817" w14:textId="77777777" w:rsidR="00F73301" w:rsidRPr="00F73301" w:rsidRDefault="00F73301" w:rsidP="00454D40">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159" w:name="_Toc989047"/>
      <w:r w:rsidRPr="00F73301">
        <w:rPr>
          <w:rFonts w:ascii="Times New Roman" w:eastAsia="宋体" w:hAnsi="Times New Roman" w:cs="Times New Roman"/>
          <w:b/>
          <w:bCs/>
          <w:sz w:val="24"/>
          <w:szCs w:val="24"/>
        </w:rPr>
        <w:t>VII. Notes to Items of Consolidated Financial Statements</w:t>
      </w:r>
      <w:bookmarkEnd w:id="159"/>
    </w:p>
    <w:p w14:paraId="100E1760"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60" w:name="_Toc989048"/>
      <w:r w:rsidRPr="00F73301">
        <w:rPr>
          <w:rFonts w:ascii="Times New Roman" w:eastAsia="宋体" w:hAnsi="Times New Roman" w:cs="Times New Roman"/>
          <w:b/>
          <w:bCs/>
          <w:sz w:val="24"/>
          <w:szCs w:val="24"/>
        </w:rPr>
        <w:t>1. Monetary assets</w:t>
      </w:r>
      <w:bookmarkEnd w:id="160"/>
    </w:p>
    <w:p w14:paraId="07A36BA9"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6FDF1F2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65E53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168ED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72F2F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12BB992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BA206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Cash on hand</w:t>
            </w:r>
          </w:p>
        </w:tc>
        <w:tc>
          <w:tcPr>
            <w:tcW w:w="3213" w:type="dxa"/>
            <w:tcBorders>
              <w:top w:val="single" w:sz="2" w:space="0" w:color="auto"/>
              <w:left w:val="single" w:sz="2" w:space="0" w:color="auto"/>
              <w:bottom w:val="single" w:sz="2" w:space="0" w:color="auto"/>
              <w:right w:val="single" w:sz="2" w:space="0" w:color="auto"/>
            </w:tcBorders>
            <w:vAlign w:val="center"/>
          </w:tcPr>
          <w:p w14:paraId="487B2E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692.01</w:t>
            </w:r>
          </w:p>
        </w:tc>
        <w:tc>
          <w:tcPr>
            <w:tcW w:w="3213" w:type="dxa"/>
            <w:tcBorders>
              <w:top w:val="single" w:sz="2" w:space="0" w:color="auto"/>
              <w:left w:val="single" w:sz="2" w:space="0" w:color="auto"/>
              <w:bottom w:val="single" w:sz="2" w:space="0" w:color="auto"/>
              <w:right w:val="single" w:sz="2" w:space="0" w:color="auto"/>
            </w:tcBorders>
            <w:vAlign w:val="center"/>
          </w:tcPr>
          <w:p w14:paraId="38B1A9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46,559.92</w:t>
            </w:r>
          </w:p>
        </w:tc>
      </w:tr>
      <w:tr w:rsidR="00F73301" w:rsidRPr="00F73301" w14:paraId="30540E0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F009E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Bank deposits</w:t>
            </w:r>
          </w:p>
        </w:tc>
        <w:tc>
          <w:tcPr>
            <w:tcW w:w="3213" w:type="dxa"/>
            <w:tcBorders>
              <w:top w:val="single" w:sz="2" w:space="0" w:color="auto"/>
              <w:left w:val="single" w:sz="2" w:space="0" w:color="auto"/>
              <w:bottom w:val="single" w:sz="2" w:space="0" w:color="auto"/>
              <w:right w:val="single" w:sz="2" w:space="0" w:color="auto"/>
            </w:tcBorders>
            <w:vAlign w:val="center"/>
          </w:tcPr>
          <w:p w14:paraId="30B879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3,191,967,123.98</w:t>
            </w:r>
          </w:p>
        </w:tc>
        <w:tc>
          <w:tcPr>
            <w:tcW w:w="3213" w:type="dxa"/>
            <w:tcBorders>
              <w:top w:val="single" w:sz="2" w:space="0" w:color="auto"/>
              <w:left w:val="single" w:sz="2" w:space="0" w:color="auto"/>
              <w:bottom w:val="single" w:sz="2" w:space="0" w:color="auto"/>
              <w:right w:val="single" w:sz="2" w:space="0" w:color="auto"/>
            </w:tcBorders>
            <w:vAlign w:val="center"/>
          </w:tcPr>
          <w:p w14:paraId="3007A5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1,429,369,803.92</w:t>
            </w:r>
          </w:p>
        </w:tc>
      </w:tr>
      <w:tr w:rsidR="00F73301" w:rsidRPr="00F73301" w14:paraId="0EBE8BB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AB441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monetary assets</w:t>
            </w:r>
          </w:p>
        </w:tc>
        <w:tc>
          <w:tcPr>
            <w:tcW w:w="3213" w:type="dxa"/>
            <w:tcBorders>
              <w:top w:val="single" w:sz="2" w:space="0" w:color="auto"/>
              <w:left w:val="single" w:sz="2" w:space="0" w:color="auto"/>
              <w:bottom w:val="single" w:sz="2" w:space="0" w:color="auto"/>
              <w:right w:val="single" w:sz="2" w:space="0" w:color="auto"/>
            </w:tcBorders>
            <w:vAlign w:val="center"/>
          </w:tcPr>
          <w:p w14:paraId="7C5FF1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13,939,412.10</w:t>
            </w:r>
          </w:p>
        </w:tc>
        <w:tc>
          <w:tcPr>
            <w:tcW w:w="3213" w:type="dxa"/>
            <w:tcBorders>
              <w:top w:val="single" w:sz="2" w:space="0" w:color="auto"/>
              <w:left w:val="single" w:sz="2" w:space="0" w:color="auto"/>
              <w:bottom w:val="single" w:sz="2" w:space="0" w:color="auto"/>
              <w:right w:val="single" w:sz="2" w:space="0" w:color="auto"/>
            </w:tcBorders>
            <w:vAlign w:val="center"/>
          </w:tcPr>
          <w:p w14:paraId="07C0E9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27,867,766.13</w:t>
            </w:r>
          </w:p>
        </w:tc>
      </w:tr>
      <w:tr w:rsidR="00F73301" w:rsidRPr="00F73301" w14:paraId="14B43D9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02A49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637084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3,205,907,228.09</w:t>
            </w:r>
          </w:p>
        </w:tc>
        <w:tc>
          <w:tcPr>
            <w:tcW w:w="3213" w:type="dxa"/>
            <w:tcBorders>
              <w:top w:val="single" w:sz="2" w:space="0" w:color="auto"/>
              <w:left w:val="single" w:sz="2" w:space="0" w:color="auto"/>
              <w:bottom w:val="single" w:sz="2" w:space="0" w:color="auto"/>
              <w:right w:val="single" w:sz="2" w:space="0" w:color="auto"/>
            </w:tcBorders>
            <w:vAlign w:val="center"/>
          </w:tcPr>
          <w:p w14:paraId="6EAA420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1,457,284,129.97</w:t>
            </w:r>
          </w:p>
        </w:tc>
      </w:tr>
      <w:tr w:rsidR="00F73301" w:rsidRPr="00F73301" w14:paraId="0C98CBF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ABC077"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Of which: Total amount deposited overseas</w:t>
            </w:r>
          </w:p>
        </w:tc>
        <w:tc>
          <w:tcPr>
            <w:tcW w:w="3213" w:type="dxa"/>
            <w:tcBorders>
              <w:top w:val="single" w:sz="2" w:space="0" w:color="auto"/>
              <w:left w:val="single" w:sz="2" w:space="0" w:color="auto"/>
              <w:bottom w:val="single" w:sz="2" w:space="0" w:color="auto"/>
              <w:right w:val="single" w:sz="2" w:space="0" w:color="auto"/>
            </w:tcBorders>
            <w:vAlign w:val="center"/>
          </w:tcPr>
          <w:p w14:paraId="150383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208,229,567.49</w:t>
            </w:r>
          </w:p>
        </w:tc>
        <w:tc>
          <w:tcPr>
            <w:tcW w:w="3213" w:type="dxa"/>
            <w:tcBorders>
              <w:top w:val="single" w:sz="2" w:space="0" w:color="auto"/>
              <w:left w:val="single" w:sz="2" w:space="0" w:color="auto"/>
              <w:bottom w:val="single" w:sz="2" w:space="0" w:color="auto"/>
              <w:right w:val="single" w:sz="2" w:space="0" w:color="auto"/>
            </w:tcBorders>
            <w:vAlign w:val="center"/>
          </w:tcPr>
          <w:p w14:paraId="42DF53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165,562,714.11</w:t>
            </w:r>
          </w:p>
        </w:tc>
      </w:tr>
    </w:tbl>
    <w:p w14:paraId="5CD49EB6"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63D994DD"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At the end of the period, other monetary assets include deposits for notes of RMB5,948,860.32 and deposits for letters of credit of RMB7,990,551.78.</w:t>
      </w:r>
    </w:p>
    <w:p w14:paraId="2D30DFF1"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61" w:name="_Toc989049"/>
      <w:r w:rsidRPr="00F73301">
        <w:rPr>
          <w:rFonts w:ascii="Times New Roman" w:eastAsia="宋体" w:hAnsi="Times New Roman" w:cs="Times New Roman"/>
          <w:b/>
          <w:bCs/>
          <w:sz w:val="24"/>
          <w:szCs w:val="24"/>
        </w:rPr>
        <w:t>2. Held-for-trading financial assets</w:t>
      </w:r>
      <w:bookmarkEnd w:id="161"/>
    </w:p>
    <w:p w14:paraId="470BEB7B" w14:textId="77777777" w:rsidR="00F73301" w:rsidRPr="00F73301" w:rsidRDefault="00F73301" w:rsidP="00454D40">
      <w:pPr>
        <w:adjustRightInd w:val="0"/>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A528BE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5599B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F7A92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20E73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64E929C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CE483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Financial assets at fair value through profit or loss for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73B4D5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21,400,000.00</w:t>
            </w:r>
          </w:p>
        </w:tc>
        <w:tc>
          <w:tcPr>
            <w:tcW w:w="3213" w:type="dxa"/>
            <w:tcBorders>
              <w:top w:val="single" w:sz="2" w:space="0" w:color="auto"/>
              <w:left w:val="single" w:sz="2" w:space="0" w:color="auto"/>
              <w:bottom w:val="single" w:sz="2" w:space="0" w:color="auto"/>
              <w:right w:val="single" w:sz="2" w:space="0" w:color="auto"/>
            </w:tcBorders>
            <w:vAlign w:val="center"/>
          </w:tcPr>
          <w:p w14:paraId="7B7224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63,200,000.00</w:t>
            </w:r>
          </w:p>
        </w:tc>
      </w:tr>
      <w:tr w:rsidR="00F73301" w:rsidRPr="00F73301" w14:paraId="7ED6D8E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F54B4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54D5C7"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9A12FA"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729E21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34D3A0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Financial products</w:t>
            </w:r>
          </w:p>
        </w:tc>
        <w:tc>
          <w:tcPr>
            <w:tcW w:w="3213" w:type="dxa"/>
            <w:tcBorders>
              <w:top w:val="single" w:sz="2" w:space="0" w:color="auto"/>
              <w:left w:val="single" w:sz="2" w:space="0" w:color="auto"/>
              <w:bottom w:val="single" w:sz="2" w:space="0" w:color="auto"/>
              <w:right w:val="single" w:sz="2" w:space="0" w:color="auto"/>
            </w:tcBorders>
            <w:vAlign w:val="center"/>
          </w:tcPr>
          <w:p w14:paraId="14B87D2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21,400,000.00</w:t>
            </w:r>
          </w:p>
        </w:tc>
        <w:tc>
          <w:tcPr>
            <w:tcW w:w="3213" w:type="dxa"/>
            <w:tcBorders>
              <w:top w:val="single" w:sz="2" w:space="0" w:color="auto"/>
              <w:left w:val="single" w:sz="2" w:space="0" w:color="auto"/>
              <w:bottom w:val="single" w:sz="2" w:space="0" w:color="auto"/>
              <w:right w:val="single" w:sz="2" w:space="0" w:color="auto"/>
            </w:tcBorders>
            <w:vAlign w:val="center"/>
          </w:tcPr>
          <w:p w14:paraId="04A6341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63,200,000.00</w:t>
            </w:r>
          </w:p>
        </w:tc>
      </w:tr>
      <w:tr w:rsidR="00F73301" w:rsidRPr="00F73301" w14:paraId="4225FB8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D2CCD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084690"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87FDF1"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5FC5981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2EBF4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0A6C2B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21,400,000.00</w:t>
            </w:r>
          </w:p>
        </w:tc>
        <w:tc>
          <w:tcPr>
            <w:tcW w:w="3213" w:type="dxa"/>
            <w:tcBorders>
              <w:top w:val="single" w:sz="2" w:space="0" w:color="auto"/>
              <w:left w:val="single" w:sz="2" w:space="0" w:color="auto"/>
              <w:bottom w:val="single" w:sz="2" w:space="0" w:color="auto"/>
              <w:right w:val="single" w:sz="2" w:space="0" w:color="auto"/>
            </w:tcBorders>
            <w:vAlign w:val="center"/>
          </w:tcPr>
          <w:p w14:paraId="72D490D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63,200,000.00</w:t>
            </w:r>
          </w:p>
        </w:tc>
      </w:tr>
    </w:tbl>
    <w:p w14:paraId="3A69953C"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7F8EEC92"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29168BB6"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62" w:name="_Toc989050"/>
      <w:r w:rsidRPr="00F73301">
        <w:rPr>
          <w:rFonts w:ascii="Times New Roman" w:eastAsia="宋体" w:hAnsi="Times New Roman" w:cs="Times New Roman"/>
          <w:b/>
          <w:bCs/>
          <w:sz w:val="24"/>
          <w:szCs w:val="24"/>
        </w:rPr>
        <w:t>3. Notes receivable</w:t>
      </w:r>
      <w:bookmarkEnd w:id="162"/>
    </w:p>
    <w:p w14:paraId="60FA8388"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63" w:name="_Toc989051"/>
      <w:r w:rsidRPr="00F73301">
        <w:rPr>
          <w:rFonts w:ascii="Times New Roman" w:eastAsia="宋体" w:hAnsi="Times New Roman" w:cs="Times New Roman"/>
          <w:b/>
          <w:bCs/>
          <w:sz w:val="24"/>
          <w:szCs w:val="24"/>
        </w:rPr>
        <w:t>(1) Notes receivable listed by category</w:t>
      </w:r>
      <w:bookmarkEnd w:id="163"/>
    </w:p>
    <w:p w14:paraId="0594DE0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6F6F621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15D84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16142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10BEA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1A2E7E3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11E5A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Trade acceptance notes</w:t>
            </w:r>
          </w:p>
        </w:tc>
        <w:tc>
          <w:tcPr>
            <w:tcW w:w="3213" w:type="dxa"/>
            <w:tcBorders>
              <w:top w:val="single" w:sz="2" w:space="0" w:color="auto"/>
              <w:left w:val="single" w:sz="2" w:space="0" w:color="auto"/>
              <w:bottom w:val="single" w:sz="2" w:space="0" w:color="auto"/>
              <w:right w:val="single" w:sz="2" w:space="0" w:color="auto"/>
            </w:tcBorders>
            <w:vAlign w:val="center"/>
          </w:tcPr>
          <w:p w14:paraId="0CA398B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51,761,214.07</w:t>
            </w:r>
          </w:p>
        </w:tc>
        <w:tc>
          <w:tcPr>
            <w:tcW w:w="3213" w:type="dxa"/>
            <w:tcBorders>
              <w:top w:val="single" w:sz="2" w:space="0" w:color="auto"/>
              <w:left w:val="single" w:sz="2" w:space="0" w:color="auto"/>
              <w:bottom w:val="single" w:sz="2" w:space="0" w:color="auto"/>
              <w:right w:val="single" w:sz="2" w:space="0" w:color="auto"/>
            </w:tcBorders>
            <w:vAlign w:val="center"/>
          </w:tcPr>
          <w:p w14:paraId="7B26CA5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12,807,571.46</w:t>
            </w:r>
          </w:p>
        </w:tc>
      </w:tr>
      <w:tr w:rsidR="00F73301" w:rsidRPr="00F73301" w14:paraId="633EB52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4AC1C5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Cheque from bank of Taiwan</w:t>
            </w:r>
          </w:p>
        </w:tc>
        <w:tc>
          <w:tcPr>
            <w:tcW w:w="3213" w:type="dxa"/>
            <w:tcBorders>
              <w:top w:val="single" w:sz="2" w:space="0" w:color="auto"/>
              <w:left w:val="single" w:sz="2" w:space="0" w:color="auto"/>
              <w:bottom w:val="single" w:sz="2" w:space="0" w:color="auto"/>
              <w:right w:val="single" w:sz="2" w:space="0" w:color="auto"/>
            </w:tcBorders>
            <w:vAlign w:val="center"/>
          </w:tcPr>
          <w:p w14:paraId="59C8A0E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D0BF1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258,537.23</w:t>
            </w:r>
          </w:p>
        </w:tc>
      </w:tr>
      <w:tr w:rsidR="00F73301" w:rsidRPr="00F73301" w14:paraId="77903F5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B8B26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03A0C37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51,761,214.07</w:t>
            </w:r>
          </w:p>
        </w:tc>
        <w:tc>
          <w:tcPr>
            <w:tcW w:w="3213" w:type="dxa"/>
            <w:tcBorders>
              <w:top w:val="single" w:sz="2" w:space="0" w:color="auto"/>
              <w:left w:val="single" w:sz="2" w:space="0" w:color="auto"/>
              <w:bottom w:val="single" w:sz="2" w:space="0" w:color="auto"/>
              <w:right w:val="single" w:sz="2" w:space="0" w:color="auto"/>
            </w:tcBorders>
            <w:vAlign w:val="center"/>
          </w:tcPr>
          <w:p w14:paraId="49770F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13,066,108.69</w:t>
            </w:r>
          </w:p>
        </w:tc>
      </w:tr>
    </w:tbl>
    <w:p w14:paraId="73DA1469"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F73301" w:rsidRPr="00454D40" w14:paraId="5FCC0520" w14:textId="77777777" w:rsidTr="0001208F">
        <w:trPr>
          <w:jc w:val="center"/>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04E0871"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Type</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1CA69A1D"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Closing balance</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E7313D1"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Opening balance</w:t>
            </w:r>
          </w:p>
        </w:tc>
      </w:tr>
      <w:tr w:rsidR="00F73301" w:rsidRPr="00454D40" w14:paraId="509CE2B0" w14:textId="77777777" w:rsidTr="0001208F">
        <w:trPr>
          <w:jc w:val="center"/>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0ED926A" w14:textId="77777777" w:rsidR="00F73301" w:rsidRPr="00454D40" w:rsidRDefault="00F73301" w:rsidP="008C49B7">
            <w:pPr>
              <w:snapToGrid w:val="0"/>
              <w:rPr>
                <w:rFonts w:ascii="Times New Roman" w:eastAsia="等线" w:hAnsi="Times New Roman" w:cs="Times New Roman"/>
                <w:sz w:val="16"/>
                <w:szCs w:val="16"/>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516B4AA"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Carrying balance</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31DB486"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Bad debt provision</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A35F8E"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Carrying amount</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795B38F"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Carrying balance</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5166125"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Bad debt provision</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699AD60"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Carrying amount</w:t>
            </w:r>
          </w:p>
        </w:tc>
      </w:tr>
      <w:tr w:rsidR="00F73301" w:rsidRPr="00454D40" w14:paraId="6EDE012F" w14:textId="77777777" w:rsidTr="0001208F">
        <w:trPr>
          <w:jc w:val="center"/>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DB1573A"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76C0505"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6094617"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Percentage</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CD2BFD1"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C157822"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Withdrawal proportion</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AEADEE"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E536DC8"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1A78832"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Percentage</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320A76D"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6C3E273"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Withdrawal proportion</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D35E85" w14:textId="77777777" w:rsidR="00F73301" w:rsidRPr="00454D40" w:rsidRDefault="00F73301" w:rsidP="008C49B7">
            <w:pPr>
              <w:snapToGrid w:val="0"/>
              <w:rPr>
                <w:rFonts w:ascii="Times New Roman" w:eastAsia="等线" w:hAnsi="Times New Roman" w:cs="Times New Roman"/>
                <w:sz w:val="16"/>
                <w:szCs w:val="16"/>
              </w:rPr>
            </w:pPr>
          </w:p>
        </w:tc>
      </w:tr>
      <w:tr w:rsidR="00F73301" w:rsidRPr="00454D40" w14:paraId="2FC2771C"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5E0655A" w14:textId="77777777" w:rsidR="00F73301" w:rsidRPr="00454D40" w:rsidRDefault="00F73301" w:rsidP="008C49B7">
            <w:pPr>
              <w:snapToGrid w:val="0"/>
              <w:ind w:firstLineChars="100" w:firstLine="160"/>
              <w:rPr>
                <w:rFonts w:ascii="Times New Roman" w:eastAsia="宋体" w:hAnsi="Times New Roman" w:cs="Times New Roman"/>
                <w:sz w:val="16"/>
                <w:szCs w:val="16"/>
              </w:rPr>
            </w:pPr>
            <w:r w:rsidRPr="00454D40">
              <w:rPr>
                <w:rFonts w:ascii="Times New Roman" w:eastAsia="宋体" w:hAnsi="Times New Roman" w:cs="Times New Roman"/>
                <w:sz w:val="16"/>
                <w:szCs w:val="16"/>
              </w:rPr>
              <w:t>Of which:</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C9D2283"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41B5E2"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AEB8515"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85D3245"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A5E7163"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430A127"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8A34C3B"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BB03EF5"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36C40CD"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AFEE5CB" w14:textId="77777777" w:rsidR="00F73301" w:rsidRPr="00454D40" w:rsidRDefault="00F73301" w:rsidP="008C49B7">
            <w:pPr>
              <w:snapToGrid w:val="0"/>
              <w:rPr>
                <w:rFonts w:ascii="Times New Roman" w:eastAsia="等线" w:hAnsi="Times New Roman" w:cs="Times New Roman"/>
                <w:sz w:val="16"/>
                <w:szCs w:val="16"/>
              </w:rPr>
            </w:pPr>
          </w:p>
        </w:tc>
      </w:tr>
      <w:tr w:rsidR="00F73301" w:rsidRPr="00454D40" w14:paraId="7C47274D"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2604942" w14:textId="77777777" w:rsidR="00F73301" w:rsidRPr="00454D40" w:rsidRDefault="00F73301" w:rsidP="008C49B7">
            <w:pPr>
              <w:snapToGrid w:val="0"/>
              <w:rPr>
                <w:rFonts w:ascii="Times New Roman" w:eastAsia="宋体" w:hAnsi="Times New Roman" w:cs="Times New Roman"/>
                <w:sz w:val="16"/>
                <w:szCs w:val="16"/>
              </w:rPr>
            </w:pPr>
            <w:r w:rsidRPr="00454D40">
              <w:rPr>
                <w:rFonts w:ascii="Times New Roman" w:eastAsia="宋体" w:hAnsi="Times New Roman" w:cs="Times New Roman"/>
                <w:sz w:val="16"/>
                <w:szCs w:val="16"/>
              </w:rPr>
              <w:t xml:space="preserve">Notes receivable of bad debt provision withdrawn </w:t>
            </w:r>
            <w:r w:rsidRPr="00454D40">
              <w:rPr>
                <w:rFonts w:ascii="Times New Roman" w:eastAsia="宋体" w:hAnsi="Times New Roman" w:cs="Times New Roman"/>
                <w:sz w:val="16"/>
                <w:szCs w:val="16"/>
              </w:rPr>
              <w:lastRenderedPageBreak/>
              <w:t>by groups</w:t>
            </w:r>
          </w:p>
        </w:tc>
        <w:tc>
          <w:tcPr>
            <w:tcW w:w="876" w:type="dxa"/>
            <w:tcBorders>
              <w:top w:val="single" w:sz="2" w:space="0" w:color="auto"/>
              <w:left w:val="single" w:sz="2" w:space="0" w:color="auto"/>
              <w:bottom w:val="single" w:sz="2" w:space="0" w:color="auto"/>
              <w:right w:val="single" w:sz="2" w:space="0" w:color="auto"/>
            </w:tcBorders>
            <w:vAlign w:val="center"/>
          </w:tcPr>
          <w:p w14:paraId="52E74BE2"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lastRenderedPageBreak/>
              <w:t>51,761,214.07</w:t>
            </w:r>
          </w:p>
        </w:tc>
        <w:tc>
          <w:tcPr>
            <w:tcW w:w="876" w:type="dxa"/>
            <w:tcBorders>
              <w:top w:val="single" w:sz="2" w:space="0" w:color="auto"/>
              <w:left w:val="single" w:sz="2" w:space="0" w:color="auto"/>
              <w:bottom w:val="single" w:sz="2" w:space="0" w:color="auto"/>
              <w:right w:val="single" w:sz="2" w:space="0" w:color="auto"/>
            </w:tcBorders>
            <w:vAlign w:val="center"/>
          </w:tcPr>
          <w:p w14:paraId="0E56EDF4"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7F35CBE"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0E39BA38"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57A9BDF9"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51,761,214.07</w:t>
            </w:r>
          </w:p>
        </w:tc>
        <w:tc>
          <w:tcPr>
            <w:tcW w:w="876" w:type="dxa"/>
            <w:tcBorders>
              <w:top w:val="single" w:sz="2" w:space="0" w:color="auto"/>
              <w:left w:val="single" w:sz="2" w:space="0" w:color="auto"/>
              <w:bottom w:val="single" w:sz="2" w:space="0" w:color="auto"/>
              <w:right w:val="single" w:sz="2" w:space="0" w:color="auto"/>
            </w:tcBorders>
            <w:vAlign w:val="center"/>
          </w:tcPr>
          <w:p w14:paraId="25E9EC2D"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13,066,108.69</w:t>
            </w:r>
          </w:p>
        </w:tc>
        <w:tc>
          <w:tcPr>
            <w:tcW w:w="876" w:type="dxa"/>
            <w:tcBorders>
              <w:top w:val="single" w:sz="2" w:space="0" w:color="auto"/>
              <w:left w:val="single" w:sz="2" w:space="0" w:color="auto"/>
              <w:bottom w:val="single" w:sz="2" w:space="0" w:color="auto"/>
              <w:right w:val="single" w:sz="2" w:space="0" w:color="auto"/>
            </w:tcBorders>
            <w:vAlign w:val="center"/>
          </w:tcPr>
          <w:p w14:paraId="1A163159"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06FE33F"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3F6DBF67"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7054B240"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13,066,108.69</w:t>
            </w:r>
          </w:p>
        </w:tc>
      </w:tr>
      <w:tr w:rsidR="00F73301" w:rsidRPr="00454D40" w14:paraId="3EEA9BC0"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0BB9E19" w14:textId="77777777" w:rsidR="00F73301" w:rsidRPr="00454D40" w:rsidRDefault="00F73301" w:rsidP="008C49B7">
            <w:pPr>
              <w:snapToGrid w:val="0"/>
              <w:ind w:firstLineChars="100" w:firstLine="160"/>
              <w:rPr>
                <w:rFonts w:ascii="Times New Roman" w:eastAsia="宋体" w:hAnsi="Times New Roman" w:cs="Times New Roman"/>
                <w:sz w:val="16"/>
                <w:szCs w:val="16"/>
              </w:rPr>
            </w:pPr>
            <w:r w:rsidRPr="00454D40">
              <w:rPr>
                <w:rFonts w:ascii="Times New Roman" w:eastAsia="宋体" w:hAnsi="Times New Roman" w:cs="Times New Roman"/>
                <w:sz w:val="16"/>
                <w:szCs w:val="16"/>
              </w:rPr>
              <w:t>Of which:</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8ACF8ED"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ED67FC1"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5EFD8EA"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D6185FE"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15E13D9"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12C5CF9"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DF7A116"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FEBA0A8"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D7F3ACE"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4FFA85B" w14:textId="77777777" w:rsidR="00F73301" w:rsidRPr="00454D40" w:rsidRDefault="00F73301" w:rsidP="008C49B7">
            <w:pPr>
              <w:snapToGrid w:val="0"/>
              <w:rPr>
                <w:rFonts w:ascii="Times New Roman" w:eastAsia="等线" w:hAnsi="Times New Roman" w:cs="Times New Roman"/>
                <w:sz w:val="16"/>
                <w:szCs w:val="16"/>
              </w:rPr>
            </w:pPr>
          </w:p>
        </w:tc>
      </w:tr>
      <w:tr w:rsidR="00F73301" w:rsidRPr="00454D40" w14:paraId="1D5FDC65"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4965F5C8" w14:textId="77777777" w:rsidR="00F73301" w:rsidRPr="00454D40" w:rsidRDefault="00F73301" w:rsidP="008C49B7">
            <w:pPr>
              <w:snapToGrid w:val="0"/>
              <w:rPr>
                <w:rFonts w:ascii="Times New Roman" w:eastAsia="宋体" w:hAnsi="Times New Roman" w:cs="Times New Roman"/>
                <w:sz w:val="16"/>
                <w:szCs w:val="16"/>
              </w:rPr>
            </w:pPr>
            <w:r w:rsidRPr="00454D40">
              <w:rPr>
                <w:rFonts w:ascii="Times New Roman" w:eastAsia="宋体" w:hAnsi="Times New Roman" w:cs="Times New Roman"/>
                <w:sz w:val="16"/>
                <w:szCs w:val="16"/>
              </w:rPr>
              <w:t>Trade acceptance notes</w:t>
            </w:r>
          </w:p>
        </w:tc>
        <w:tc>
          <w:tcPr>
            <w:tcW w:w="876" w:type="dxa"/>
            <w:tcBorders>
              <w:top w:val="single" w:sz="2" w:space="0" w:color="auto"/>
              <w:left w:val="single" w:sz="2" w:space="0" w:color="auto"/>
              <w:bottom w:val="single" w:sz="2" w:space="0" w:color="auto"/>
              <w:right w:val="single" w:sz="2" w:space="0" w:color="auto"/>
            </w:tcBorders>
            <w:vAlign w:val="center"/>
          </w:tcPr>
          <w:p w14:paraId="6792DC1C"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51,761,214.07</w:t>
            </w:r>
          </w:p>
        </w:tc>
        <w:tc>
          <w:tcPr>
            <w:tcW w:w="876" w:type="dxa"/>
            <w:tcBorders>
              <w:top w:val="single" w:sz="2" w:space="0" w:color="auto"/>
              <w:left w:val="single" w:sz="2" w:space="0" w:color="auto"/>
              <w:bottom w:val="single" w:sz="2" w:space="0" w:color="auto"/>
              <w:right w:val="single" w:sz="2" w:space="0" w:color="auto"/>
            </w:tcBorders>
            <w:vAlign w:val="center"/>
          </w:tcPr>
          <w:p w14:paraId="081311F1"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EA3F003"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523B9C66"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53EBD1D1"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51,761,214.07</w:t>
            </w:r>
          </w:p>
        </w:tc>
        <w:tc>
          <w:tcPr>
            <w:tcW w:w="876" w:type="dxa"/>
            <w:tcBorders>
              <w:top w:val="single" w:sz="2" w:space="0" w:color="auto"/>
              <w:left w:val="single" w:sz="2" w:space="0" w:color="auto"/>
              <w:bottom w:val="single" w:sz="2" w:space="0" w:color="auto"/>
              <w:right w:val="single" w:sz="2" w:space="0" w:color="auto"/>
            </w:tcBorders>
            <w:vAlign w:val="center"/>
          </w:tcPr>
          <w:p w14:paraId="18DD13D2"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12,807,571.46</w:t>
            </w:r>
          </w:p>
        </w:tc>
        <w:tc>
          <w:tcPr>
            <w:tcW w:w="876" w:type="dxa"/>
            <w:tcBorders>
              <w:top w:val="single" w:sz="2" w:space="0" w:color="auto"/>
              <w:left w:val="single" w:sz="2" w:space="0" w:color="auto"/>
              <w:bottom w:val="single" w:sz="2" w:space="0" w:color="auto"/>
              <w:right w:val="single" w:sz="2" w:space="0" w:color="auto"/>
            </w:tcBorders>
            <w:vAlign w:val="center"/>
          </w:tcPr>
          <w:p w14:paraId="744E3168"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98.02%</w:t>
            </w:r>
          </w:p>
        </w:tc>
        <w:tc>
          <w:tcPr>
            <w:tcW w:w="876" w:type="dxa"/>
            <w:tcBorders>
              <w:top w:val="single" w:sz="2" w:space="0" w:color="auto"/>
              <w:left w:val="single" w:sz="2" w:space="0" w:color="auto"/>
              <w:bottom w:val="single" w:sz="2" w:space="0" w:color="auto"/>
              <w:right w:val="single" w:sz="2" w:space="0" w:color="auto"/>
            </w:tcBorders>
            <w:vAlign w:val="center"/>
          </w:tcPr>
          <w:p w14:paraId="76CA65FA"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4DB72A1F"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06D7BC4F"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12,807,571.46</w:t>
            </w:r>
          </w:p>
        </w:tc>
      </w:tr>
      <w:tr w:rsidR="00F73301" w:rsidRPr="00454D40" w14:paraId="7A39EB39"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vAlign w:val="center"/>
          </w:tcPr>
          <w:p w14:paraId="0196E34A" w14:textId="77777777" w:rsidR="00F73301" w:rsidRPr="00454D40" w:rsidRDefault="00F73301" w:rsidP="008C49B7">
            <w:pPr>
              <w:snapToGrid w:val="0"/>
              <w:rPr>
                <w:rFonts w:ascii="Times New Roman" w:eastAsia="宋体" w:hAnsi="Times New Roman" w:cs="Times New Roman"/>
                <w:sz w:val="16"/>
                <w:szCs w:val="16"/>
              </w:rPr>
            </w:pPr>
            <w:r w:rsidRPr="00454D40">
              <w:rPr>
                <w:rFonts w:ascii="Times New Roman" w:eastAsia="宋体" w:hAnsi="Times New Roman" w:cs="Times New Roman"/>
                <w:sz w:val="16"/>
                <w:szCs w:val="16"/>
              </w:rPr>
              <w:t>Cheque from bank of Taiwan</w:t>
            </w:r>
          </w:p>
        </w:tc>
        <w:tc>
          <w:tcPr>
            <w:tcW w:w="876" w:type="dxa"/>
            <w:tcBorders>
              <w:top w:val="single" w:sz="2" w:space="0" w:color="auto"/>
              <w:left w:val="single" w:sz="2" w:space="0" w:color="auto"/>
              <w:bottom w:val="single" w:sz="2" w:space="0" w:color="auto"/>
              <w:right w:val="single" w:sz="2" w:space="0" w:color="auto"/>
            </w:tcBorders>
            <w:vAlign w:val="center"/>
          </w:tcPr>
          <w:p w14:paraId="149A4422" w14:textId="77777777" w:rsidR="00F73301" w:rsidRPr="00454D40" w:rsidRDefault="00F73301" w:rsidP="008C49B7">
            <w:pPr>
              <w:snapToGrid w:val="0"/>
              <w:jc w:val="right"/>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7D34934E" w14:textId="77777777" w:rsidR="00F73301" w:rsidRPr="00454D40" w:rsidRDefault="00F73301" w:rsidP="008C49B7">
            <w:pPr>
              <w:snapToGrid w:val="0"/>
              <w:jc w:val="right"/>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65042390" w14:textId="77777777" w:rsidR="00F73301" w:rsidRPr="00454D40" w:rsidRDefault="00F73301" w:rsidP="008C49B7">
            <w:pPr>
              <w:snapToGrid w:val="0"/>
              <w:jc w:val="right"/>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6AD53615" w14:textId="77777777" w:rsidR="00F73301" w:rsidRPr="00454D40" w:rsidRDefault="00F73301" w:rsidP="008C49B7">
            <w:pPr>
              <w:snapToGrid w:val="0"/>
              <w:jc w:val="right"/>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1088BD9E" w14:textId="77777777" w:rsidR="00F73301" w:rsidRPr="00454D40" w:rsidRDefault="00F73301" w:rsidP="008C49B7">
            <w:pPr>
              <w:snapToGrid w:val="0"/>
              <w:jc w:val="right"/>
              <w:rPr>
                <w:rFonts w:ascii="Times New Roman" w:eastAsia="宋体"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vAlign w:val="center"/>
          </w:tcPr>
          <w:p w14:paraId="68DEFEC8"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258,537.23</w:t>
            </w:r>
          </w:p>
        </w:tc>
        <w:tc>
          <w:tcPr>
            <w:tcW w:w="876" w:type="dxa"/>
            <w:tcBorders>
              <w:top w:val="single" w:sz="2" w:space="0" w:color="auto"/>
              <w:left w:val="single" w:sz="2" w:space="0" w:color="auto"/>
              <w:bottom w:val="single" w:sz="2" w:space="0" w:color="auto"/>
              <w:right w:val="single" w:sz="2" w:space="0" w:color="auto"/>
            </w:tcBorders>
            <w:vAlign w:val="center"/>
          </w:tcPr>
          <w:p w14:paraId="4DE13B30"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1.98%</w:t>
            </w:r>
          </w:p>
        </w:tc>
        <w:tc>
          <w:tcPr>
            <w:tcW w:w="876" w:type="dxa"/>
            <w:tcBorders>
              <w:top w:val="single" w:sz="2" w:space="0" w:color="auto"/>
              <w:left w:val="single" w:sz="2" w:space="0" w:color="auto"/>
              <w:bottom w:val="single" w:sz="2" w:space="0" w:color="auto"/>
              <w:right w:val="single" w:sz="2" w:space="0" w:color="auto"/>
            </w:tcBorders>
            <w:vAlign w:val="center"/>
          </w:tcPr>
          <w:p w14:paraId="54A875EE"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5DC10EF7"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5267FBF6"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258,537.23</w:t>
            </w:r>
          </w:p>
        </w:tc>
      </w:tr>
      <w:tr w:rsidR="00F73301" w:rsidRPr="00454D40" w14:paraId="4956E5D9"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B01E843" w14:textId="77777777" w:rsidR="00F73301" w:rsidRPr="00454D40" w:rsidRDefault="00F73301" w:rsidP="008C49B7">
            <w:pPr>
              <w:snapToGrid w:val="0"/>
              <w:rPr>
                <w:rFonts w:ascii="Times New Roman" w:eastAsia="宋体" w:hAnsi="Times New Roman" w:cs="Times New Roman"/>
                <w:sz w:val="16"/>
                <w:szCs w:val="16"/>
              </w:rPr>
            </w:pPr>
            <w:r w:rsidRPr="00454D40">
              <w:rPr>
                <w:rFonts w:ascii="Times New Roman" w:eastAsia="宋体" w:hAnsi="Times New Roman" w:cs="Times New Roman"/>
                <w:sz w:val="16"/>
                <w:szCs w:val="16"/>
              </w:rPr>
              <w:t>Total</w:t>
            </w:r>
          </w:p>
        </w:tc>
        <w:tc>
          <w:tcPr>
            <w:tcW w:w="876" w:type="dxa"/>
            <w:tcBorders>
              <w:top w:val="single" w:sz="2" w:space="0" w:color="auto"/>
              <w:left w:val="single" w:sz="2" w:space="0" w:color="auto"/>
              <w:bottom w:val="single" w:sz="2" w:space="0" w:color="auto"/>
              <w:right w:val="single" w:sz="2" w:space="0" w:color="auto"/>
            </w:tcBorders>
            <w:vAlign w:val="center"/>
          </w:tcPr>
          <w:p w14:paraId="3338243D"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51,761,214.07</w:t>
            </w:r>
          </w:p>
        </w:tc>
        <w:tc>
          <w:tcPr>
            <w:tcW w:w="876" w:type="dxa"/>
            <w:tcBorders>
              <w:top w:val="single" w:sz="2" w:space="0" w:color="auto"/>
              <w:left w:val="single" w:sz="2" w:space="0" w:color="auto"/>
              <w:bottom w:val="single" w:sz="2" w:space="0" w:color="auto"/>
              <w:right w:val="single" w:sz="2" w:space="0" w:color="auto"/>
            </w:tcBorders>
            <w:vAlign w:val="center"/>
          </w:tcPr>
          <w:p w14:paraId="0BD30018"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8B75A95"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6D1AD301"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391DB524"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51,761,214.07</w:t>
            </w:r>
          </w:p>
        </w:tc>
        <w:tc>
          <w:tcPr>
            <w:tcW w:w="876" w:type="dxa"/>
            <w:tcBorders>
              <w:top w:val="single" w:sz="2" w:space="0" w:color="auto"/>
              <w:left w:val="single" w:sz="2" w:space="0" w:color="auto"/>
              <w:bottom w:val="single" w:sz="2" w:space="0" w:color="auto"/>
              <w:right w:val="single" w:sz="2" w:space="0" w:color="auto"/>
            </w:tcBorders>
            <w:vAlign w:val="center"/>
          </w:tcPr>
          <w:p w14:paraId="43BAEF95"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13,066,108.69</w:t>
            </w:r>
          </w:p>
        </w:tc>
        <w:tc>
          <w:tcPr>
            <w:tcW w:w="876" w:type="dxa"/>
            <w:tcBorders>
              <w:top w:val="single" w:sz="2" w:space="0" w:color="auto"/>
              <w:left w:val="single" w:sz="2" w:space="0" w:color="auto"/>
              <w:bottom w:val="single" w:sz="2" w:space="0" w:color="auto"/>
              <w:right w:val="single" w:sz="2" w:space="0" w:color="auto"/>
            </w:tcBorders>
            <w:vAlign w:val="center"/>
          </w:tcPr>
          <w:p w14:paraId="7586083C"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1F6CF39"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6478870F"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0.00%</w:t>
            </w:r>
          </w:p>
        </w:tc>
        <w:tc>
          <w:tcPr>
            <w:tcW w:w="876" w:type="dxa"/>
            <w:tcBorders>
              <w:top w:val="single" w:sz="2" w:space="0" w:color="auto"/>
              <w:left w:val="single" w:sz="2" w:space="0" w:color="auto"/>
              <w:bottom w:val="single" w:sz="2" w:space="0" w:color="auto"/>
              <w:right w:val="single" w:sz="2" w:space="0" w:color="auto"/>
            </w:tcBorders>
            <w:vAlign w:val="center"/>
          </w:tcPr>
          <w:p w14:paraId="7EE243FB"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13,066,108.69</w:t>
            </w:r>
          </w:p>
        </w:tc>
      </w:tr>
    </w:tbl>
    <w:p w14:paraId="25BCA4CE"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Please refer to the relevant information of disclosure of bad debt provision of other accounts receivable if adopting the general mode of expected credit loss to withdraw bad debt provision of notes receivable.</w:t>
      </w:r>
    </w:p>
    <w:p w14:paraId="510B26B0" w14:textId="5976E875"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33D7FC17"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64" w:name="_Toc989052"/>
      <w:r w:rsidRPr="00F73301">
        <w:rPr>
          <w:rFonts w:ascii="Times New Roman" w:eastAsia="宋体" w:hAnsi="Times New Roman" w:cs="Times New Roman"/>
          <w:b/>
          <w:bCs/>
          <w:sz w:val="24"/>
          <w:szCs w:val="24"/>
        </w:rPr>
        <w:t>(2) Bad debt provision withdrawal, reversed or recovered in the current period</w:t>
      </w:r>
      <w:bookmarkEnd w:id="164"/>
    </w:p>
    <w:p w14:paraId="7FEEC323"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Withdrawal of bad debt provision in the current period:</w:t>
      </w:r>
    </w:p>
    <w:p w14:paraId="05C10C2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50A2B118"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FCFAE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Type</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335B7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248F0B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Changes in the current period</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347B2C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3877AEA6"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70CB06"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296ED5"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68DD06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Withdrawal</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981A06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Reversed or recovered</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CF3F2F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Write-off</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BD2CF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722EBB" w14:textId="77777777" w:rsidR="00F73301" w:rsidRPr="00F73301" w:rsidRDefault="00F73301" w:rsidP="008C49B7">
            <w:pPr>
              <w:snapToGrid w:val="0"/>
              <w:rPr>
                <w:rFonts w:ascii="Times New Roman" w:eastAsia="等线" w:hAnsi="Times New Roman" w:cs="Times New Roman"/>
                <w:sz w:val="18"/>
                <w:szCs w:val="18"/>
              </w:rPr>
            </w:pPr>
          </w:p>
        </w:tc>
      </w:tr>
    </w:tbl>
    <w:p w14:paraId="6273F3BD"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Of which the bad debt provision recovered or reversed with significant amount in the current period:</w:t>
      </w:r>
    </w:p>
    <w:p w14:paraId="155A86E9" w14:textId="41C0A3F9"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4CF645AD"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1EDBDE0F"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65" w:name="_Toc989053"/>
      <w:r w:rsidRPr="00F73301">
        <w:rPr>
          <w:rFonts w:ascii="Times New Roman" w:eastAsia="宋体" w:hAnsi="Times New Roman" w:cs="Times New Roman"/>
          <w:b/>
          <w:bCs/>
          <w:sz w:val="24"/>
          <w:szCs w:val="24"/>
        </w:rPr>
        <w:t>(3) Notes receivable pledged by the Company at the period-end</w:t>
      </w:r>
      <w:bookmarkEnd w:id="165"/>
    </w:p>
    <w:p w14:paraId="73E2A19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4704777E"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85EFEC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F60936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pledged amount</w:t>
            </w:r>
          </w:p>
        </w:tc>
      </w:tr>
    </w:tbl>
    <w:p w14:paraId="1168EDC6" w14:textId="77777777" w:rsidR="00F73301" w:rsidRPr="00F73301" w:rsidRDefault="00F73301" w:rsidP="00F73301">
      <w:pPr>
        <w:keepNext/>
        <w:keepLines/>
        <w:snapToGrid w:val="0"/>
        <w:spacing w:beforeLines="50" w:before="156" w:afterLines="50" w:after="156"/>
        <w:outlineLvl w:val="3"/>
        <w:rPr>
          <w:rFonts w:ascii="Times New Roman" w:eastAsia="宋体" w:hAnsi="Times New Roman" w:cs="Times New Roman"/>
          <w:b/>
          <w:bCs/>
          <w:sz w:val="24"/>
          <w:szCs w:val="24"/>
        </w:rPr>
      </w:pPr>
      <w:bookmarkStart w:id="166" w:name="_Toc989054"/>
      <w:r w:rsidRPr="00F73301">
        <w:rPr>
          <w:rFonts w:ascii="Times New Roman" w:eastAsia="宋体" w:hAnsi="Times New Roman" w:cs="Times New Roman"/>
          <w:b/>
          <w:bCs/>
          <w:sz w:val="24"/>
          <w:szCs w:val="24"/>
        </w:rPr>
        <w:t>(4) Notes receivable which had endorsed or discounted by the Company and had not due on the balance sheet date at the period-end</w:t>
      </w:r>
      <w:bookmarkEnd w:id="166"/>
    </w:p>
    <w:p w14:paraId="017685F9"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EEE859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FE480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1EBCB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derecognized amount</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3B95C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un-derecognized amount</w:t>
            </w:r>
          </w:p>
        </w:tc>
      </w:tr>
      <w:tr w:rsidR="00F73301" w:rsidRPr="00F73301" w14:paraId="4218B41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8864A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Trade acceptance notes</w:t>
            </w:r>
          </w:p>
        </w:tc>
        <w:tc>
          <w:tcPr>
            <w:tcW w:w="3213" w:type="dxa"/>
            <w:tcBorders>
              <w:top w:val="single" w:sz="2" w:space="0" w:color="auto"/>
              <w:left w:val="single" w:sz="2" w:space="0" w:color="auto"/>
              <w:bottom w:val="single" w:sz="2" w:space="0" w:color="auto"/>
              <w:right w:val="single" w:sz="2" w:space="0" w:color="auto"/>
            </w:tcBorders>
            <w:vAlign w:val="center"/>
          </w:tcPr>
          <w:p w14:paraId="7E89156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06207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929,971.75</w:t>
            </w:r>
          </w:p>
        </w:tc>
      </w:tr>
      <w:tr w:rsidR="00F73301" w:rsidRPr="00F73301" w14:paraId="637778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C108F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3081607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5F92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929,971.75</w:t>
            </w:r>
          </w:p>
        </w:tc>
      </w:tr>
    </w:tbl>
    <w:p w14:paraId="794385EB" w14:textId="77777777" w:rsidR="00F73301" w:rsidRPr="00F73301" w:rsidRDefault="00F73301" w:rsidP="00F73301">
      <w:pPr>
        <w:keepNext/>
        <w:keepLines/>
        <w:snapToGrid w:val="0"/>
        <w:spacing w:beforeLines="50" w:before="156" w:afterLines="50" w:after="156"/>
        <w:outlineLvl w:val="3"/>
        <w:rPr>
          <w:rFonts w:ascii="Times New Roman" w:eastAsia="宋体" w:hAnsi="Times New Roman" w:cs="Times New Roman"/>
          <w:b/>
          <w:bCs/>
          <w:sz w:val="24"/>
          <w:szCs w:val="24"/>
        </w:rPr>
      </w:pPr>
      <w:bookmarkStart w:id="167" w:name="_Toc989055"/>
      <w:r w:rsidRPr="00F73301">
        <w:rPr>
          <w:rFonts w:ascii="Times New Roman" w:eastAsia="宋体" w:hAnsi="Times New Roman" w:cs="Times New Roman"/>
          <w:b/>
          <w:bCs/>
          <w:sz w:val="24"/>
          <w:szCs w:val="24"/>
        </w:rPr>
        <w:t>(5) Notes transferred to accounts receivable because the drawer failed to execute the contract or agreement at the period-end</w:t>
      </w:r>
      <w:bookmarkEnd w:id="167"/>
    </w:p>
    <w:p w14:paraId="2E75741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5E800B0C"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AF4848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18D22E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of the notes transferred to accounts receivable at the period-end</w:t>
            </w:r>
          </w:p>
        </w:tc>
      </w:tr>
    </w:tbl>
    <w:p w14:paraId="7134A81E"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0C228229" w14:textId="77777777" w:rsidR="00F73301" w:rsidRPr="00F73301" w:rsidRDefault="00F73301" w:rsidP="00454D40">
      <w:pPr>
        <w:snapToGrid w:val="0"/>
        <w:spacing w:beforeLines="50" w:before="156" w:afterLines="50" w:after="156"/>
        <w:jc w:val="both"/>
        <w:rPr>
          <w:rFonts w:ascii="Times New Roman" w:eastAsia="等线" w:hAnsi="Times New Roman" w:cs="Times New Roman"/>
          <w:sz w:val="24"/>
          <w:szCs w:val="24"/>
        </w:rPr>
      </w:pPr>
    </w:p>
    <w:p w14:paraId="22E80ABB" w14:textId="77777777" w:rsidR="00F73301" w:rsidRPr="00F73301" w:rsidRDefault="00F73301" w:rsidP="00F73301">
      <w:pPr>
        <w:keepNext/>
        <w:keepLines/>
        <w:snapToGrid w:val="0"/>
        <w:spacing w:beforeLines="50" w:before="156" w:afterLines="50" w:after="156"/>
        <w:outlineLvl w:val="3"/>
        <w:rPr>
          <w:rFonts w:ascii="Times New Roman" w:eastAsia="宋体" w:hAnsi="Times New Roman" w:cs="Times New Roman"/>
          <w:b/>
          <w:bCs/>
          <w:sz w:val="24"/>
          <w:szCs w:val="24"/>
        </w:rPr>
      </w:pPr>
      <w:bookmarkStart w:id="168" w:name="_Toc989056"/>
      <w:r w:rsidRPr="00F73301">
        <w:rPr>
          <w:rFonts w:ascii="Times New Roman" w:eastAsia="宋体" w:hAnsi="Times New Roman" w:cs="Times New Roman"/>
          <w:b/>
          <w:bCs/>
          <w:sz w:val="24"/>
          <w:szCs w:val="24"/>
        </w:rPr>
        <w:t>(6) Notes receivable with actual verification in the current period</w:t>
      </w:r>
      <w:bookmarkEnd w:id="168"/>
    </w:p>
    <w:p w14:paraId="3AF0656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3E79B79F"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36DEB9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AF4DAC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r>
    </w:tbl>
    <w:p w14:paraId="5E86127F"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Of which, the verification of significant notes receivable:</w:t>
      </w:r>
    </w:p>
    <w:p w14:paraId="588073C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316FD8CF"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E61A0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81EAC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3193C9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A358A2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 for verification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302B1C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Verification procedures performed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96BA39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Whether occurred because of related-party transactions</w:t>
            </w:r>
          </w:p>
        </w:tc>
      </w:tr>
    </w:tbl>
    <w:p w14:paraId="2ADD47E8"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of the verification of notes receivable</w:t>
      </w:r>
    </w:p>
    <w:p w14:paraId="061C466F" w14:textId="77777777" w:rsidR="00F73301" w:rsidRPr="00F73301" w:rsidRDefault="00F73301" w:rsidP="00F73301">
      <w:pPr>
        <w:snapToGrid w:val="0"/>
        <w:spacing w:beforeLines="50" w:before="156" w:afterLines="50" w:after="156"/>
        <w:rPr>
          <w:rFonts w:ascii="Times New Roman" w:eastAsia="等线" w:hAnsi="Times New Roman" w:cs="Times New Roman"/>
          <w:sz w:val="24"/>
          <w:szCs w:val="24"/>
        </w:rPr>
      </w:pPr>
    </w:p>
    <w:p w14:paraId="05C6B7D1" w14:textId="77777777" w:rsidR="00F73301" w:rsidRPr="00F73301" w:rsidRDefault="00F73301" w:rsidP="00F73301">
      <w:pPr>
        <w:keepNext/>
        <w:keepLines/>
        <w:snapToGrid w:val="0"/>
        <w:spacing w:beforeLines="50" w:before="156" w:afterLines="50" w:after="156"/>
        <w:outlineLvl w:val="2"/>
        <w:rPr>
          <w:rFonts w:ascii="Times New Roman" w:eastAsia="宋体" w:hAnsi="Times New Roman" w:cs="Times New Roman"/>
          <w:b/>
          <w:bCs/>
          <w:sz w:val="24"/>
          <w:szCs w:val="24"/>
        </w:rPr>
      </w:pPr>
      <w:bookmarkStart w:id="169" w:name="_Toc989057"/>
      <w:r w:rsidRPr="00F73301">
        <w:rPr>
          <w:rFonts w:ascii="Times New Roman" w:eastAsia="宋体" w:hAnsi="Times New Roman" w:cs="Times New Roman"/>
          <w:b/>
          <w:bCs/>
          <w:sz w:val="24"/>
          <w:szCs w:val="24"/>
        </w:rPr>
        <w:t>4. Accounts receivable</w:t>
      </w:r>
      <w:bookmarkEnd w:id="169"/>
    </w:p>
    <w:p w14:paraId="338675D6" w14:textId="77777777" w:rsidR="00F73301" w:rsidRPr="00F73301" w:rsidRDefault="00F73301" w:rsidP="00F73301">
      <w:pPr>
        <w:keepNext/>
        <w:keepLines/>
        <w:snapToGrid w:val="0"/>
        <w:spacing w:beforeLines="50" w:before="156" w:afterLines="50" w:after="156"/>
        <w:outlineLvl w:val="3"/>
        <w:rPr>
          <w:rFonts w:ascii="Times New Roman" w:eastAsia="宋体" w:hAnsi="Times New Roman" w:cs="Times New Roman"/>
          <w:b/>
          <w:bCs/>
          <w:sz w:val="24"/>
          <w:szCs w:val="24"/>
        </w:rPr>
      </w:pPr>
      <w:bookmarkStart w:id="170" w:name="_Toc989058"/>
      <w:r w:rsidRPr="00F73301">
        <w:rPr>
          <w:rFonts w:ascii="Times New Roman" w:eastAsia="宋体" w:hAnsi="Times New Roman" w:cs="Times New Roman"/>
          <w:b/>
          <w:bCs/>
          <w:sz w:val="24"/>
          <w:szCs w:val="24"/>
        </w:rPr>
        <w:t>(1) Accounts receivable listed by category</w:t>
      </w:r>
      <w:bookmarkEnd w:id="170"/>
    </w:p>
    <w:p w14:paraId="4863735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F73301" w:rsidRPr="00454D40" w14:paraId="63DB9E8D" w14:textId="77777777" w:rsidTr="0001208F">
        <w:trPr>
          <w:jc w:val="center"/>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4C162A"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Type</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3FB0906"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Closing balance</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1095F4C3"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Opening balance</w:t>
            </w:r>
          </w:p>
        </w:tc>
      </w:tr>
      <w:tr w:rsidR="00F73301" w:rsidRPr="00454D40" w14:paraId="5C07873A" w14:textId="77777777" w:rsidTr="0001208F">
        <w:trPr>
          <w:jc w:val="center"/>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B5E6C86" w14:textId="77777777" w:rsidR="00F73301" w:rsidRPr="00454D40" w:rsidRDefault="00F73301" w:rsidP="008C49B7">
            <w:pPr>
              <w:snapToGrid w:val="0"/>
              <w:rPr>
                <w:rFonts w:ascii="Times New Roman" w:eastAsia="等线" w:hAnsi="Times New Roman" w:cs="Times New Roman"/>
                <w:sz w:val="16"/>
                <w:szCs w:val="16"/>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07640B2"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Carrying balance</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39CDBC9"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Bad debt provision</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A86FE2"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Carrying amount</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FD8FDFA"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Carrying balance</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944799"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Bad debt provision</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D8B8203"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Carrying amount</w:t>
            </w:r>
          </w:p>
        </w:tc>
      </w:tr>
      <w:tr w:rsidR="00F73301" w:rsidRPr="00454D40" w14:paraId="204C07C3" w14:textId="77777777" w:rsidTr="0001208F">
        <w:trPr>
          <w:jc w:val="center"/>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DBA99E"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106DB4E"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F180F0F"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Percentage</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906967B"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CC7B30A"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Withdrawal proportion</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42C75F9"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8B6CE83"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81D5793"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Percentage</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8B57008"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979D46" w14:textId="77777777" w:rsidR="00F73301" w:rsidRPr="00454D40" w:rsidRDefault="00F73301" w:rsidP="008C49B7">
            <w:pPr>
              <w:snapToGrid w:val="0"/>
              <w:jc w:val="center"/>
              <w:rPr>
                <w:rFonts w:ascii="Times New Roman" w:eastAsia="宋体" w:hAnsi="Times New Roman" w:cs="Times New Roman"/>
                <w:sz w:val="16"/>
                <w:szCs w:val="16"/>
              </w:rPr>
            </w:pPr>
            <w:r w:rsidRPr="00454D40">
              <w:rPr>
                <w:rFonts w:ascii="Times New Roman" w:eastAsia="宋体" w:hAnsi="Times New Roman" w:cs="Times New Roman"/>
                <w:sz w:val="16"/>
                <w:szCs w:val="16"/>
              </w:rPr>
              <w:t>Withdrawal proportion</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A79735F" w14:textId="77777777" w:rsidR="00F73301" w:rsidRPr="00454D40" w:rsidRDefault="00F73301" w:rsidP="008C49B7">
            <w:pPr>
              <w:snapToGrid w:val="0"/>
              <w:rPr>
                <w:rFonts w:ascii="Times New Roman" w:eastAsia="等线" w:hAnsi="Times New Roman" w:cs="Times New Roman"/>
                <w:sz w:val="16"/>
                <w:szCs w:val="16"/>
              </w:rPr>
            </w:pPr>
          </w:p>
        </w:tc>
      </w:tr>
      <w:tr w:rsidR="00F73301" w:rsidRPr="00454D40" w14:paraId="5F486E73"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FD28E3F" w14:textId="77777777" w:rsidR="00F73301" w:rsidRPr="00454D40" w:rsidRDefault="00F73301" w:rsidP="008C49B7">
            <w:pPr>
              <w:snapToGrid w:val="0"/>
              <w:ind w:firstLineChars="100" w:firstLine="160"/>
              <w:rPr>
                <w:rFonts w:ascii="Times New Roman" w:eastAsia="宋体" w:hAnsi="Times New Roman" w:cs="Times New Roman"/>
                <w:sz w:val="16"/>
                <w:szCs w:val="16"/>
              </w:rPr>
            </w:pPr>
            <w:r w:rsidRPr="00454D40">
              <w:rPr>
                <w:rFonts w:ascii="Times New Roman" w:eastAsia="宋体" w:hAnsi="Times New Roman" w:cs="Times New Roman"/>
                <w:sz w:val="16"/>
                <w:szCs w:val="16"/>
              </w:rPr>
              <w:t>Of which:</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BA7C886"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EC49B04"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77BB64D"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00D9D9C"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5644A68"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3873E5C"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67053AC"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E46B7E3"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A096777"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5D31E91" w14:textId="77777777" w:rsidR="00F73301" w:rsidRPr="00454D40" w:rsidRDefault="00F73301" w:rsidP="008C49B7">
            <w:pPr>
              <w:snapToGrid w:val="0"/>
              <w:rPr>
                <w:rFonts w:ascii="Times New Roman" w:eastAsia="等线" w:hAnsi="Times New Roman" w:cs="Times New Roman"/>
                <w:sz w:val="16"/>
                <w:szCs w:val="16"/>
              </w:rPr>
            </w:pPr>
          </w:p>
        </w:tc>
      </w:tr>
      <w:tr w:rsidR="00F73301" w:rsidRPr="00454D40" w14:paraId="1A212964"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8C22071" w14:textId="77777777" w:rsidR="00F73301" w:rsidRPr="00454D40" w:rsidRDefault="00F73301" w:rsidP="008C49B7">
            <w:pPr>
              <w:snapToGrid w:val="0"/>
              <w:rPr>
                <w:rFonts w:ascii="Times New Roman" w:eastAsia="宋体" w:hAnsi="Times New Roman" w:cs="Times New Roman"/>
                <w:sz w:val="16"/>
                <w:szCs w:val="16"/>
              </w:rPr>
            </w:pPr>
            <w:r w:rsidRPr="00454D40">
              <w:rPr>
                <w:rFonts w:ascii="Times New Roman" w:eastAsia="宋体" w:hAnsi="Times New Roman" w:cs="Times New Roman"/>
                <w:sz w:val="16"/>
                <w:szCs w:val="16"/>
              </w:rPr>
              <w:t>Accounts receivable of bad debt provision withdrawn by groups</w:t>
            </w:r>
          </w:p>
        </w:tc>
        <w:tc>
          <w:tcPr>
            <w:tcW w:w="876" w:type="dxa"/>
            <w:tcBorders>
              <w:top w:val="single" w:sz="2" w:space="0" w:color="auto"/>
              <w:left w:val="single" w:sz="2" w:space="0" w:color="auto"/>
              <w:bottom w:val="single" w:sz="2" w:space="0" w:color="auto"/>
              <w:right w:val="single" w:sz="2" w:space="0" w:color="auto"/>
            </w:tcBorders>
            <w:vAlign w:val="center"/>
          </w:tcPr>
          <w:p w14:paraId="4A639A1E"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1,557,876,033.50</w:t>
            </w:r>
          </w:p>
        </w:tc>
        <w:tc>
          <w:tcPr>
            <w:tcW w:w="876" w:type="dxa"/>
            <w:tcBorders>
              <w:top w:val="single" w:sz="2" w:space="0" w:color="auto"/>
              <w:left w:val="single" w:sz="2" w:space="0" w:color="auto"/>
              <w:bottom w:val="single" w:sz="2" w:space="0" w:color="auto"/>
              <w:right w:val="single" w:sz="2" w:space="0" w:color="auto"/>
            </w:tcBorders>
            <w:vAlign w:val="center"/>
          </w:tcPr>
          <w:p w14:paraId="6A1C4F88"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B23FE0E"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78,261,801.62</w:t>
            </w:r>
          </w:p>
        </w:tc>
        <w:tc>
          <w:tcPr>
            <w:tcW w:w="876" w:type="dxa"/>
            <w:tcBorders>
              <w:top w:val="single" w:sz="2" w:space="0" w:color="auto"/>
              <w:left w:val="single" w:sz="2" w:space="0" w:color="auto"/>
              <w:bottom w:val="single" w:sz="2" w:space="0" w:color="auto"/>
              <w:right w:val="single" w:sz="2" w:space="0" w:color="auto"/>
            </w:tcBorders>
            <w:vAlign w:val="center"/>
          </w:tcPr>
          <w:p w14:paraId="0ED63D46"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5.02%</w:t>
            </w:r>
          </w:p>
        </w:tc>
        <w:tc>
          <w:tcPr>
            <w:tcW w:w="876" w:type="dxa"/>
            <w:tcBorders>
              <w:top w:val="single" w:sz="2" w:space="0" w:color="auto"/>
              <w:left w:val="single" w:sz="2" w:space="0" w:color="auto"/>
              <w:bottom w:val="single" w:sz="2" w:space="0" w:color="auto"/>
              <w:right w:val="single" w:sz="2" w:space="0" w:color="auto"/>
            </w:tcBorders>
            <w:vAlign w:val="center"/>
          </w:tcPr>
          <w:p w14:paraId="4BF96645"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1,479,614,231.88</w:t>
            </w:r>
          </w:p>
        </w:tc>
        <w:tc>
          <w:tcPr>
            <w:tcW w:w="876" w:type="dxa"/>
            <w:tcBorders>
              <w:top w:val="single" w:sz="2" w:space="0" w:color="auto"/>
              <w:left w:val="single" w:sz="2" w:space="0" w:color="auto"/>
              <w:bottom w:val="single" w:sz="2" w:space="0" w:color="auto"/>
              <w:right w:val="single" w:sz="2" w:space="0" w:color="auto"/>
            </w:tcBorders>
            <w:vAlign w:val="center"/>
          </w:tcPr>
          <w:p w14:paraId="39D5359D"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1,272,106,997.39</w:t>
            </w:r>
          </w:p>
        </w:tc>
        <w:tc>
          <w:tcPr>
            <w:tcW w:w="876" w:type="dxa"/>
            <w:tcBorders>
              <w:top w:val="single" w:sz="2" w:space="0" w:color="auto"/>
              <w:left w:val="single" w:sz="2" w:space="0" w:color="auto"/>
              <w:bottom w:val="single" w:sz="2" w:space="0" w:color="auto"/>
              <w:right w:val="single" w:sz="2" w:space="0" w:color="auto"/>
            </w:tcBorders>
            <w:vAlign w:val="center"/>
          </w:tcPr>
          <w:p w14:paraId="4376ABFD"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AB0EE97"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63,932,528.05</w:t>
            </w:r>
          </w:p>
        </w:tc>
        <w:tc>
          <w:tcPr>
            <w:tcW w:w="876" w:type="dxa"/>
            <w:tcBorders>
              <w:top w:val="single" w:sz="2" w:space="0" w:color="auto"/>
              <w:left w:val="single" w:sz="2" w:space="0" w:color="auto"/>
              <w:bottom w:val="single" w:sz="2" w:space="0" w:color="auto"/>
              <w:right w:val="single" w:sz="2" w:space="0" w:color="auto"/>
            </w:tcBorders>
            <w:vAlign w:val="center"/>
          </w:tcPr>
          <w:p w14:paraId="30BDDCFD"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5.03%</w:t>
            </w:r>
          </w:p>
        </w:tc>
        <w:tc>
          <w:tcPr>
            <w:tcW w:w="876" w:type="dxa"/>
            <w:tcBorders>
              <w:top w:val="single" w:sz="2" w:space="0" w:color="auto"/>
              <w:left w:val="single" w:sz="2" w:space="0" w:color="auto"/>
              <w:bottom w:val="single" w:sz="2" w:space="0" w:color="auto"/>
              <w:right w:val="single" w:sz="2" w:space="0" w:color="auto"/>
            </w:tcBorders>
            <w:vAlign w:val="center"/>
          </w:tcPr>
          <w:p w14:paraId="7ED3B058"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1,208,174,469.34</w:t>
            </w:r>
          </w:p>
        </w:tc>
      </w:tr>
      <w:tr w:rsidR="00F73301" w:rsidRPr="00454D40" w14:paraId="303658B3"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53D99E7" w14:textId="77777777" w:rsidR="00F73301" w:rsidRPr="00454D40" w:rsidRDefault="00F73301" w:rsidP="008C49B7">
            <w:pPr>
              <w:snapToGrid w:val="0"/>
              <w:ind w:firstLineChars="100" w:firstLine="160"/>
              <w:rPr>
                <w:rFonts w:ascii="Times New Roman" w:eastAsia="宋体" w:hAnsi="Times New Roman" w:cs="Times New Roman"/>
                <w:sz w:val="16"/>
                <w:szCs w:val="16"/>
              </w:rPr>
            </w:pPr>
            <w:r w:rsidRPr="00454D40">
              <w:rPr>
                <w:rFonts w:ascii="Times New Roman" w:eastAsia="宋体" w:hAnsi="Times New Roman" w:cs="Times New Roman"/>
                <w:sz w:val="16"/>
                <w:szCs w:val="16"/>
              </w:rPr>
              <w:t>Of which:</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745EBB7"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070992E"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AB1616A"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1F2E1F8"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DD3C55B"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046FADD"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E12E314"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59E343B"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1469D97" w14:textId="77777777" w:rsidR="00F73301" w:rsidRPr="00454D40"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D1881BE" w14:textId="77777777" w:rsidR="00F73301" w:rsidRPr="00454D40" w:rsidRDefault="00F73301" w:rsidP="008C49B7">
            <w:pPr>
              <w:snapToGrid w:val="0"/>
              <w:rPr>
                <w:rFonts w:ascii="Times New Roman" w:eastAsia="等线" w:hAnsi="Times New Roman" w:cs="Times New Roman"/>
                <w:sz w:val="16"/>
                <w:szCs w:val="16"/>
              </w:rPr>
            </w:pPr>
          </w:p>
        </w:tc>
      </w:tr>
      <w:tr w:rsidR="00F73301" w:rsidRPr="00454D40" w14:paraId="27C340A0"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FF59C7A" w14:textId="77777777" w:rsidR="00F73301" w:rsidRPr="00454D40" w:rsidRDefault="00F73301" w:rsidP="008C49B7">
            <w:pPr>
              <w:snapToGrid w:val="0"/>
              <w:rPr>
                <w:rFonts w:ascii="Times New Roman" w:eastAsia="宋体" w:hAnsi="Times New Roman" w:cs="Times New Roman"/>
                <w:sz w:val="16"/>
                <w:szCs w:val="16"/>
              </w:rPr>
            </w:pPr>
            <w:r w:rsidRPr="00454D40">
              <w:rPr>
                <w:rFonts w:ascii="Times New Roman" w:eastAsia="宋体" w:hAnsi="Times New Roman" w:cs="Times New Roman"/>
                <w:sz w:val="16"/>
                <w:szCs w:val="16"/>
              </w:rPr>
              <w:t>Total</w:t>
            </w:r>
          </w:p>
        </w:tc>
        <w:tc>
          <w:tcPr>
            <w:tcW w:w="876" w:type="dxa"/>
            <w:tcBorders>
              <w:top w:val="single" w:sz="2" w:space="0" w:color="auto"/>
              <w:left w:val="single" w:sz="2" w:space="0" w:color="auto"/>
              <w:bottom w:val="single" w:sz="2" w:space="0" w:color="auto"/>
              <w:right w:val="single" w:sz="2" w:space="0" w:color="auto"/>
            </w:tcBorders>
            <w:vAlign w:val="center"/>
          </w:tcPr>
          <w:p w14:paraId="7C80B8CD"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1,557,876,033.50</w:t>
            </w:r>
          </w:p>
        </w:tc>
        <w:tc>
          <w:tcPr>
            <w:tcW w:w="876" w:type="dxa"/>
            <w:tcBorders>
              <w:top w:val="single" w:sz="2" w:space="0" w:color="auto"/>
              <w:left w:val="single" w:sz="2" w:space="0" w:color="auto"/>
              <w:bottom w:val="single" w:sz="2" w:space="0" w:color="auto"/>
              <w:right w:val="single" w:sz="2" w:space="0" w:color="auto"/>
            </w:tcBorders>
            <w:vAlign w:val="center"/>
          </w:tcPr>
          <w:p w14:paraId="713E916C"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85DCD4E"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78,261,801.62</w:t>
            </w:r>
          </w:p>
        </w:tc>
        <w:tc>
          <w:tcPr>
            <w:tcW w:w="876" w:type="dxa"/>
            <w:tcBorders>
              <w:top w:val="single" w:sz="2" w:space="0" w:color="auto"/>
              <w:left w:val="single" w:sz="2" w:space="0" w:color="auto"/>
              <w:bottom w:val="single" w:sz="2" w:space="0" w:color="auto"/>
              <w:right w:val="single" w:sz="2" w:space="0" w:color="auto"/>
            </w:tcBorders>
            <w:vAlign w:val="center"/>
          </w:tcPr>
          <w:p w14:paraId="1199E090"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5.02%</w:t>
            </w:r>
          </w:p>
        </w:tc>
        <w:tc>
          <w:tcPr>
            <w:tcW w:w="876" w:type="dxa"/>
            <w:tcBorders>
              <w:top w:val="single" w:sz="2" w:space="0" w:color="auto"/>
              <w:left w:val="single" w:sz="2" w:space="0" w:color="auto"/>
              <w:bottom w:val="single" w:sz="2" w:space="0" w:color="auto"/>
              <w:right w:val="single" w:sz="2" w:space="0" w:color="auto"/>
            </w:tcBorders>
            <w:vAlign w:val="center"/>
          </w:tcPr>
          <w:p w14:paraId="5748A2C4"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1,479,614,231.88</w:t>
            </w:r>
          </w:p>
        </w:tc>
        <w:tc>
          <w:tcPr>
            <w:tcW w:w="876" w:type="dxa"/>
            <w:tcBorders>
              <w:top w:val="single" w:sz="2" w:space="0" w:color="auto"/>
              <w:left w:val="single" w:sz="2" w:space="0" w:color="auto"/>
              <w:bottom w:val="single" w:sz="2" w:space="0" w:color="auto"/>
              <w:right w:val="single" w:sz="2" w:space="0" w:color="auto"/>
            </w:tcBorders>
            <w:vAlign w:val="center"/>
          </w:tcPr>
          <w:p w14:paraId="18992AB9"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1,272,106,997.39</w:t>
            </w:r>
          </w:p>
        </w:tc>
        <w:tc>
          <w:tcPr>
            <w:tcW w:w="876" w:type="dxa"/>
            <w:tcBorders>
              <w:top w:val="single" w:sz="2" w:space="0" w:color="auto"/>
              <w:left w:val="single" w:sz="2" w:space="0" w:color="auto"/>
              <w:bottom w:val="single" w:sz="2" w:space="0" w:color="auto"/>
              <w:right w:val="single" w:sz="2" w:space="0" w:color="auto"/>
            </w:tcBorders>
            <w:vAlign w:val="center"/>
          </w:tcPr>
          <w:p w14:paraId="4708B5CD"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43354F6"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63,932,528.05</w:t>
            </w:r>
          </w:p>
        </w:tc>
        <w:tc>
          <w:tcPr>
            <w:tcW w:w="876" w:type="dxa"/>
            <w:tcBorders>
              <w:top w:val="single" w:sz="2" w:space="0" w:color="auto"/>
              <w:left w:val="single" w:sz="2" w:space="0" w:color="auto"/>
              <w:bottom w:val="single" w:sz="2" w:space="0" w:color="auto"/>
              <w:right w:val="single" w:sz="2" w:space="0" w:color="auto"/>
            </w:tcBorders>
            <w:vAlign w:val="center"/>
          </w:tcPr>
          <w:p w14:paraId="304F32E4"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5.03%</w:t>
            </w:r>
          </w:p>
        </w:tc>
        <w:tc>
          <w:tcPr>
            <w:tcW w:w="876" w:type="dxa"/>
            <w:tcBorders>
              <w:top w:val="single" w:sz="2" w:space="0" w:color="auto"/>
              <w:left w:val="single" w:sz="2" w:space="0" w:color="auto"/>
              <w:bottom w:val="single" w:sz="2" w:space="0" w:color="auto"/>
              <w:right w:val="single" w:sz="2" w:space="0" w:color="auto"/>
            </w:tcBorders>
            <w:vAlign w:val="center"/>
          </w:tcPr>
          <w:p w14:paraId="69602047" w14:textId="77777777" w:rsidR="00F73301" w:rsidRPr="00454D40" w:rsidRDefault="00F73301" w:rsidP="008C49B7">
            <w:pPr>
              <w:snapToGrid w:val="0"/>
              <w:jc w:val="right"/>
              <w:rPr>
                <w:rFonts w:ascii="Times New Roman" w:eastAsia="宋体" w:hAnsi="Times New Roman" w:cs="Times New Roman"/>
                <w:sz w:val="16"/>
                <w:szCs w:val="16"/>
              </w:rPr>
            </w:pPr>
            <w:r w:rsidRPr="00454D40">
              <w:rPr>
                <w:rFonts w:ascii="Times New Roman" w:eastAsia="宋体" w:hAnsi="Times New Roman" w:cs="Times New Roman"/>
                <w:sz w:val="16"/>
                <w:szCs w:val="16"/>
              </w:rPr>
              <w:t>1,208,174,469.34</w:t>
            </w:r>
          </w:p>
        </w:tc>
      </w:tr>
    </w:tbl>
    <w:p w14:paraId="08930522"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Bad debt provision withdrawn by group: RMB78,261,801.62</w:t>
      </w:r>
    </w:p>
    <w:p w14:paraId="0B38960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4F69694A" w14:textId="77777777" w:rsidTr="0001208F">
        <w:trPr>
          <w:jc w:val="center"/>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DFAE7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4348F4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49A6963A" w14:textId="77777777" w:rsidTr="0001208F">
        <w:trPr>
          <w:jc w:val="center"/>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9F91533" w14:textId="77777777" w:rsidR="00F73301" w:rsidRPr="00F73301" w:rsidRDefault="00F73301" w:rsidP="008C49B7">
            <w:pPr>
              <w:snapToGrid w:val="0"/>
              <w:rPr>
                <w:rFonts w:ascii="Times New Roman" w:eastAsia="等线"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3AF0CC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8A4AE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Bad debt provision</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67FEC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Withdrawal proportion</w:t>
            </w:r>
          </w:p>
        </w:tc>
      </w:tr>
      <w:tr w:rsidR="00F73301" w:rsidRPr="00F73301" w14:paraId="005B4AF6"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16DDF8E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w:t>
            </w:r>
          </w:p>
        </w:tc>
        <w:tc>
          <w:tcPr>
            <w:tcW w:w="2410" w:type="dxa"/>
            <w:tcBorders>
              <w:top w:val="single" w:sz="2" w:space="0" w:color="auto"/>
              <w:left w:val="single" w:sz="2" w:space="0" w:color="auto"/>
              <w:bottom w:val="single" w:sz="2" w:space="0" w:color="auto"/>
              <w:right w:val="single" w:sz="2" w:space="0" w:color="auto"/>
            </w:tcBorders>
            <w:vAlign w:val="center"/>
          </w:tcPr>
          <w:p w14:paraId="5CA17FF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1,555,330,948.89</w:t>
            </w:r>
          </w:p>
        </w:tc>
        <w:tc>
          <w:tcPr>
            <w:tcW w:w="2410" w:type="dxa"/>
            <w:tcBorders>
              <w:top w:val="single" w:sz="2" w:space="0" w:color="auto"/>
              <w:left w:val="single" w:sz="2" w:space="0" w:color="auto"/>
              <w:bottom w:val="single" w:sz="2" w:space="0" w:color="auto"/>
              <w:right w:val="single" w:sz="2" w:space="0" w:color="auto"/>
            </w:tcBorders>
            <w:vAlign w:val="center"/>
          </w:tcPr>
          <w:p w14:paraId="3AB80C3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77,766,547.44</w:t>
            </w:r>
          </w:p>
        </w:tc>
        <w:tc>
          <w:tcPr>
            <w:tcW w:w="2410" w:type="dxa"/>
            <w:tcBorders>
              <w:top w:val="single" w:sz="2" w:space="0" w:color="auto"/>
              <w:left w:val="single" w:sz="2" w:space="0" w:color="auto"/>
              <w:bottom w:val="single" w:sz="2" w:space="0" w:color="auto"/>
              <w:right w:val="single" w:sz="2" w:space="0" w:color="auto"/>
            </w:tcBorders>
            <w:vAlign w:val="center"/>
          </w:tcPr>
          <w:p w14:paraId="41B964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w:t>
            </w:r>
          </w:p>
        </w:tc>
      </w:tr>
      <w:tr w:rsidR="00F73301" w:rsidRPr="00F73301" w14:paraId="5AA883B7"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495762B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2410" w:type="dxa"/>
            <w:tcBorders>
              <w:top w:val="single" w:sz="2" w:space="0" w:color="auto"/>
              <w:left w:val="single" w:sz="2" w:space="0" w:color="auto"/>
              <w:bottom w:val="single" w:sz="2" w:space="0" w:color="auto"/>
              <w:right w:val="single" w:sz="2" w:space="0" w:color="auto"/>
            </w:tcBorders>
            <w:vAlign w:val="center"/>
          </w:tcPr>
          <w:p w14:paraId="387395F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2,112,322.46</w:t>
            </w:r>
          </w:p>
        </w:tc>
        <w:tc>
          <w:tcPr>
            <w:tcW w:w="2410" w:type="dxa"/>
            <w:tcBorders>
              <w:top w:val="single" w:sz="2" w:space="0" w:color="auto"/>
              <w:left w:val="single" w:sz="2" w:space="0" w:color="auto"/>
              <w:bottom w:val="single" w:sz="2" w:space="0" w:color="auto"/>
              <w:right w:val="single" w:sz="2" w:space="0" w:color="auto"/>
            </w:tcBorders>
            <w:vAlign w:val="center"/>
          </w:tcPr>
          <w:p w14:paraId="454C505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211,232.25</w:t>
            </w:r>
          </w:p>
        </w:tc>
        <w:tc>
          <w:tcPr>
            <w:tcW w:w="2410" w:type="dxa"/>
            <w:tcBorders>
              <w:top w:val="single" w:sz="2" w:space="0" w:color="auto"/>
              <w:left w:val="single" w:sz="2" w:space="0" w:color="auto"/>
              <w:bottom w:val="single" w:sz="2" w:space="0" w:color="auto"/>
              <w:right w:val="single" w:sz="2" w:space="0" w:color="auto"/>
            </w:tcBorders>
            <w:vAlign w:val="center"/>
          </w:tcPr>
          <w:p w14:paraId="1BB3C56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w:t>
            </w:r>
          </w:p>
        </w:tc>
      </w:tr>
      <w:tr w:rsidR="00F73301" w:rsidRPr="00F73301" w14:paraId="41729F2B"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0DD1DD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2410" w:type="dxa"/>
            <w:tcBorders>
              <w:top w:val="single" w:sz="2" w:space="0" w:color="auto"/>
              <w:left w:val="single" w:sz="2" w:space="0" w:color="auto"/>
              <w:bottom w:val="single" w:sz="2" w:space="0" w:color="auto"/>
              <w:right w:val="single" w:sz="2" w:space="0" w:color="auto"/>
            </w:tcBorders>
            <w:vAlign w:val="center"/>
          </w:tcPr>
          <w:p w14:paraId="4718E4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297,480.44</w:t>
            </w:r>
          </w:p>
        </w:tc>
        <w:tc>
          <w:tcPr>
            <w:tcW w:w="2410" w:type="dxa"/>
            <w:tcBorders>
              <w:top w:val="single" w:sz="2" w:space="0" w:color="auto"/>
              <w:left w:val="single" w:sz="2" w:space="0" w:color="auto"/>
              <w:bottom w:val="single" w:sz="2" w:space="0" w:color="auto"/>
              <w:right w:val="single" w:sz="2" w:space="0" w:color="auto"/>
            </w:tcBorders>
            <w:vAlign w:val="center"/>
          </w:tcPr>
          <w:p w14:paraId="211534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148,740.22</w:t>
            </w:r>
          </w:p>
        </w:tc>
        <w:tc>
          <w:tcPr>
            <w:tcW w:w="2410" w:type="dxa"/>
            <w:tcBorders>
              <w:top w:val="single" w:sz="2" w:space="0" w:color="auto"/>
              <w:left w:val="single" w:sz="2" w:space="0" w:color="auto"/>
              <w:bottom w:val="single" w:sz="2" w:space="0" w:color="auto"/>
              <w:right w:val="single" w:sz="2" w:space="0" w:color="auto"/>
            </w:tcBorders>
            <w:vAlign w:val="center"/>
          </w:tcPr>
          <w:p w14:paraId="45935D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w:t>
            </w:r>
          </w:p>
        </w:tc>
      </w:tr>
      <w:tr w:rsidR="00F73301" w:rsidRPr="00F73301" w14:paraId="3B96E3D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551064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2410" w:type="dxa"/>
            <w:tcBorders>
              <w:top w:val="single" w:sz="2" w:space="0" w:color="auto"/>
              <w:left w:val="single" w:sz="2" w:space="0" w:color="auto"/>
              <w:bottom w:val="single" w:sz="2" w:space="0" w:color="auto"/>
              <w:right w:val="single" w:sz="2" w:space="0" w:color="auto"/>
            </w:tcBorders>
            <w:vAlign w:val="center"/>
          </w:tcPr>
          <w:p w14:paraId="706B44A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135,281.71</w:t>
            </w:r>
          </w:p>
        </w:tc>
        <w:tc>
          <w:tcPr>
            <w:tcW w:w="2410" w:type="dxa"/>
            <w:tcBorders>
              <w:top w:val="single" w:sz="2" w:space="0" w:color="auto"/>
              <w:left w:val="single" w:sz="2" w:space="0" w:color="auto"/>
              <w:bottom w:val="single" w:sz="2" w:space="0" w:color="auto"/>
              <w:right w:val="single" w:sz="2" w:space="0" w:color="auto"/>
            </w:tcBorders>
            <w:vAlign w:val="center"/>
          </w:tcPr>
          <w:p w14:paraId="5E34EF7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135,281.71</w:t>
            </w:r>
          </w:p>
        </w:tc>
        <w:tc>
          <w:tcPr>
            <w:tcW w:w="2410" w:type="dxa"/>
            <w:tcBorders>
              <w:top w:val="single" w:sz="2" w:space="0" w:color="auto"/>
              <w:left w:val="single" w:sz="2" w:space="0" w:color="auto"/>
              <w:bottom w:val="single" w:sz="2" w:space="0" w:color="auto"/>
              <w:right w:val="single" w:sz="2" w:space="0" w:color="auto"/>
            </w:tcBorders>
            <w:vAlign w:val="center"/>
          </w:tcPr>
          <w:p w14:paraId="2FD28DC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w:t>
            </w:r>
          </w:p>
        </w:tc>
      </w:tr>
      <w:tr w:rsidR="00F73301" w:rsidRPr="00F73301" w14:paraId="40446479"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AE837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2410" w:type="dxa"/>
            <w:tcBorders>
              <w:top w:val="single" w:sz="2" w:space="0" w:color="auto"/>
              <w:left w:val="single" w:sz="2" w:space="0" w:color="auto"/>
              <w:bottom w:val="single" w:sz="2" w:space="0" w:color="auto"/>
              <w:right w:val="single" w:sz="2" w:space="0" w:color="auto"/>
            </w:tcBorders>
            <w:vAlign w:val="center"/>
          </w:tcPr>
          <w:p w14:paraId="0FF580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1,557,876,033.50</w:t>
            </w:r>
          </w:p>
        </w:tc>
        <w:tc>
          <w:tcPr>
            <w:tcW w:w="2410" w:type="dxa"/>
            <w:tcBorders>
              <w:top w:val="single" w:sz="2" w:space="0" w:color="auto"/>
              <w:left w:val="single" w:sz="2" w:space="0" w:color="auto"/>
              <w:bottom w:val="single" w:sz="2" w:space="0" w:color="auto"/>
              <w:right w:val="single" w:sz="2" w:space="0" w:color="auto"/>
            </w:tcBorders>
            <w:vAlign w:val="center"/>
          </w:tcPr>
          <w:p w14:paraId="5860267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78,261,801.62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B094AB" w14:textId="77777777" w:rsidR="00F73301" w:rsidRPr="00F73301" w:rsidRDefault="00F73301" w:rsidP="008C49B7">
            <w:pPr>
              <w:snapToGrid w:val="0"/>
              <w:rPr>
                <w:rFonts w:ascii="Times New Roman" w:eastAsia="等线" w:hAnsi="Times New Roman" w:cs="Times New Roman"/>
                <w:sz w:val="18"/>
                <w:szCs w:val="18"/>
              </w:rPr>
            </w:pPr>
          </w:p>
        </w:tc>
      </w:tr>
    </w:tbl>
    <w:p w14:paraId="1ACF55A5"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the determination basis for the Group:</w:t>
      </w:r>
    </w:p>
    <w:p w14:paraId="1F154CB2" w14:textId="77777777" w:rsidR="00F73301" w:rsidRPr="00F73301" w:rsidRDefault="00F73301" w:rsidP="00454D40">
      <w:pPr>
        <w:snapToGrid w:val="0"/>
        <w:spacing w:beforeLines="50" w:before="156" w:afterLines="50" w:after="156"/>
        <w:jc w:val="both"/>
        <w:rPr>
          <w:rFonts w:ascii="Times New Roman" w:eastAsia="等线" w:hAnsi="Times New Roman" w:cs="Times New Roman"/>
          <w:sz w:val="24"/>
          <w:szCs w:val="24"/>
        </w:rPr>
      </w:pPr>
    </w:p>
    <w:p w14:paraId="0F2C1385"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Please refer to the relevant information of disclosure of bad debt provision of other accounts receivable if adopting the general mode of expected credit loss to withdraw bad debt provision of accounts receivable.</w:t>
      </w:r>
    </w:p>
    <w:p w14:paraId="28F59A67" w14:textId="165F6EA3"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71312706"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Disclosure by aging</w:t>
      </w:r>
    </w:p>
    <w:p w14:paraId="05B30792"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13FA17F4"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0361F3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Ages</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7585D2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4B017079"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C75B87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 (inclusive)</w:t>
            </w:r>
          </w:p>
        </w:tc>
        <w:tc>
          <w:tcPr>
            <w:tcW w:w="4820" w:type="dxa"/>
            <w:tcBorders>
              <w:top w:val="single" w:sz="2" w:space="0" w:color="auto"/>
              <w:left w:val="single" w:sz="2" w:space="0" w:color="auto"/>
              <w:bottom w:val="single" w:sz="2" w:space="0" w:color="auto"/>
              <w:right w:val="single" w:sz="2" w:space="0" w:color="auto"/>
            </w:tcBorders>
            <w:vAlign w:val="center"/>
          </w:tcPr>
          <w:p w14:paraId="4B31A7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1,555,330,948.89</w:t>
            </w:r>
          </w:p>
        </w:tc>
      </w:tr>
      <w:tr w:rsidR="00F73301" w:rsidRPr="00F73301" w14:paraId="5282A22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144ABB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4820" w:type="dxa"/>
            <w:tcBorders>
              <w:top w:val="single" w:sz="2" w:space="0" w:color="auto"/>
              <w:left w:val="single" w:sz="2" w:space="0" w:color="auto"/>
              <w:bottom w:val="single" w:sz="2" w:space="0" w:color="auto"/>
              <w:right w:val="single" w:sz="2" w:space="0" w:color="auto"/>
            </w:tcBorders>
            <w:vAlign w:val="center"/>
          </w:tcPr>
          <w:p w14:paraId="127CA2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2,112,322.46</w:t>
            </w:r>
          </w:p>
        </w:tc>
      </w:tr>
      <w:tr w:rsidR="00F73301" w:rsidRPr="00F73301" w14:paraId="105A8E1C"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893A66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4820" w:type="dxa"/>
            <w:tcBorders>
              <w:top w:val="single" w:sz="2" w:space="0" w:color="auto"/>
              <w:left w:val="single" w:sz="2" w:space="0" w:color="auto"/>
              <w:bottom w:val="single" w:sz="2" w:space="0" w:color="auto"/>
              <w:right w:val="single" w:sz="2" w:space="0" w:color="auto"/>
            </w:tcBorders>
            <w:vAlign w:val="center"/>
          </w:tcPr>
          <w:p w14:paraId="5362CC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297,480.44</w:t>
            </w:r>
          </w:p>
        </w:tc>
      </w:tr>
      <w:tr w:rsidR="00F73301" w:rsidRPr="00F73301" w14:paraId="1756AA68"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D0A8EC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4820" w:type="dxa"/>
            <w:tcBorders>
              <w:top w:val="single" w:sz="2" w:space="0" w:color="auto"/>
              <w:left w:val="single" w:sz="2" w:space="0" w:color="auto"/>
              <w:bottom w:val="single" w:sz="2" w:space="0" w:color="auto"/>
              <w:right w:val="single" w:sz="2" w:space="0" w:color="auto"/>
            </w:tcBorders>
            <w:vAlign w:val="center"/>
          </w:tcPr>
          <w:p w14:paraId="191360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135,281.71</w:t>
            </w:r>
          </w:p>
        </w:tc>
      </w:tr>
      <w:tr w:rsidR="00F73301" w:rsidRPr="00F73301" w14:paraId="24DB4B1B"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2D4196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Three to four years</w:t>
            </w:r>
          </w:p>
        </w:tc>
        <w:tc>
          <w:tcPr>
            <w:tcW w:w="4820" w:type="dxa"/>
            <w:tcBorders>
              <w:top w:val="single" w:sz="2" w:space="0" w:color="auto"/>
              <w:left w:val="single" w:sz="2" w:space="0" w:color="auto"/>
              <w:bottom w:val="single" w:sz="2" w:space="0" w:color="auto"/>
              <w:right w:val="single" w:sz="2" w:space="0" w:color="auto"/>
            </w:tcBorders>
            <w:vAlign w:val="center"/>
          </w:tcPr>
          <w:p w14:paraId="4DDFFC3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135,281.71</w:t>
            </w:r>
          </w:p>
        </w:tc>
      </w:tr>
      <w:tr w:rsidR="00F73301" w:rsidRPr="00F73301" w14:paraId="43968EA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BDD1A1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Total</w:t>
            </w:r>
          </w:p>
        </w:tc>
        <w:tc>
          <w:tcPr>
            <w:tcW w:w="4820" w:type="dxa"/>
            <w:tcBorders>
              <w:top w:val="single" w:sz="2" w:space="0" w:color="auto"/>
              <w:left w:val="single" w:sz="2" w:space="0" w:color="auto"/>
              <w:bottom w:val="single" w:sz="2" w:space="0" w:color="auto"/>
              <w:right w:val="single" w:sz="2" w:space="0" w:color="auto"/>
            </w:tcBorders>
            <w:vAlign w:val="center"/>
          </w:tcPr>
          <w:p w14:paraId="3C3E783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1,557,876,033.50</w:t>
            </w:r>
          </w:p>
        </w:tc>
      </w:tr>
    </w:tbl>
    <w:p w14:paraId="01EA7642" w14:textId="77777777" w:rsidR="00F73301" w:rsidRPr="00F73301" w:rsidRDefault="00F73301" w:rsidP="00454D40">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171" w:name="_Toc989059"/>
      <w:r w:rsidRPr="00F73301">
        <w:rPr>
          <w:rFonts w:ascii="Times New Roman" w:eastAsia="宋体" w:hAnsi="Times New Roman" w:cs="Times New Roman"/>
          <w:b/>
          <w:bCs/>
          <w:sz w:val="24"/>
          <w:szCs w:val="24"/>
        </w:rPr>
        <w:t>(2) Bad debt provision withdrawal, reversed or recovered in the current period</w:t>
      </w:r>
      <w:bookmarkEnd w:id="171"/>
    </w:p>
    <w:p w14:paraId="1AC76532"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Withdrawal of bad debt provision in the current period:</w:t>
      </w:r>
    </w:p>
    <w:p w14:paraId="6E81F0E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6F97758A"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A02BDA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Type</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633A33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60A2BA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Changes in the current period</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38C2D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76273217"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851B42"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D736AA6"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CF3A9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Withdrawal</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C06CBD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Reversed or recovered</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BC6673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Write-off</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572BC1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A5A13C"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31A6764B"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8B99E8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Bad debt provision withdrawn by groups</w:t>
            </w:r>
          </w:p>
        </w:tc>
        <w:tc>
          <w:tcPr>
            <w:tcW w:w="1377" w:type="dxa"/>
            <w:tcBorders>
              <w:top w:val="single" w:sz="2" w:space="0" w:color="auto"/>
              <w:left w:val="single" w:sz="2" w:space="0" w:color="auto"/>
              <w:bottom w:val="single" w:sz="2" w:space="0" w:color="auto"/>
              <w:right w:val="single" w:sz="2" w:space="0" w:color="auto"/>
            </w:tcBorders>
            <w:vAlign w:val="center"/>
          </w:tcPr>
          <w:p w14:paraId="6402A85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63,932,528.05</w:t>
            </w:r>
          </w:p>
        </w:tc>
        <w:tc>
          <w:tcPr>
            <w:tcW w:w="1377" w:type="dxa"/>
            <w:tcBorders>
              <w:top w:val="single" w:sz="2" w:space="0" w:color="auto"/>
              <w:left w:val="single" w:sz="2" w:space="0" w:color="auto"/>
              <w:bottom w:val="single" w:sz="2" w:space="0" w:color="auto"/>
              <w:right w:val="single" w:sz="2" w:space="0" w:color="auto"/>
            </w:tcBorders>
            <w:vAlign w:val="center"/>
          </w:tcPr>
          <w:p w14:paraId="5500AD2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14,702,302.37</w:t>
            </w:r>
          </w:p>
        </w:tc>
        <w:tc>
          <w:tcPr>
            <w:tcW w:w="1377" w:type="dxa"/>
            <w:tcBorders>
              <w:top w:val="single" w:sz="2" w:space="0" w:color="auto"/>
              <w:left w:val="single" w:sz="2" w:space="0" w:color="auto"/>
              <w:bottom w:val="single" w:sz="2" w:space="0" w:color="auto"/>
              <w:right w:val="single" w:sz="2" w:space="0" w:color="auto"/>
            </w:tcBorders>
            <w:vAlign w:val="center"/>
          </w:tcPr>
          <w:p w14:paraId="1600918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82,755.89</w:t>
            </w:r>
          </w:p>
        </w:tc>
        <w:tc>
          <w:tcPr>
            <w:tcW w:w="1377" w:type="dxa"/>
            <w:tcBorders>
              <w:top w:val="single" w:sz="2" w:space="0" w:color="auto"/>
              <w:left w:val="single" w:sz="2" w:space="0" w:color="auto"/>
              <w:bottom w:val="single" w:sz="2" w:space="0" w:color="auto"/>
              <w:right w:val="single" w:sz="2" w:space="0" w:color="auto"/>
            </w:tcBorders>
            <w:vAlign w:val="center"/>
          </w:tcPr>
          <w:p w14:paraId="2EDCD8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455,784.69</w:t>
            </w:r>
          </w:p>
        </w:tc>
        <w:tc>
          <w:tcPr>
            <w:tcW w:w="1377" w:type="dxa"/>
            <w:tcBorders>
              <w:top w:val="single" w:sz="2" w:space="0" w:color="auto"/>
              <w:left w:val="single" w:sz="2" w:space="0" w:color="auto"/>
              <w:bottom w:val="single" w:sz="2" w:space="0" w:color="auto"/>
              <w:right w:val="single" w:sz="2" w:space="0" w:color="auto"/>
            </w:tcBorders>
            <w:vAlign w:val="center"/>
          </w:tcPr>
          <w:p w14:paraId="69608C5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F449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78,261,801.62</w:t>
            </w:r>
          </w:p>
        </w:tc>
      </w:tr>
      <w:tr w:rsidR="00F73301" w:rsidRPr="00F73301" w14:paraId="56FB4CA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14E6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6EC958A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63,932,528.05</w:t>
            </w:r>
          </w:p>
        </w:tc>
        <w:tc>
          <w:tcPr>
            <w:tcW w:w="1377" w:type="dxa"/>
            <w:tcBorders>
              <w:top w:val="single" w:sz="2" w:space="0" w:color="auto"/>
              <w:left w:val="single" w:sz="2" w:space="0" w:color="auto"/>
              <w:bottom w:val="single" w:sz="2" w:space="0" w:color="auto"/>
              <w:right w:val="single" w:sz="2" w:space="0" w:color="auto"/>
            </w:tcBorders>
            <w:vAlign w:val="center"/>
          </w:tcPr>
          <w:p w14:paraId="3D5B15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14,702,302.37</w:t>
            </w:r>
          </w:p>
        </w:tc>
        <w:tc>
          <w:tcPr>
            <w:tcW w:w="1377" w:type="dxa"/>
            <w:tcBorders>
              <w:top w:val="single" w:sz="2" w:space="0" w:color="auto"/>
              <w:left w:val="single" w:sz="2" w:space="0" w:color="auto"/>
              <w:bottom w:val="single" w:sz="2" w:space="0" w:color="auto"/>
              <w:right w:val="single" w:sz="2" w:space="0" w:color="auto"/>
            </w:tcBorders>
            <w:vAlign w:val="center"/>
          </w:tcPr>
          <w:p w14:paraId="6A463C4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82,755.89</w:t>
            </w:r>
          </w:p>
        </w:tc>
        <w:tc>
          <w:tcPr>
            <w:tcW w:w="1377" w:type="dxa"/>
            <w:tcBorders>
              <w:top w:val="single" w:sz="2" w:space="0" w:color="auto"/>
              <w:left w:val="single" w:sz="2" w:space="0" w:color="auto"/>
              <w:bottom w:val="single" w:sz="2" w:space="0" w:color="auto"/>
              <w:right w:val="single" w:sz="2" w:space="0" w:color="auto"/>
            </w:tcBorders>
            <w:vAlign w:val="center"/>
          </w:tcPr>
          <w:p w14:paraId="238326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455,784.69</w:t>
            </w:r>
          </w:p>
        </w:tc>
        <w:tc>
          <w:tcPr>
            <w:tcW w:w="1377" w:type="dxa"/>
            <w:tcBorders>
              <w:top w:val="single" w:sz="2" w:space="0" w:color="auto"/>
              <w:left w:val="single" w:sz="2" w:space="0" w:color="auto"/>
              <w:bottom w:val="single" w:sz="2" w:space="0" w:color="auto"/>
              <w:right w:val="single" w:sz="2" w:space="0" w:color="auto"/>
            </w:tcBorders>
            <w:vAlign w:val="center"/>
          </w:tcPr>
          <w:p w14:paraId="79687A2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23F8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78,261,801.62</w:t>
            </w:r>
          </w:p>
        </w:tc>
      </w:tr>
    </w:tbl>
    <w:p w14:paraId="01B909E7"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Of which the bad debt provision recovered or reversed with significant amount in the current period:</w:t>
      </w:r>
    </w:p>
    <w:p w14:paraId="32BD84D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7B2ADA3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9ED0A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B67FC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reversed or recovered</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503C6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Way of recovery</w:t>
            </w:r>
          </w:p>
        </w:tc>
      </w:tr>
    </w:tbl>
    <w:p w14:paraId="360362A7" w14:textId="77777777" w:rsidR="00F73301" w:rsidRPr="00F73301" w:rsidRDefault="00F73301" w:rsidP="00454D40">
      <w:pPr>
        <w:snapToGrid w:val="0"/>
        <w:spacing w:beforeLines="50" w:before="156" w:afterLines="50" w:after="156"/>
        <w:jc w:val="both"/>
        <w:rPr>
          <w:rFonts w:ascii="Times New Roman" w:eastAsia="等线" w:hAnsi="Times New Roman" w:cs="Times New Roman"/>
          <w:sz w:val="24"/>
          <w:szCs w:val="24"/>
        </w:rPr>
      </w:pPr>
    </w:p>
    <w:p w14:paraId="3AEC6A53" w14:textId="77777777" w:rsidR="00F73301" w:rsidRPr="00F73301" w:rsidRDefault="00F73301" w:rsidP="00454D40">
      <w:pPr>
        <w:snapToGrid w:val="0"/>
        <w:spacing w:beforeLines="50" w:before="156" w:afterLines="50" w:after="156"/>
        <w:jc w:val="both"/>
        <w:rPr>
          <w:rFonts w:ascii="Times New Roman" w:eastAsia="等线" w:hAnsi="Times New Roman" w:cs="Times New Roman"/>
          <w:sz w:val="24"/>
          <w:szCs w:val="24"/>
        </w:rPr>
      </w:pPr>
    </w:p>
    <w:p w14:paraId="1AB7BAD6" w14:textId="77777777" w:rsidR="00F73301" w:rsidRPr="00F73301" w:rsidRDefault="00F73301" w:rsidP="00454D40">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172" w:name="_Toc989060"/>
      <w:r w:rsidRPr="00F73301">
        <w:rPr>
          <w:rFonts w:ascii="Times New Roman" w:eastAsia="宋体" w:hAnsi="Times New Roman" w:cs="Times New Roman"/>
          <w:b/>
          <w:bCs/>
          <w:sz w:val="24"/>
          <w:szCs w:val="24"/>
        </w:rPr>
        <w:t>(3) Accounts receivable with actual verification in current period</w:t>
      </w:r>
      <w:bookmarkEnd w:id="172"/>
    </w:p>
    <w:p w14:paraId="15875E9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44546391"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543845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A38E92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r>
      <w:tr w:rsidR="00F73301" w:rsidRPr="00F73301" w14:paraId="4AF19BDA"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747C7D9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Unrecoverable accounts receivable</w:t>
            </w:r>
          </w:p>
        </w:tc>
        <w:tc>
          <w:tcPr>
            <w:tcW w:w="4820" w:type="dxa"/>
            <w:tcBorders>
              <w:top w:val="single" w:sz="2" w:space="0" w:color="auto"/>
              <w:left w:val="single" w:sz="2" w:space="0" w:color="auto"/>
              <w:bottom w:val="single" w:sz="2" w:space="0" w:color="auto"/>
              <w:right w:val="single" w:sz="2" w:space="0" w:color="auto"/>
            </w:tcBorders>
            <w:vAlign w:val="center"/>
          </w:tcPr>
          <w:p w14:paraId="66EA70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455,784.69</w:t>
            </w:r>
          </w:p>
        </w:tc>
      </w:tr>
    </w:tbl>
    <w:p w14:paraId="31F4CF77"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Of which the verification of significant accounts receivable:</w:t>
      </w:r>
    </w:p>
    <w:p w14:paraId="17C7D6D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728294E5"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89719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BD84B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3D1B78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F7AEC3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 for verification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9C4037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Verification procedures performed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FC4F89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Whether occurred because of related-party transactions</w:t>
            </w:r>
          </w:p>
        </w:tc>
      </w:tr>
    </w:tbl>
    <w:p w14:paraId="16970AC2"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verification of accounts receivable:</w:t>
      </w:r>
    </w:p>
    <w:p w14:paraId="3B8467CE" w14:textId="77777777" w:rsidR="00F73301" w:rsidRPr="00F73301" w:rsidRDefault="00F73301" w:rsidP="00454D40">
      <w:pPr>
        <w:snapToGrid w:val="0"/>
        <w:spacing w:beforeLines="50" w:before="156" w:afterLines="50" w:after="156"/>
        <w:jc w:val="both"/>
        <w:rPr>
          <w:rFonts w:ascii="Times New Roman" w:eastAsia="等线" w:hAnsi="Times New Roman" w:cs="Times New Roman"/>
          <w:sz w:val="24"/>
          <w:szCs w:val="24"/>
        </w:rPr>
      </w:pPr>
    </w:p>
    <w:p w14:paraId="618F0D92" w14:textId="77777777" w:rsidR="00F73301" w:rsidRPr="00F73301" w:rsidRDefault="00F73301" w:rsidP="00454D40">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173" w:name="_Toc989061"/>
      <w:r w:rsidRPr="00F73301">
        <w:rPr>
          <w:rFonts w:ascii="Times New Roman" w:eastAsia="宋体" w:hAnsi="Times New Roman" w:cs="Times New Roman"/>
          <w:b/>
          <w:bCs/>
          <w:sz w:val="24"/>
          <w:szCs w:val="24"/>
        </w:rPr>
        <w:t>(4) Top 5 of the closing balance of the accounts receivable collected according to arrears party</w:t>
      </w:r>
      <w:bookmarkEnd w:id="173"/>
    </w:p>
    <w:p w14:paraId="48087BA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0FC1A694"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7D42F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7EAA2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E52DC1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Proportion to total closing balance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D1EEC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of bad debt provision</w:t>
            </w:r>
          </w:p>
        </w:tc>
      </w:tr>
      <w:tr w:rsidR="00F73301" w:rsidRPr="00F73301" w14:paraId="7F8D8DC2"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1320394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1</w:t>
            </w:r>
          </w:p>
        </w:tc>
        <w:tc>
          <w:tcPr>
            <w:tcW w:w="2410" w:type="dxa"/>
            <w:tcBorders>
              <w:top w:val="single" w:sz="2" w:space="0" w:color="auto"/>
              <w:left w:val="single" w:sz="2" w:space="0" w:color="auto"/>
              <w:bottom w:val="single" w:sz="2" w:space="0" w:color="auto"/>
              <w:right w:val="single" w:sz="2" w:space="0" w:color="auto"/>
            </w:tcBorders>
            <w:vAlign w:val="center"/>
          </w:tcPr>
          <w:p w14:paraId="56425D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167,594,896.91</w:t>
            </w:r>
          </w:p>
        </w:tc>
        <w:tc>
          <w:tcPr>
            <w:tcW w:w="2410" w:type="dxa"/>
            <w:tcBorders>
              <w:top w:val="single" w:sz="2" w:space="0" w:color="auto"/>
              <w:left w:val="single" w:sz="2" w:space="0" w:color="auto"/>
              <w:bottom w:val="single" w:sz="2" w:space="0" w:color="auto"/>
              <w:right w:val="single" w:sz="2" w:space="0" w:color="auto"/>
            </w:tcBorders>
            <w:vAlign w:val="center"/>
          </w:tcPr>
          <w:p w14:paraId="4B17D7E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10.76%</w:t>
            </w:r>
          </w:p>
        </w:tc>
        <w:tc>
          <w:tcPr>
            <w:tcW w:w="2410" w:type="dxa"/>
            <w:tcBorders>
              <w:top w:val="single" w:sz="2" w:space="0" w:color="auto"/>
              <w:left w:val="single" w:sz="2" w:space="0" w:color="auto"/>
              <w:bottom w:val="single" w:sz="2" w:space="0" w:color="auto"/>
              <w:right w:val="single" w:sz="2" w:space="0" w:color="auto"/>
            </w:tcBorders>
            <w:vAlign w:val="center"/>
          </w:tcPr>
          <w:p w14:paraId="6CC292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8,379,744.85</w:t>
            </w:r>
          </w:p>
        </w:tc>
      </w:tr>
      <w:tr w:rsidR="00F73301" w:rsidRPr="00F73301" w14:paraId="224CCF1E"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74843EF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2</w:t>
            </w:r>
          </w:p>
        </w:tc>
        <w:tc>
          <w:tcPr>
            <w:tcW w:w="2410" w:type="dxa"/>
            <w:tcBorders>
              <w:top w:val="single" w:sz="2" w:space="0" w:color="auto"/>
              <w:left w:val="single" w:sz="2" w:space="0" w:color="auto"/>
              <w:bottom w:val="single" w:sz="2" w:space="0" w:color="auto"/>
              <w:right w:val="single" w:sz="2" w:space="0" w:color="auto"/>
            </w:tcBorders>
            <w:vAlign w:val="center"/>
          </w:tcPr>
          <w:p w14:paraId="106F79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104,122,369.50</w:t>
            </w:r>
          </w:p>
        </w:tc>
        <w:tc>
          <w:tcPr>
            <w:tcW w:w="2410" w:type="dxa"/>
            <w:tcBorders>
              <w:top w:val="single" w:sz="2" w:space="0" w:color="auto"/>
              <w:left w:val="single" w:sz="2" w:space="0" w:color="auto"/>
              <w:bottom w:val="single" w:sz="2" w:space="0" w:color="auto"/>
              <w:right w:val="single" w:sz="2" w:space="0" w:color="auto"/>
            </w:tcBorders>
            <w:vAlign w:val="center"/>
          </w:tcPr>
          <w:p w14:paraId="1FA5FD0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6.68%</w:t>
            </w:r>
          </w:p>
        </w:tc>
        <w:tc>
          <w:tcPr>
            <w:tcW w:w="2410" w:type="dxa"/>
            <w:tcBorders>
              <w:top w:val="single" w:sz="2" w:space="0" w:color="auto"/>
              <w:left w:val="single" w:sz="2" w:space="0" w:color="auto"/>
              <w:bottom w:val="single" w:sz="2" w:space="0" w:color="auto"/>
              <w:right w:val="single" w:sz="2" w:space="0" w:color="auto"/>
            </w:tcBorders>
            <w:vAlign w:val="center"/>
          </w:tcPr>
          <w:p w14:paraId="3DE8AD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5,206,118.48</w:t>
            </w:r>
          </w:p>
        </w:tc>
      </w:tr>
      <w:tr w:rsidR="00F73301" w:rsidRPr="00F73301" w14:paraId="625DCC6D"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77B2869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3</w:t>
            </w:r>
          </w:p>
        </w:tc>
        <w:tc>
          <w:tcPr>
            <w:tcW w:w="2410" w:type="dxa"/>
            <w:tcBorders>
              <w:top w:val="single" w:sz="2" w:space="0" w:color="auto"/>
              <w:left w:val="single" w:sz="2" w:space="0" w:color="auto"/>
              <w:bottom w:val="single" w:sz="2" w:space="0" w:color="auto"/>
              <w:right w:val="single" w:sz="2" w:space="0" w:color="auto"/>
            </w:tcBorders>
            <w:vAlign w:val="center"/>
          </w:tcPr>
          <w:p w14:paraId="16E14C4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53,846,885.90</w:t>
            </w:r>
          </w:p>
        </w:tc>
        <w:tc>
          <w:tcPr>
            <w:tcW w:w="2410" w:type="dxa"/>
            <w:tcBorders>
              <w:top w:val="single" w:sz="2" w:space="0" w:color="auto"/>
              <w:left w:val="single" w:sz="2" w:space="0" w:color="auto"/>
              <w:bottom w:val="single" w:sz="2" w:space="0" w:color="auto"/>
              <w:right w:val="single" w:sz="2" w:space="0" w:color="auto"/>
            </w:tcBorders>
            <w:vAlign w:val="center"/>
          </w:tcPr>
          <w:p w14:paraId="5C3742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3.46%</w:t>
            </w:r>
          </w:p>
        </w:tc>
        <w:tc>
          <w:tcPr>
            <w:tcW w:w="2410" w:type="dxa"/>
            <w:tcBorders>
              <w:top w:val="single" w:sz="2" w:space="0" w:color="auto"/>
              <w:left w:val="single" w:sz="2" w:space="0" w:color="auto"/>
              <w:bottom w:val="single" w:sz="2" w:space="0" w:color="auto"/>
              <w:right w:val="single" w:sz="2" w:space="0" w:color="auto"/>
            </w:tcBorders>
            <w:vAlign w:val="center"/>
          </w:tcPr>
          <w:p w14:paraId="4F0DE02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2,692,344.30</w:t>
            </w:r>
          </w:p>
        </w:tc>
      </w:tr>
      <w:tr w:rsidR="00F73301" w:rsidRPr="00F73301" w14:paraId="27F55828"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437866A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4</w:t>
            </w:r>
          </w:p>
        </w:tc>
        <w:tc>
          <w:tcPr>
            <w:tcW w:w="2410" w:type="dxa"/>
            <w:tcBorders>
              <w:top w:val="single" w:sz="2" w:space="0" w:color="auto"/>
              <w:left w:val="single" w:sz="2" w:space="0" w:color="auto"/>
              <w:bottom w:val="single" w:sz="2" w:space="0" w:color="auto"/>
              <w:right w:val="single" w:sz="2" w:space="0" w:color="auto"/>
            </w:tcBorders>
            <w:vAlign w:val="center"/>
          </w:tcPr>
          <w:p w14:paraId="7D064A6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42,574,107.48</w:t>
            </w:r>
          </w:p>
        </w:tc>
        <w:tc>
          <w:tcPr>
            <w:tcW w:w="2410" w:type="dxa"/>
            <w:tcBorders>
              <w:top w:val="single" w:sz="2" w:space="0" w:color="auto"/>
              <w:left w:val="single" w:sz="2" w:space="0" w:color="auto"/>
              <w:bottom w:val="single" w:sz="2" w:space="0" w:color="auto"/>
              <w:right w:val="single" w:sz="2" w:space="0" w:color="auto"/>
            </w:tcBorders>
            <w:vAlign w:val="center"/>
          </w:tcPr>
          <w:p w14:paraId="75619E1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2.73%</w:t>
            </w:r>
          </w:p>
        </w:tc>
        <w:tc>
          <w:tcPr>
            <w:tcW w:w="2410" w:type="dxa"/>
            <w:tcBorders>
              <w:top w:val="single" w:sz="2" w:space="0" w:color="auto"/>
              <w:left w:val="single" w:sz="2" w:space="0" w:color="auto"/>
              <w:bottom w:val="single" w:sz="2" w:space="0" w:color="auto"/>
              <w:right w:val="single" w:sz="2" w:space="0" w:color="auto"/>
            </w:tcBorders>
            <w:vAlign w:val="center"/>
          </w:tcPr>
          <w:p w14:paraId="3CFBEE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2,128,705.37</w:t>
            </w:r>
          </w:p>
        </w:tc>
      </w:tr>
      <w:tr w:rsidR="00F73301" w:rsidRPr="00F73301" w14:paraId="6F86DDD7"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0A43CA9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5</w:t>
            </w:r>
          </w:p>
        </w:tc>
        <w:tc>
          <w:tcPr>
            <w:tcW w:w="2410" w:type="dxa"/>
            <w:tcBorders>
              <w:top w:val="single" w:sz="2" w:space="0" w:color="auto"/>
              <w:left w:val="single" w:sz="2" w:space="0" w:color="auto"/>
              <w:bottom w:val="single" w:sz="2" w:space="0" w:color="auto"/>
              <w:right w:val="single" w:sz="2" w:space="0" w:color="auto"/>
            </w:tcBorders>
            <w:vAlign w:val="center"/>
          </w:tcPr>
          <w:p w14:paraId="65C048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36,802,377.10</w:t>
            </w:r>
          </w:p>
        </w:tc>
        <w:tc>
          <w:tcPr>
            <w:tcW w:w="2410" w:type="dxa"/>
            <w:tcBorders>
              <w:top w:val="single" w:sz="2" w:space="0" w:color="auto"/>
              <w:left w:val="single" w:sz="2" w:space="0" w:color="auto"/>
              <w:bottom w:val="single" w:sz="2" w:space="0" w:color="auto"/>
              <w:right w:val="single" w:sz="2" w:space="0" w:color="auto"/>
            </w:tcBorders>
            <w:vAlign w:val="center"/>
          </w:tcPr>
          <w:p w14:paraId="1C9C70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2.36%</w:t>
            </w:r>
          </w:p>
        </w:tc>
        <w:tc>
          <w:tcPr>
            <w:tcW w:w="2410" w:type="dxa"/>
            <w:tcBorders>
              <w:top w:val="single" w:sz="2" w:space="0" w:color="auto"/>
              <w:left w:val="single" w:sz="2" w:space="0" w:color="auto"/>
              <w:bottom w:val="single" w:sz="2" w:space="0" w:color="auto"/>
              <w:right w:val="single" w:sz="2" w:space="0" w:color="auto"/>
            </w:tcBorders>
            <w:vAlign w:val="center"/>
          </w:tcPr>
          <w:p w14:paraId="38A365D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1,840,118.86</w:t>
            </w:r>
          </w:p>
        </w:tc>
      </w:tr>
      <w:tr w:rsidR="00F73301" w:rsidRPr="00F73301" w14:paraId="11784ABD"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F9812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2410" w:type="dxa"/>
            <w:tcBorders>
              <w:top w:val="single" w:sz="2" w:space="0" w:color="auto"/>
              <w:left w:val="single" w:sz="2" w:space="0" w:color="auto"/>
              <w:bottom w:val="single" w:sz="2" w:space="0" w:color="auto"/>
              <w:right w:val="single" w:sz="2" w:space="0" w:color="auto"/>
            </w:tcBorders>
            <w:vAlign w:val="center"/>
          </w:tcPr>
          <w:p w14:paraId="35DCC5B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404,940,636.89</w:t>
            </w:r>
          </w:p>
        </w:tc>
        <w:tc>
          <w:tcPr>
            <w:tcW w:w="2410" w:type="dxa"/>
            <w:tcBorders>
              <w:top w:val="single" w:sz="2" w:space="0" w:color="auto"/>
              <w:left w:val="single" w:sz="2" w:space="0" w:color="auto"/>
              <w:bottom w:val="single" w:sz="2" w:space="0" w:color="auto"/>
              <w:right w:val="single" w:sz="2" w:space="0" w:color="auto"/>
            </w:tcBorders>
            <w:vAlign w:val="center"/>
          </w:tcPr>
          <w:p w14:paraId="719972F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25.99%</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DD43A1" w14:textId="77777777" w:rsidR="00F73301" w:rsidRPr="00F73301" w:rsidRDefault="00F73301" w:rsidP="008C49B7">
            <w:pPr>
              <w:snapToGrid w:val="0"/>
              <w:rPr>
                <w:rFonts w:ascii="Times New Roman" w:eastAsia="等线" w:hAnsi="Times New Roman" w:cs="Times New Roman"/>
                <w:sz w:val="18"/>
                <w:szCs w:val="18"/>
              </w:rPr>
            </w:pPr>
          </w:p>
        </w:tc>
      </w:tr>
    </w:tbl>
    <w:p w14:paraId="4ED7E091" w14:textId="77777777" w:rsidR="00F73301" w:rsidRPr="00F73301" w:rsidRDefault="00F73301" w:rsidP="00454D40">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174" w:name="_Toc989062"/>
      <w:r w:rsidRPr="00F73301">
        <w:rPr>
          <w:rFonts w:ascii="Times New Roman" w:eastAsia="宋体" w:hAnsi="Times New Roman" w:cs="Times New Roman"/>
          <w:b/>
          <w:bCs/>
          <w:sz w:val="24"/>
          <w:szCs w:val="24"/>
        </w:rPr>
        <w:t>(5) Accounts receivable derecognized due to the transfer of financial assets</w:t>
      </w:r>
      <w:bookmarkEnd w:id="174"/>
    </w:p>
    <w:p w14:paraId="4ACF0573" w14:textId="77777777" w:rsidR="00F73301" w:rsidRPr="00F73301" w:rsidRDefault="00F73301" w:rsidP="00454D40">
      <w:pPr>
        <w:snapToGrid w:val="0"/>
        <w:spacing w:beforeLines="50" w:before="156" w:afterLines="50" w:after="156"/>
        <w:jc w:val="both"/>
        <w:rPr>
          <w:rFonts w:ascii="Times New Roman" w:eastAsia="等线" w:hAnsi="Times New Roman" w:cs="Times New Roman"/>
          <w:sz w:val="24"/>
          <w:szCs w:val="24"/>
        </w:rPr>
      </w:pPr>
    </w:p>
    <w:p w14:paraId="0310E067" w14:textId="77777777" w:rsidR="00F73301" w:rsidRPr="00F73301" w:rsidRDefault="00F73301" w:rsidP="00454D40">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175" w:name="_Toc989063"/>
      <w:r w:rsidRPr="00F73301">
        <w:rPr>
          <w:rFonts w:ascii="Times New Roman" w:eastAsia="宋体" w:hAnsi="Times New Roman" w:cs="Times New Roman"/>
          <w:b/>
          <w:bCs/>
          <w:sz w:val="24"/>
          <w:szCs w:val="24"/>
        </w:rPr>
        <w:lastRenderedPageBreak/>
        <w:t>(6) Amount of assets and liabilities formed due to the transfer and the continued involvement of accounts receivable</w:t>
      </w:r>
      <w:bookmarkEnd w:id="175"/>
    </w:p>
    <w:p w14:paraId="397D77CE" w14:textId="77777777" w:rsidR="00F73301" w:rsidRPr="00F73301" w:rsidRDefault="00F73301" w:rsidP="00454D40">
      <w:pPr>
        <w:snapToGrid w:val="0"/>
        <w:spacing w:beforeLines="50" w:before="156" w:afterLines="50" w:after="156"/>
        <w:jc w:val="both"/>
        <w:rPr>
          <w:rFonts w:ascii="Times New Roman" w:eastAsia="等线" w:hAnsi="Times New Roman" w:cs="Times New Roman"/>
          <w:sz w:val="24"/>
          <w:szCs w:val="24"/>
        </w:rPr>
      </w:pPr>
    </w:p>
    <w:p w14:paraId="1D69F002" w14:textId="77777777" w:rsidR="00F73301" w:rsidRPr="00F73301" w:rsidRDefault="00F73301" w:rsidP="00454D40">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042942DD" w14:textId="77777777" w:rsidR="00F73301" w:rsidRPr="00F73301" w:rsidRDefault="00F73301" w:rsidP="00454D40">
      <w:pPr>
        <w:snapToGrid w:val="0"/>
        <w:spacing w:beforeLines="50" w:before="156" w:afterLines="50" w:after="156"/>
        <w:jc w:val="both"/>
        <w:rPr>
          <w:rFonts w:ascii="Times New Roman" w:eastAsia="等线" w:hAnsi="Times New Roman" w:cs="Times New Roman"/>
          <w:sz w:val="24"/>
          <w:szCs w:val="24"/>
        </w:rPr>
      </w:pPr>
    </w:p>
    <w:p w14:paraId="3DF6CC5C" w14:textId="77777777" w:rsidR="00F73301" w:rsidRPr="00F73301" w:rsidRDefault="00F73301" w:rsidP="00454D40">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176" w:name="_Toc989064"/>
      <w:r w:rsidRPr="00F73301">
        <w:rPr>
          <w:rFonts w:ascii="Times New Roman" w:eastAsia="宋体" w:hAnsi="Times New Roman" w:cs="Times New Roman"/>
          <w:b/>
          <w:bCs/>
          <w:sz w:val="24"/>
          <w:szCs w:val="24"/>
        </w:rPr>
        <w:t>5. Receivables financing</w:t>
      </w:r>
      <w:bookmarkEnd w:id="176"/>
    </w:p>
    <w:p w14:paraId="400AC87A"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3D35E3C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B9CF1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4B100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B2D8D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161AFEB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7705F8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Bank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0D0D78C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195,107,587.03</w:t>
            </w:r>
          </w:p>
        </w:tc>
        <w:tc>
          <w:tcPr>
            <w:tcW w:w="3213" w:type="dxa"/>
            <w:tcBorders>
              <w:top w:val="single" w:sz="2" w:space="0" w:color="auto"/>
              <w:left w:val="single" w:sz="2" w:space="0" w:color="auto"/>
              <w:bottom w:val="single" w:sz="2" w:space="0" w:color="auto"/>
              <w:right w:val="single" w:sz="2" w:space="0" w:color="auto"/>
            </w:tcBorders>
            <w:vAlign w:val="center"/>
          </w:tcPr>
          <w:p w14:paraId="58DFA07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231,592,339.12</w:t>
            </w:r>
          </w:p>
        </w:tc>
      </w:tr>
      <w:tr w:rsidR="00F73301" w:rsidRPr="00F73301" w14:paraId="7754FD3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A9BED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1F0C1A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195,107,587.03</w:t>
            </w:r>
          </w:p>
        </w:tc>
        <w:tc>
          <w:tcPr>
            <w:tcW w:w="3213" w:type="dxa"/>
            <w:tcBorders>
              <w:top w:val="single" w:sz="2" w:space="0" w:color="auto"/>
              <w:left w:val="single" w:sz="2" w:space="0" w:color="auto"/>
              <w:bottom w:val="single" w:sz="2" w:space="0" w:color="auto"/>
              <w:right w:val="single" w:sz="2" w:space="0" w:color="auto"/>
            </w:tcBorders>
            <w:vAlign w:val="center"/>
          </w:tcPr>
          <w:p w14:paraId="2E5113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231,592,339.12</w:t>
            </w:r>
          </w:p>
        </w:tc>
      </w:tr>
    </w:tbl>
    <w:p w14:paraId="12830DDC"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changes of receivables financing in the current period and the changes in fair value</w:t>
      </w:r>
    </w:p>
    <w:p w14:paraId="48B77388" w14:textId="66241B42"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40D8149A"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Please refer to the relevant information of disclosure of bad debt provision of other receivables if adopting the general mode of expected credit loss to withdraw bad debt provision of accounts receivable financing.</w:t>
      </w:r>
    </w:p>
    <w:p w14:paraId="3C9B3CE0" w14:textId="1236AE16"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A7B2A8E"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521C4082"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Endorsed or discounted but undue notes at the balance sheet date </w:t>
      </w:r>
    </w:p>
    <w:tbl>
      <w:tblPr>
        <w:tblW w:w="5000" w:type="pct"/>
        <w:jc w:val="center"/>
        <w:tblCellMar>
          <w:left w:w="57" w:type="dxa"/>
          <w:right w:w="57" w:type="dxa"/>
        </w:tblCellMar>
        <w:tblLook w:val="04A0" w:firstRow="1" w:lastRow="0" w:firstColumn="1" w:lastColumn="0" w:noHBand="0" w:noVBand="1"/>
      </w:tblPr>
      <w:tblGrid>
        <w:gridCol w:w="4808"/>
        <w:gridCol w:w="4809"/>
      </w:tblGrid>
      <w:tr w:rsidR="00F73301" w:rsidRPr="00F73301" w14:paraId="2C55563E" w14:textId="77777777" w:rsidTr="00454D4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39A8A" w14:textId="77777777" w:rsidR="00F73301" w:rsidRPr="00F73301" w:rsidRDefault="00F73301" w:rsidP="008C49B7">
            <w:pPr>
              <w:widowControl/>
              <w:snapToGrid w:val="0"/>
              <w:jc w:val="both"/>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Item</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AC5568"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Closing derecognized amount (RMB)</w:t>
            </w:r>
          </w:p>
        </w:tc>
      </w:tr>
      <w:tr w:rsidR="00F73301" w:rsidRPr="00F73301" w14:paraId="393C85EA" w14:textId="77777777" w:rsidTr="00454D4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A4BBC" w14:textId="77777777" w:rsidR="00F73301" w:rsidRPr="00F73301" w:rsidRDefault="00F73301" w:rsidP="008C49B7">
            <w:pPr>
              <w:widowControl/>
              <w:snapToGrid w:val="0"/>
              <w:jc w:val="both"/>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Bank receivable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31984284"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1,138,446,276.96</w:t>
            </w:r>
          </w:p>
        </w:tc>
      </w:tr>
      <w:tr w:rsidR="00F73301" w:rsidRPr="00F73301" w14:paraId="7758635B" w14:textId="77777777" w:rsidTr="00454D4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A322E" w14:textId="77777777" w:rsidR="00F73301" w:rsidRPr="00F73301" w:rsidRDefault="00F73301" w:rsidP="008C49B7">
            <w:pPr>
              <w:widowControl/>
              <w:snapToGrid w:val="0"/>
              <w:jc w:val="both"/>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Subtotal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093F62F"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1,138,446,276.96</w:t>
            </w:r>
          </w:p>
        </w:tc>
      </w:tr>
    </w:tbl>
    <w:p w14:paraId="14E884AF"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Due to the fact that the acceptor of bank receivables is commercial banks, which have high credit level, there is very little possibility of failure in recoverability when it is due, so the Company derecognized bank receivables had been endorsed or discounted. Based on this fact, the Company derecognized the endorsed or discounted bank acceptance. However, if any bank notes is not recoverable when it is due, the Company still holds joint liability on such acceptance, according to the </w:t>
      </w:r>
      <w:r w:rsidRPr="00F73301">
        <w:rPr>
          <w:rFonts w:ascii="Times New Roman" w:eastAsia="宋体" w:hAnsi="Times New Roman" w:cs="Times New Roman"/>
          <w:i/>
          <w:iCs/>
          <w:kern w:val="0"/>
          <w:sz w:val="24"/>
          <w:szCs w:val="24"/>
        </w:rPr>
        <w:t>China Commercial Instrument Law</w:t>
      </w:r>
      <w:r w:rsidRPr="00F73301">
        <w:rPr>
          <w:rFonts w:ascii="Times New Roman" w:eastAsia="宋体" w:hAnsi="Times New Roman" w:cs="Times New Roman"/>
          <w:kern w:val="0"/>
          <w:sz w:val="24"/>
          <w:szCs w:val="24"/>
        </w:rPr>
        <w:t>.</w:t>
      </w:r>
    </w:p>
    <w:p w14:paraId="3736F355"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77" w:name="_Toc989065"/>
      <w:r w:rsidRPr="00F73301">
        <w:rPr>
          <w:rFonts w:ascii="Times New Roman" w:eastAsia="宋体" w:hAnsi="Times New Roman" w:cs="Times New Roman"/>
          <w:b/>
          <w:bCs/>
          <w:sz w:val="24"/>
          <w:szCs w:val="24"/>
        </w:rPr>
        <w:t>6. Prepayment</w:t>
      </w:r>
      <w:bookmarkEnd w:id="177"/>
    </w:p>
    <w:p w14:paraId="5221E1D7"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78" w:name="_Toc989066"/>
      <w:r w:rsidRPr="00F73301">
        <w:rPr>
          <w:rFonts w:ascii="Times New Roman" w:eastAsia="宋体" w:hAnsi="Times New Roman" w:cs="Times New Roman"/>
          <w:b/>
          <w:bCs/>
          <w:sz w:val="24"/>
          <w:szCs w:val="24"/>
        </w:rPr>
        <w:t>(1) Prepayment listed by aging</w:t>
      </w:r>
      <w:bookmarkEnd w:id="178"/>
    </w:p>
    <w:p w14:paraId="78E1C66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3E91B85A" w14:textId="77777777" w:rsidTr="0001208F">
        <w:trPr>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853A5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Ages</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A1B8B5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DBD9F3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2AF90FFB" w14:textId="77777777" w:rsidTr="0001208F">
        <w:trPr>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75A3773"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0E200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F0748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Percentage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EB2544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57F25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Percentage</w:t>
            </w:r>
          </w:p>
        </w:tc>
      </w:tr>
      <w:tr w:rsidR="00F73301" w:rsidRPr="00F73301" w14:paraId="0940418A"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E6ED3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w:t>
            </w:r>
          </w:p>
        </w:tc>
        <w:tc>
          <w:tcPr>
            <w:tcW w:w="1928" w:type="dxa"/>
            <w:tcBorders>
              <w:top w:val="single" w:sz="2" w:space="0" w:color="auto"/>
              <w:left w:val="single" w:sz="2" w:space="0" w:color="auto"/>
              <w:bottom w:val="single" w:sz="2" w:space="0" w:color="auto"/>
              <w:right w:val="single" w:sz="2" w:space="0" w:color="auto"/>
            </w:tcBorders>
            <w:vAlign w:val="center"/>
          </w:tcPr>
          <w:p w14:paraId="492854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109,558,481.47</w:t>
            </w:r>
          </w:p>
        </w:tc>
        <w:tc>
          <w:tcPr>
            <w:tcW w:w="1928" w:type="dxa"/>
            <w:tcBorders>
              <w:top w:val="single" w:sz="2" w:space="0" w:color="auto"/>
              <w:left w:val="single" w:sz="2" w:space="0" w:color="auto"/>
              <w:bottom w:val="single" w:sz="2" w:space="0" w:color="auto"/>
              <w:right w:val="single" w:sz="2" w:space="0" w:color="auto"/>
            </w:tcBorders>
            <w:vAlign w:val="center"/>
          </w:tcPr>
          <w:p w14:paraId="2B3682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98.15%</w:t>
            </w:r>
          </w:p>
        </w:tc>
        <w:tc>
          <w:tcPr>
            <w:tcW w:w="1928" w:type="dxa"/>
            <w:tcBorders>
              <w:top w:val="single" w:sz="2" w:space="0" w:color="auto"/>
              <w:left w:val="single" w:sz="2" w:space="0" w:color="auto"/>
              <w:bottom w:val="single" w:sz="2" w:space="0" w:color="auto"/>
              <w:right w:val="single" w:sz="2" w:space="0" w:color="auto"/>
            </w:tcBorders>
            <w:vAlign w:val="center"/>
          </w:tcPr>
          <w:p w14:paraId="6547F66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115,703,231.21</w:t>
            </w:r>
          </w:p>
        </w:tc>
        <w:tc>
          <w:tcPr>
            <w:tcW w:w="1928" w:type="dxa"/>
            <w:tcBorders>
              <w:top w:val="single" w:sz="2" w:space="0" w:color="auto"/>
              <w:left w:val="single" w:sz="2" w:space="0" w:color="auto"/>
              <w:bottom w:val="single" w:sz="2" w:space="0" w:color="auto"/>
              <w:right w:val="single" w:sz="2" w:space="0" w:color="auto"/>
            </w:tcBorders>
            <w:vAlign w:val="center"/>
          </w:tcPr>
          <w:p w14:paraId="14C5F47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99.06%</w:t>
            </w:r>
          </w:p>
        </w:tc>
      </w:tr>
      <w:tr w:rsidR="00F73301" w:rsidRPr="00F73301" w14:paraId="75349F1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11F097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1928" w:type="dxa"/>
            <w:tcBorders>
              <w:top w:val="single" w:sz="2" w:space="0" w:color="auto"/>
              <w:left w:val="single" w:sz="2" w:space="0" w:color="auto"/>
              <w:bottom w:val="single" w:sz="2" w:space="0" w:color="auto"/>
              <w:right w:val="single" w:sz="2" w:space="0" w:color="auto"/>
            </w:tcBorders>
            <w:vAlign w:val="center"/>
          </w:tcPr>
          <w:p w14:paraId="1EBB459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968,835.16</w:t>
            </w:r>
          </w:p>
        </w:tc>
        <w:tc>
          <w:tcPr>
            <w:tcW w:w="1928" w:type="dxa"/>
            <w:tcBorders>
              <w:top w:val="single" w:sz="2" w:space="0" w:color="auto"/>
              <w:left w:val="single" w:sz="2" w:space="0" w:color="auto"/>
              <w:bottom w:val="single" w:sz="2" w:space="0" w:color="auto"/>
              <w:right w:val="single" w:sz="2" w:space="0" w:color="auto"/>
            </w:tcBorders>
            <w:vAlign w:val="center"/>
          </w:tcPr>
          <w:p w14:paraId="11699B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0.87%</w:t>
            </w:r>
          </w:p>
        </w:tc>
        <w:tc>
          <w:tcPr>
            <w:tcW w:w="1928" w:type="dxa"/>
            <w:tcBorders>
              <w:top w:val="single" w:sz="2" w:space="0" w:color="auto"/>
              <w:left w:val="single" w:sz="2" w:space="0" w:color="auto"/>
              <w:bottom w:val="single" w:sz="2" w:space="0" w:color="auto"/>
              <w:right w:val="single" w:sz="2" w:space="0" w:color="auto"/>
            </w:tcBorders>
            <w:vAlign w:val="center"/>
          </w:tcPr>
          <w:p w14:paraId="1B7F8D8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854,115.83</w:t>
            </w:r>
          </w:p>
        </w:tc>
        <w:tc>
          <w:tcPr>
            <w:tcW w:w="1928" w:type="dxa"/>
            <w:tcBorders>
              <w:top w:val="single" w:sz="2" w:space="0" w:color="auto"/>
              <w:left w:val="single" w:sz="2" w:space="0" w:color="auto"/>
              <w:bottom w:val="single" w:sz="2" w:space="0" w:color="auto"/>
              <w:right w:val="single" w:sz="2" w:space="0" w:color="auto"/>
            </w:tcBorders>
            <w:vAlign w:val="center"/>
          </w:tcPr>
          <w:p w14:paraId="076628B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0.73% </w:t>
            </w:r>
          </w:p>
        </w:tc>
      </w:tr>
      <w:tr w:rsidR="00F73301" w:rsidRPr="00F73301" w14:paraId="723948C1"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EC792F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1928" w:type="dxa"/>
            <w:tcBorders>
              <w:top w:val="single" w:sz="2" w:space="0" w:color="auto"/>
              <w:left w:val="single" w:sz="2" w:space="0" w:color="auto"/>
              <w:bottom w:val="single" w:sz="2" w:space="0" w:color="auto"/>
              <w:right w:val="single" w:sz="2" w:space="0" w:color="auto"/>
            </w:tcBorders>
            <w:vAlign w:val="center"/>
          </w:tcPr>
          <w:p w14:paraId="495F493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598,895.76</w:t>
            </w:r>
          </w:p>
        </w:tc>
        <w:tc>
          <w:tcPr>
            <w:tcW w:w="1928" w:type="dxa"/>
            <w:tcBorders>
              <w:top w:val="single" w:sz="2" w:space="0" w:color="auto"/>
              <w:left w:val="single" w:sz="2" w:space="0" w:color="auto"/>
              <w:bottom w:val="single" w:sz="2" w:space="0" w:color="auto"/>
              <w:right w:val="single" w:sz="2" w:space="0" w:color="auto"/>
            </w:tcBorders>
            <w:vAlign w:val="center"/>
          </w:tcPr>
          <w:p w14:paraId="67893B5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0.54%</w:t>
            </w:r>
          </w:p>
        </w:tc>
        <w:tc>
          <w:tcPr>
            <w:tcW w:w="1928" w:type="dxa"/>
            <w:tcBorders>
              <w:top w:val="single" w:sz="2" w:space="0" w:color="auto"/>
              <w:left w:val="single" w:sz="2" w:space="0" w:color="auto"/>
              <w:bottom w:val="single" w:sz="2" w:space="0" w:color="auto"/>
              <w:right w:val="single" w:sz="2" w:space="0" w:color="auto"/>
            </w:tcBorders>
            <w:vAlign w:val="center"/>
          </w:tcPr>
          <w:p w14:paraId="16B764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250,000.00</w:t>
            </w:r>
          </w:p>
        </w:tc>
        <w:tc>
          <w:tcPr>
            <w:tcW w:w="1928" w:type="dxa"/>
            <w:tcBorders>
              <w:top w:val="single" w:sz="2" w:space="0" w:color="auto"/>
              <w:left w:val="single" w:sz="2" w:space="0" w:color="auto"/>
              <w:bottom w:val="single" w:sz="2" w:space="0" w:color="auto"/>
              <w:right w:val="single" w:sz="2" w:space="0" w:color="auto"/>
            </w:tcBorders>
            <w:vAlign w:val="center"/>
          </w:tcPr>
          <w:p w14:paraId="148FF8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0.21%</w:t>
            </w:r>
          </w:p>
        </w:tc>
      </w:tr>
      <w:tr w:rsidR="00F73301" w:rsidRPr="00F73301" w14:paraId="60DF6C6C"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A8FCF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1928" w:type="dxa"/>
            <w:tcBorders>
              <w:top w:val="single" w:sz="2" w:space="0" w:color="auto"/>
              <w:left w:val="single" w:sz="2" w:space="0" w:color="auto"/>
              <w:bottom w:val="single" w:sz="2" w:space="0" w:color="auto"/>
              <w:right w:val="single" w:sz="2" w:space="0" w:color="auto"/>
            </w:tcBorders>
            <w:vAlign w:val="center"/>
          </w:tcPr>
          <w:p w14:paraId="5FFC618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486,277.60</w:t>
            </w:r>
          </w:p>
        </w:tc>
        <w:tc>
          <w:tcPr>
            <w:tcW w:w="1928" w:type="dxa"/>
            <w:tcBorders>
              <w:top w:val="single" w:sz="2" w:space="0" w:color="auto"/>
              <w:left w:val="single" w:sz="2" w:space="0" w:color="auto"/>
              <w:bottom w:val="single" w:sz="2" w:space="0" w:color="auto"/>
              <w:right w:val="single" w:sz="2" w:space="0" w:color="auto"/>
            </w:tcBorders>
            <w:vAlign w:val="center"/>
          </w:tcPr>
          <w:p w14:paraId="70361F7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0.44%</w:t>
            </w:r>
          </w:p>
        </w:tc>
        <w:tc>
          <w:tcPr>
            <w:tcW w:w="1928" w:type="dxa"/>
            <w:tcBorders>
              <w:top w:val="single" w:sz="2" w:space="0" w:color="auto"/>
              <w:left w:val="single" w:sz="2" w:space="0" w:color="auto"/>
              <w:bottom w:val="single" w:sz="2" w:space="0" w:color="auto"/>
              <w:right w:val="single" w:sz="2" w:space="0" w:color="auto"/>
            </w:tcBorders>
            <w:vAlign w:val="center"/>
          </w:tcPr>
          <w:p w14:paraId="676193CF"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7050F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64C416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64F50C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5BDA27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111,612,489.99</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2656E2"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8E00C5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116,807,347.04</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646698D" w14:textId="77777777" w:rsidR="00F73301" w:rsidRPr="00F73301" w:rsidRDefault="00F73301" w:rsidP="008C49B7">
            <w:pPr>
              <w:snapToGrid w:val="0"/>
              <w:rPr>
                <w:rFonts w:ascii="Times New Roman" w:eastAsia="等线" w:hAnsi="Times New Roman" w:cs="Times New Roman"/>
                <w:sz w:val="18"/>
                <w:szCs w:val="18"/>
              </w:rPr>
            </w:pPr>
          </w:p>
        </w:tc>
      </w:tr>
    </w:tbl>
    <w:p w14:paraId="3675FDEF" w14:textId="56C1462D"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of the reasons of the prepayment aging over one year with significant amount but failed settled in time:</w:t>
      </w:r>
    </w:p>
    <w:p w14:paraId="679B9AC8"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578DC625"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79" w:name="_Toc989067"/>
      <w:r w:rsidRPr="00F73301">
        <w:rPr>
          <w:rFonts w:ascii="Times New Roman" w:eastAsia="宋体" w:hAnsi="Times New Roman" w:cs="Times New Roman"/>
          <w:b/>
          <w:bCs/>
          <w:sz w:val="24"/>
          <w:szCs w:val="24"/>
        </w:rPr>
        <w:lastRenderedPageBreak/>
        <w:t>(2) Top 5 of the closing balance of prepayments collected according to the prepayment target</w:t>
      </w:r>
      <w:bookmarkEnd w:id="179"/>
    </w:p>
    <w:p w14:paraId="74F74AF6"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Total closing balance of top 5 prepayments at the end of the period was RMB95,141,043.26, accounting for 85.24% of the total closing balance of prepayments at the end of the period.</w:t>
      </w:r>
    </w:p>
    <w:p w14:paraId="4E03B12F"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7EB12E9D"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6E56355E"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80" w:name="_Toc989068"/>
      <w:r w:rsidRPr="00F73301">
        <w:rPr>
          <w:rFonts w:ascii="Times New Roman" w:eastAsia="宋体" w:hAnsi="Times New Roman" w:cs="Times New Roman"/>
          <w:b/>
          <w:bCs/>
          <w:sz w:val="24"/>
          <w:szCs w:val="24"/>
        </w:rPr>
        <w:t>7. Other accounts receivable</w:t>
      </w:r>
      <w:bookmarkEnd w:id="180"/>
    </w:p>
    <w:p w14:paraId="7C4A4C8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41846A2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67FC1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3DE43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696CE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28ACCE3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E8705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632BB41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11,135,073.77</w:t>
            </w:r>
          </w:p>
        </w:tc>
        <w:tc>
          <w:tcPr>
            <w:tcW w:w="3213" w:type="dxa"/>
            <w:tcBorders>
              <w:top w:val="single" w:sz="2" w:space="0" w:color="auto"/>
              <w:left w:val="single" w:sz="2" w:space="0" w:color="auto"/>
              <w:bottom w:val="single" w:sz="2" w:space="0" w:color="auto"/>
              <w:right w:val="single" w:sz="2" w:space="0" w:color="auto"/>
            </w:tcBorders>
            <w:vAlign w:val="center"/>
          </w:tcPr>
          <w:p w14:paraId="1EA7DB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22,043,111.30</w:t>
            </w:r>
          </w:p>
        </w:tc>
      </w:tr>
      <w:tr w:rsidR="00F73301" w:rsidRPr="00F73301" w14:paraId="613D615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6FF9E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4AD22E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11,135,073.77</w:t>
            </w:r>
          </w:p>
        </w:tc>
        <w:tc>
          <w:tcPr>
            <w:tcW w:w="3213" w:type="dxa"/>
            <w:tcBorders>
              <w:top w:val="single" w:sz="2" w:space="0" w:color="auto"/>
              <w:left w:val="single" w:sz="2" w:space="0" w:color="auto"/>
              <w:bottom w:val="single" w:sz="2" w:space="0" w:color="auto"/>
              <w:right w:val="single" w:sz="2" w:space="0" w:color="auto"/>
            </w:tcBorders>
            <w:vAlign w:val="center"/>
          </w:tcPr>
          <w:p w14:paraId="7C40E9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22,043,111.30</w:t>
            </w:r>
          </w:p>
        </w:tc>
      </w:tr>
    </w:tbl>
    <w:p w14:paraId="0ACC67A1"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81" w:name="_Toc989069"/>
      <w:r w:rsidRPr="00F73301">
        <w:rPr>
          <w:rFonts w:ascii="Times New Roman" w:eastAsia="宋体" w:hAnsi="Times New Roman" w:cs="Times New Roman"/>
          <w:b/>
          <w:bCs/>
          <w:sz w:val="24"/>
          <w:szCs w:val="24"/>
        </w:rPr>
        <w:t>(1) Other receivables</w:t>
      </w:r>
      <w:bookmarkEnd w:id="181"/>
    </w:p>
    <w:p w14:paraId="5EB04C3A" w14:textId="77777777" w:rsidR="00F73301" w:rsidRPr="00F73301" w:rsidRDefault="00F73301" w:rsidP="00454D40">
      <w:pPr>
        <w:keepNext/>
        <w:keepLines/>
        <w:adjustRightInd w:val="0"/>
        <w:snapToGrid w:val="0"/>
        <w:spacing w:beforeLines="50" w:before="156" w:afterLines="50" w:after="156"/>
        <w:jc w:val="both"/>
        <w:outlineLvl w:val="4"/>
        <w:rPr>
          <w:rFonts w:ascii="Times New Roman" w:eastAsia="宋体" w:hAnsi="Times New Roman" w:cs="Times New Roman"/>
          <w:b/>
          <w:bCs/>
          <w:sz w:val="24"/>
          <w:szCs w:val="24"/>
        </w:rPr>
      </w:pPr>
      <w:bookmarkStart w:id="182" w:name="_Toc989070"/>
      <w:r w:rsidRPr="00F73301">
        <w:rPr>
          <w:rFonts w:ascii="Times New Roman" w:eastAsia="宋体" w:hAnsi="Times New Roman" w:cs="Times New Roman"/>
          <w:b/>
          <w:bCs/>
          <w:sz w:val="24"/>
          <w:szCs w:val="24"/>
        </w:rPr>
        <w:t>1) Category of other receivables by account nature</w:t>
      </w:r>
      <w:bookmarkEnd w:id="182"/>
    </w:p>
    <w:p w14:paraId="2C692483" w14:textId="77777777" w:rsidR="00F73301" w:rsidRPr="00F73301" w:rsidRDefault="00F73301" w:rsidP="00454D40">
      <w:pPr>
        <w:adjustRightInd w:val="0"/>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0659E61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AA8E7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 of receivables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27E25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carrying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21FFA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carrying balance</w:t>
            </w:r>
          </w:p>
        </w:tc>
      </w:tr>
      <w:tr w:rsidR="00F73301" w:rsidRPr="00F73301" w14:paraId="4AB16BB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1DDB9C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3213" w:type="dxa"/>
            <w:tcBorders>
              <w:top w:val="single" w:sz="2" w:space="0" w:color="auto"/>
              <w:left w:val="single" w:sz="2" w:space="0" w:color="auto"/>
              <w:bottom w:val="single" w:sz="2" w:space="0" w:color="auto"/>
              <w:right w:val="single" w:sz="2" w:space="0" w:color="auto"/>
            </w:tcBorders>
            <w:vAlign w:val="center"/>
          </w:tcPr>
          <w:p w14:paraId="722CFF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15,582,908.18</w:t>
            </w:r>
          </w:p>
        </w:tc>
        <w:tc>
          <w:tcPr>
            <w:tcW w:w="3213" w:type="dxa"/>
            <w:tcBorders>
              <w:top w:val="single" w:sz="2" w:space="0" w:color="auto"/>
              <w:left w:val="single" w:sz="2" w:space="0" w:color="auto"/>
              <w:bottom w:val="single" w:sz="2" w:space="0" w:color="auto"/>
              <w:right w:val="single" w:sz="2" w:space="0" w:color="auto"/>
            </w:tcBorders>
            <w:vAlign w:val="center"/>
          </w:tcPr>
          <w:p w14:paraId="436311D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27,075,060.26</w:t>
            </w:r>
          </w:p>
        </w:tc>
      </w:tr>
      <w:tr w:rsidR="00F73301" w:rsidRPr="00F73301" w14:paraId="78BBFB6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37DD47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Temporary payment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5D4CF80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3,627,008.43</w:t>
            </w:r>
          </w:p>
        </w:tc>
        <w:tc>
          <w:tcPr>
            <w:tcW w:w="3213" w:type="dxa"/>
            <w:tcBorders>
              <w:top w:val="single" w:sz="2" w:space="0" w:color="auto"/>
              <w:left w:val="single" w:sz="2" w:space="0" w:color="auto"/>
              <w:bottom w:val="single" w:sz="2" w:space="0" w:color="auto"/>
              <w:right w:val="single" w:sz="2" w:space="0" w:color="auto"/>
            </w:tcBorders>
            <w:vAlign w:val="center"/>
          </w:tcPr>
          <w:p w14:paraId="6CD3143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3,526,423.61</w:t>
            </w:r>
          </w:p>
        </w:tc>
      </w:tr>
      <w:tr w:rsidR="00F73301" w:rsidRPr="00F73301" w14:paraId="3E4E6D3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EA9059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Prepayments for taxes of agent import customs declaration</w:t>
            </w:r>
          </w:p>
        </w:tc>
        <w:tc>
          <w:tcPr>
            <w:tcW w:w="3213" w:type="dxa"/>
            <w:tcBorders>
              <w:top w:val="single" w:sz="2" w:space="0" w:color="auto"/>
              <w:left w:val="single" w:sz="2" w:space="0" w:color="auto"/>
              <w:bottom w:val="single" w:sz="2" w:space="0" w:color="auto"/>
              <w:right w:val="single" w:sz="2" w:space="0" w:color="auto"/>
            </w:tcBorders>
            <w:vAlign w:val="center"/>
          </w:tcPr>
          <w:p w14:paraId="154799D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696,903.00</w:t>
            </w:r>
          </w:p>
        </w:tc>
        <w:tc>
          <w:tcPr>
            <w:tcW w:w="3213" w:type="dxa"/>
            <w:tcBorders>
              <w:top w:val="single" w:sz="2" w:space="0" w:color="auto"/>
              <w:left w:val="single" w:sz="2" w:space="0" w:color="auto"/>
              <w:bottom w:val="single" w:sz="2" w:space="0" w:color="auto"/>
              <w:right w:val="single" w:sz="2" w:space="0" w:color="auto"/>
            </w:tcBorders>
            <w:vAlign w:val="center"/>
          </w:tcPr>
          <w:p w14:paraId="76E4B05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298,313.86</w:t>
            </w:r>
          </w:p>
        </w:tc>
      </w:tr>
      <w:tr w:rsidR="00F73301" w:rsidRPr="00F73301" w14:paraId="49BB6E2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1C004C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3213" w:type="dxa"/>
            <w:tcBorders>
              <w:top w:val="single" w:sz="2" w:space="0" w:color="auto"/>
              <w:left w:val="single" w:sz="2" w:space="0" w:color="auto"/>
              <w:bottom w:val="single" w:sz="2" w:space="0" w:color="auto"/>
              <w:right w:val="single" w:sz="2" w:space="0" w:color="auto"/>
            </w:tcBorders>
            <w:vAlign w:val="center"/>
          </w:tcPr>
          <w:p w14:paraId="1E8462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117,468.00</w:t>
            </w:r>
          </w:p>
        </w:tc>
        <w:tc>
          <w:tcPr>
            <w:tcW w:w="3213" w:type="dxa"/>
            <w:tcBorders>
              <w:top w:val="single" w:sz="2" w:space="0" w:color="auto"/>
              <w:left w:val="single" w:sz="2" w:space="0" w:color="auto"/>
              <w:bottom w:val="single" w:sz="2" w:space="0" w:color="auto"/>
              <w:right w:val="single" w:sz="2" w:space="0" w:color="auto"/>
            </w:tcBorders>
            <w:vAlign w:val="center"/>
          </w:tcPr>
          <w:p w14:paraId="57D2B6C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94,388.02</w:t>
            </w:r>
          </w:p>
        </w:tc>
      </w:tr>
      <w:tr w:rsidR="00F73301" w:rsidRPr="00F73301" w14:paraId="2BB8953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7D90E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0A2DCE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20,024,287.61</w:t>
            </w:r>
          </w:p>
        </w:tc>
        <w:tc>
          <w:tcPr>
            <w:tcW w:w="3213" w:type="dxa"/>
            <w:tcBorders>
              <w:top w:val="single" w:sz="2" w:space="0" w:color="auto"/>
              <w:left w:val="single" w:sz="2" w:space="0" w:color="auto"/>
              <w:bottom w:val="single" w:sz="2" w:space="0" w:color="auto"/>
              <w:right w:val="single" w:sz="2" w:space="0" w:color="auto"/>
            </w:tcBorders>
            <w:vAlign w:val="center"/>
          </w:tcPr>
          <w:p w14:paraId="1A4D8A1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30,994,185.75</w:t>
            </w:r>
          </w:p>
        </w:tc>
      </w:tr>
    </w:tbl>
    <w:p w14:paraId="634028AE" w14:textId="77777777" w:rsidR="00F73301" w:rsidRPr="00F73301" w:rsidRDefault="00F73301" w:rsidP="00454D40">
      <w:pPr>
        <w:keepNext/>
        <w:keepLines/>
        <w:snapToGrid w:val="0"/>
        <w:spacing w:beforeLines="50" w:before="156" w:afterLines="50" w:after="156"/>
        <w:jc w:val="both"/>
        <w:outlineLvl w:val="4"/>
        <w:rPr>
          <w:rFonts w:ascii="Times New Roman" w:eastAsia="宋体" w:hAnsi="Times New Roman" w:cs="Times New Roman"/>
          <w:b/>
          <w:bCs/>
          <w:sz w:val="24"/>
          <w:szCs w:val="24"/>
        </w:rPr>
      </w:pPr>
      <w:bookmarkStart w:id="183" w:name="_Toc989071"/>
      <w:r w:rsidRPr="00F73301">
        <w:rPr>
          <w:rFonts w:ascii="Times New Roman" w:eastAsia="宋体" w:hAnsi="Times New Roman" w:cs="Times New Roman"/>
          <w:b/>
          <w:bCs/>
          <w:sz w:val="24"/>
          <w:szCs w:val="24"/>
        </w:rPr>
        <w:t>2) Withdrawal of bad debt provision</w:t>
      </w:r>
      <w:bookmarkEnd w:id="183"/>
    </w:p>
    <w:p w14:paraId="2F6577A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3B6D4BFF" w14:textId="77777777" w:rsidTr="0001208F">
        <w:trPr>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2ACE0D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Bad debt provision</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3B874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Stage 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C0A3F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Stage 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5E8B3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Stage 3</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21003C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r>
      <w:tr w:rsidR="00F73301" w:rsidRPr="00F73301" w14:paraId="275A27AB" w14:textId="77777777" w:rsidTr="0001208F">
        <w:trPr>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B094EA7"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1B456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Expected credit loss in the next 12 months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42F15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Expected loss in the duration (credit impairment not incurred)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3062E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Expected loss in the duration (credit impairment incurred)</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6500845"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3F5BD56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8B0947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Balance as at January 1, 2023</w:t>
            </w:r>
          </w:p>
        </w:tc>
        <w:tc>
          <w:tcPr>
            <w:tcW w:w="1928" w:type="dxa"/>
            <w:tcBorders>
              <w:top w:val="single" w:sz="2" w:space="0" w:color="auto"/>
              <w:left w:val="single" w:sz="2" w:space="0" w:color="auto"/>
              <w:bottom w:val="single" w:sz="2" w:space="0" w:color="auto"/>
              <w:right w:val="single" w:sz="2" w:space="0" w:color="auto"/>
            </w:tcBorders>
            <w:vAlign w:val="center"/>
          </w:tcPr>
          <w:p w14:paraId="393CDF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948,350.65</w:t>
            </w:r>
          </w:p>
        </w:tc>
        <w:tc>
          <w:tcPr>
            <w:tcW w:w="1928" w:type="dxa"/>
            <w:tcBorders>
              <w:top w:val="single" w:sz="2" w:space="0" w:color="auto"/>
              <w:left w:val="single" w:sz="2" w:space="0" w:color="auto"/>
              <w:bottom w:val="single" w:sz="2" w:space="0" w:color="auto"/>
              <w:right w:val="single" w:sz="2" w:space="0" w:color="auto"/>
            </w:tcBorders>
            <w:vAlign w:val="center"/>
          </w:tcPr>
          <w:p w14:paraId="6F56B0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233,875.80</w:t>
            </w:r>
          </w:p>
        </w:tc>
        <w:tc>
          <w:tcPr>
            <w:tcW w:w="1928" w:type="dxa"/>
            <w:tcBorders>
              <w:top w:val="single" w:sz="2" w:space="0" w:color="auto"/>
              <w:left w:val="single" w:sz="2" w:space="0" w:color="auto"/>
              <w:bottom w:val="single" w:sz="2" w:space="0" w:color="auto"/>
              <w:right w:val="single" w:sz="2" w:space="0" w:color="auto"/>
            </w:tcBorders>
            <w:vAlign w:val="center"/>
          </w:tcPr>
          <w:p w14:paraId="6BADB7C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7,768,848.00</w:t>
            </w:r>
          </w:p>
        </w:tc>
        <w:tc>
          <w:tcPr>
            <w:tcW w:w="1928" w:type="dxa"/>
            <w:tcBorders>
              <w:top w:val="single" w:sz="2" w:space="0" w:color="auto"/>
              <w:left w:val="single" w:sz="2" w:space="0" w:color="auto"/>
              <w:bottom w:val="single" w:sz="2" w:space="0" w:color="auto"/>
              <w:right w:val="single" w:sz="2" w:space="0" w:color="auto"/>
            </w:tcBorders>
            <w:vAlign w:val="center"/>
          </w:tcPr>
          <w:p w14:paraId="0270E05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8,951,074.45</w:t>
            </w:r>
          </w:p>
        </w:tc>
      </w:tr>
      <w:tr w:rsidR="00F73301" w:rsidRPr="00F73301" w14:paraId="698BB18A"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116C22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Balance as at January 1, 2022 in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238566"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AC1601C"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910C02"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86698A"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45005F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26F63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--Transferred to stage 2</w:t>
            </w:r>
          </w:p>
        </w:tc>
        <w:tc>
          <w:tcPr>
            <w:tcW w:w="1928" w:type="dxa"/>
            <w:tcBorders>
              <w:top w:val="single" w:sz="2" w:space="0" w:color="auto"/>
              <w:left w:val="single" w:sz="2" w:space="0" w:color="auto"/>
              <w:bottom w:val="single" w:sz="2" w:space="0" w:color="auto"/>
              <w:right w:val="single" w:sz="2" w:space="0" w:color="auto"/>
            </w:tcBorders>
            <w:vAlign w:val="center"/>
          </w:tcPr>
          <w:p w14:paraId="04C16C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-109,251.49</w:t>
            </w:r>
          </w:p>
        </w:tc>
        <w:tc>
          <w:tcPr>
            <w:tcW w:w="1928" w:type="dxa"/>
            <w:tcBorders>
              <w:top w:val="single" w:sz="2" w:space="0" w:color="auto"/>
              <w:left w:val="single" w:sz="2" w:space="0" w:color="auto"/>
              <w:bottom w:val="single" w:sz="2" w:space="0" w:color="auto"/>
              <w:right w:val="single" w:sz="2" w:space="0" w:color="auto"/>
            </w:tcBorders>
            <w:vAlign w:val="center"/>
          </w:tcPr>
          <w:p w14:paraId="0B7440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109,251.49</w:t>
            </w:r>
          </w:p>
        </w:tc>
        <w:tc>
          <w:tcPr>
            <w:tcW w:w="1928" w:type="dxa"/>
            <w:tcBorders>
              <w:top w:val="single" w:sz="2" w:space="0" w:color="auto"/>
              <w:left w:val="single" w:sz="2" w:space="0" w:color="auto"/>
              <w:bottom w:val="single" w:sz="2" w:space="0" w:color="auto"/>
              <w:right w:val="single" w:sz="2" w:space="0" w:color="auto"/>
            </w:tcBorders>
            <w:vAlign w:val="center"/>
          </w:tcPr>
          <w:p w14:paraId="05E8067F"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14DE4D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0008F3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02692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--Transferred to stage 3</w:t>
            </w:r>
          </w:p>
        </w:tc>
        <w:tc>
          <w:tcPr>
            <w:tcW w:w="1928" w:type="dxa"/>
            <w:tcBorders>
              <w:top w:val="single" w:sz="2" w:space="0" w:color="auto"/>
              <w:left w:val="single" w:sz="2" w:space="0" w:color="auto"/>
              <w:bottom w:val="single" w:sz="2" w:space="0" w:color="auto"/>
              <w:right w:val="single" w:sz="2" w:space="0" w:color="auto"/>
            </w:tcBorders>
            <w:vAlign w:val="center"/>
          </w:tcPr>
          <w:p w14:paraId="408866B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BD85B4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-281,691.80</w:t>
            </w:r>
          </w:p>
        </w:tc>
        <w:tc>
          <w:tcPr>
            <w:tcW w:w="1928" w:type="dxa"/>
            <w:tcBorders>
              <w:top w:val="single" w:sz="2" w:space="0" w:color="auto"/>
              <w:left w:val="single" w:sz="2" w:space="0" w:color="auto"/>
              <w:bottom w:val="single" w:sz="2" w:space="0" w:color="auto"/>
              <w:right w:val="single" w:sz="2" w:space="0" w:color="auto"/>
            </w:tcBorders>
            <w:vAlign w:val="center"/>
          </w:tcPr>
          <w:p w14:paraId="4631CD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281,691.80</w:t>
            </w:r>
          </w:p>
        </w:tc>
        <w:tc>
          <w:tcPr>
            <w:tcW w:w="1928" w:type="dxa"/>
            <w:tcBorders>
              <w:top w:val="single" w:sz="2" w:space="0" w:color="auto"/>
              <w:left w:val="single" w:sz="2" w:space="0" w:color="auto"/>
              <w:bottom w:val="single" w:sz="2" w:space="0" w:color="auto"/>
              <w:right w:val="single" w:sz="2" w:space="0" w:color="auto"/>
            </w:tcBorders>
            <w:vAlign w:val="center"/>
          </w:tcPr>
          <w:p w14:paraId="7F9F5EB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660347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82B51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Provision withdrawn in the current period</w:t>
            </w:r>
          </w:p>
        </w:tc>
        <w:tc>
          <w:tcPr>
            <w:tcW w:w="1928" w:type="dxa"/>
            <w:tcBorders>
              <w:top w:val="single" w:sz="2" w:space="0" w:color="auto"/>
              <w:left w:val="single" w:sz="2" w:space="0" w:color="auto"/>
              <w:bottom w:val="single" w:sz="2" w:space="0" w:color="auto"/>
              <w:right w:val="single" w:sz="2" w:space="0" w:color="auto"/>
            </w:tcBorders>
            <w:vAlign w:val="center"/>
          </w:tcPr>
          <w:p w14:paraId="416A7F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-430,673.48</w:t>
            </w:r>
          </w:p>
        </w:tc>
        <w:tc>
          <w:tcPr>
            <w:tcW w:w="1928" w:type="dxa"/>
            <w:tcBorders>
              <w:top w:val="single" w:sz="2" w:space="0" w:color="auto"/>
              <w:left w:val="single" w:sz="2" w:space="0" w:color="auto"/>
              <w:bottom w:val="single" w:sz="2" w:space="0" w:color="auto"/>
              <w:right w:val="single" w:sz="2" w:space="0" w:color="auto"/>
            </w:tcBorders>
            <w:vAlign w:val="center"/>
          </w:tcPr>
          <w:p w14:paraId="2DB9E2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157,067.49</w:t>
            </w:r>
          </w:p>
        </w:tc>
        <w:tc>
          <w:tcPr>
            <w:tcW w:w="1928" w:type="dxa"/>
            <w:tcBorders>
              <w:top w:val="single" w:sz="2" w:space="0" w:color="auto"/>
              <w:left w:val="single" w:sz="2" w:space="0" w:color="auto"/>
              <w:bottom w:val="single" w:sz="2" w:space="0" w:color="auto"/>
              <w:right w:val="single" w:sz="2" w:space="0" w:color="auto"/>
            </w:tcBorders>
            <w:vAlign w:val="center"/>
          </w:tcPr>
          <w:p w14:paraId="4F4019B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211,745.38</w:t>
            </w:r>
          </w:p>
        </w:tc>
        <w:tc>
          <w:tcPr>
            <w:tcW w:w="1928" w:type="dxa"/>
            <w:tcBorders>
              <w:top w:val="single" w:sz="2" w:space="0" w:color="auto"/>
              <w:left w:val="single" w:sz="2" w:space="0" w:color="auto"/>
              <w:bottom w:val="single" w:sz="2" w:space="0" w:color="auto"/>
              <w:right w:val="single" w:sz="2" w:space="0" w:color="auto"/>
            </w:tcBorders>
            <w:vAlign w:val="center"/>
          </w:tcPr>
          <w:p w14:paraId="692834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-61,860.61</w:t>
            </w:r>
          </w:p>
        </w:tc>
      </w:tr>
      <w:tr w:rsidR="00F73301" w:rsidRPr="00F73301" w14:paraId="62E3CEEA"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C9060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Balance as at June 30, 2023</w:t>
            </w:r>
          </w:p>
        </w:tc>
        <w:tc>
          <w:tcPr>
            <w:tcW w:w="1928" w:type="dxa"/>
            <w:tcBorders>
              <w:top w:val="single" w:sz="2" w:space="0" w:color="auto"/>
              <w:left w:val="single" w:sz="2" w:space="0" w:color="auto"/>
              <w:bottom w:val="single" w:sz="2" w:space="0" w:color="auto"/>
              <w:right w:val="single" w:sz="2" w:space="0" w:color="auto"/>
            </w:tcBorders>
            <w:vAlign w:val="center"/>
          </w:tcPr>
          <w:p w14:paraId="01FA1E9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408,425.68</w:t>
            </w:r>
          </w:p>
        </w:tc>
        <w:tc>
          <w:tcPr>
            <w:tcW w:w="1928" w:type="dxa"/>
            <w:tcBorders>
              <w:top w:val="single" w:sz="2" w:space="0" w:color="auto"/>
              <w:left w:val="single" w:sz="2" w:space="0" w:color="auto"/>
              <w:bottom w:val="single" w:sz="2" w:space="0" w:color="auto"/>
              <w:right w:val="single" w:sz="2" w:space="0" w:color="auto"/>
            </w:tcBorders>
            <w:vAlign w:val="center"/>
          </w:tcPr>
          <w:p w14:paraId="7374D9C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218,502.98</w:t>
            </w:r>
          </w:p>
        </w:tc>
        <w:tc>
          <w:tcPr>
            <w:tcW w:w="1928" w:type="dxa"/>
            <w:tcBorders>
              <w:top w:val="single" w:sz="2" w:space="0" w:color="auto"/>
              <w:left w:val="single" w:sz="2" w:space="0" w:color="auto"/>
              <w:bottom w:val="single" w:sz="2" w:space="0" w:color="auto"/>
              <w:right w:val="single" w:sz="2" w:space="0" w:color="auto"/>
            </w:tcBorders>
            <w:vAlign w:val="center"/>
          </w:tcPr>
          <w:p w14:paraId="64D38D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8,262,285.18</w:t>
            </w:r>
          </w:p>
        </w:tc>
        <w:tc>
          <w:tcPr>
            <w:tcW w:w="1928" w:type="dxa"/>
            <w:tcBorders>
              <w:top w:val="single" w:sz="2" w:space="0" w:color="auto"/>
              <w:left w:val="single" w:sz="2" w:space="0" w:color="auto"/>
              <w:bottom w:val="single" w:sz="2" w:space="0" w:color="auto"/>
              <w:right w:val="single" w:sz="2" w:space="0" w:color="auto"/>
            </w:tcBorders>
            <w:vAlign w:val="center"/>
          </w:tcPr>
          <w:p w14:paraId="22E269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8,889,213.84</w:t>
            </w:r>
          </w:p>
        </w:tc>
      </w:tr>
    </w:tbl>
    <w:p w14:paraId="5885C8A3"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Changes of carrying amount with significant amount changed of loss provision in the current period</w:t>
      </w:r>
    </w:p>
    <w:p w14:paraId="1F6F090E" w14:textId="4FAE116D"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01BB30E3"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Disclosure by aging</w:t>
      </w:r>
    </w:p>
    <w:p w14:paraId="054F1CE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1E3059CA"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7158D3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Ages</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0D81F2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411DF55C"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FF1517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 (inclusive)</w:t>
            </w:r>
          </w:p>
        </w:tc>
        <w:tc>
          <w:tcPr>
            <w:tcW w:w="4820" w:type="dxa"/>
            <w:tcBorders>
              <w:top w:val="single" w:sz="2" w:space="0" w:color="auto"/>
              <w:left w:val="single" w:sz="2" w:space="0" w:color="auto"/>
              <w:bottom w:val="single" w:sz="2" w:space="0" w:color="auto"/>
              <w:right w:val="single" w:sz="2" w:space="0" w:color="auto"/>
            </w:tcBorders>
            <w:vAlign w:val="center"/>
          </w:tcPr>
          <w:p w14:paraId="27CEBC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8,168,513.68</w:t>
            </w:r>
          </w:p>
        </w:tc>
      </w:tr>
      <w:tr w:rsidR="00F73301" w:rsidRPr="00F73301" w14:paraId="1FA3253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55AAAA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4820" w:type="dxa"/>
            <w:tcBorders>
              <w:top w:val="single" w:sz="2" w:space="0" w:color="auto"/>
              <w:left w:val="single" w:sz="2" w:space="0" w:color="auto"/>
              <w:bottom w:val="single" w:sz="2" w:space="0" w:color="auto"/>
              <w:right w:val="single" w:sz="2" w:space="0" w:color="auto"/>
            </w:tcBorders>
            <w:vAlign w:val="center"/>
          </w:tcPr>
          <w:p w14:paraId="7250C50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2,185,029.77</w:t>
            </w:r>
          </w:p>
        </w:tc>
      </w:tr>
      <w:tr w:rsidR="00F73301" w:rsidRPr="00F73301" w14:paraId="61F245DC"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0D66A4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4820" w:type="dxa"/>
            <w:tcBorders>
              <w:top w:val="single" w:sz="2" w:space="0" w:color="auto"/>
              <w:left w:val="single" w:sz="2" w:space="0" w:color="auto"/>
              <w:bottom w:val="single" w:sz="2" w:space="0" w:color="auto"/>
              <w:right w:val="single" w:sz="2" w:space="0" w:color="auto"/>
            </w:tcBorders>
            <w:vAlign w:val="center"/>
          </w:tcPr>
          <w:p w14:paraId="4CB8A0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2,816,918.00</w:t>
            </w:r>
          </w:p>
        </w:tc>
      </w:tr>
      <w:tr w:rsidR="00F73301" w:rsidRPr="00F73301" w14:paraId="56946D3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66EF05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4820" w:type="dxa"/>
            <w:tcBorders>
              <w:top w:val="single" w:sz="2" w:space="0" w:color="auto"/>
              <w:left w:val="single" w:sz="2" w:space="0" w:color="auto"/>
              <w:bottom w:val="single" w:sz="2" w:space="0" w:color="auto"/>
              <w:right w:val="single" w:sz="2" w:space="0" w:color="auto"/>
            </w:tcBorders>
            <w:vAlign w:val="center"/>
          </w:tcPr>
          <w:p w14:paraId="09066D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6,853,826.16</w:t>
            </w:r>
          </w:p>
        </w:tc>
      </w:tr>
      <w:tr w:rsidR="00F73301" w:rsidRPr="00F73301" w14:paraId="34626599"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72DB61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Three to four years</w:t>
            </w:r>
          </w:p>
        </w:tc>
        <w:tc>
          <w:tcPr>
            <w:tcW w:w="4820" w:type="dxa"/>
            <w:tcBorders>
              <w:top w:val="single" w:sz="2" w:space="0" w:color="auto"/>
              <w:left w:val="single" w:sz="2" w:space="0" w:color="auto"/>
              <w:bottom w:val="single" w:sz="2" w:space="0" w:color="auto"/>
              <w:right w:val="single" w:sz="2" w:space="0" w:color="auto"/>
            </w:tcBorders>
            <w:vAlign w:val="center"/>
          </w:tcPr>
          <w:p w14:paraId="4FB02A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6,853,826.16</w:t>
            </w:r>
          </w:p>
        </w:tc>
      </w:tr>
      <w:tr w:rsidR="00F73301" w:rsidRPr="00F73301" w14:paraId="55956278"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DE0793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Total</w:t>
            </w:r>
          </w:p>
        </w:tc>
        <w:tc>
          <w:tcPr>
            <w:tcW w:w="4820" w:type="dxa"/>
            <w:tcBorders>
              <w:top w:val="single" w:sz="2" w:space="0" w:color="auto"/>
              <w:left w:val="single" w:sz="2" w:space="0" w:color="auto"/>
              <w:bottom w:val="single" w:sz="2" w:space="0" w:color="auto"/>
              <w:right w:val="single" w:sz="2" w:space="0" w:color="auto"/>
            </w:tcBorders>
            <w:vAlign w:val="center"/>
          </w:tcPr>
          <w:p w14:paraId="6798377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20,024,287.61</w:t>
            </w:r>
          </w:p>
        </w:tc>
      </w:tr>
    </w:tbl>
    <w:p w14:paraId="5EEF67F0" w14:textId="77777777" w:rsidR="00F73301" w:rsidRPr="00F73301" w:rsidRDefault="00F73301" w:rsidP="00454D40">
      <w:pPr>
        <w:keepNext/>
        <w:keepLines/>
        <w:adjustRightInd w:val="0"/>
        <w:snapToGrid w:val="0"/>
        <w:spacing w:beforeLines="50" w:before="156" w:afterLines="50" w:after="156"/>
        <w:jc w:val="both"/>
        <w:outlineLvl w:val="4"/>
        <w:rPr>
          <w:rFonts w:ascii="Times New Roman" w:eastAsia="宋体" w:hAnsi="Times New Roman" w:cs="Times New Roman"/>
          <w:b/>
          <w:bCs/>
          <w:sz w:val="24"/>
          <w:szCs w:val="24"/>
        </w:rPr>
      </w:pPr>
      <w:bookmarkStart w:id="184" w:name="_Toc989072"/>
      <w:r w:rsidRPr="00F73301">
        <w:rPr>
          <w:rFonts w:ascii="Times New Roman" w:eastAsia="宋体" w:hAnsi="Times New Roman" w:cs="Times New Roman"/>
          <w:b/>
          <w:bCs/>
          <w:sz w:val="24"/>
          <w:szCs w:val="24"/>
        </w:rPr>
        <w:t>3) Bad debt provision withdrawal, reversed or recovered in the current period</w:t>
      </w:r>
      <w:bookmarkEnd w:id="184"/>
    </w:p>
    <w:p w14:paraId="217353EE"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Withdrawal of bad debt provision in the current period:</w:t>
      </w:r>
    </w:p>
    <w:p w14:paraId="6067A0F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36CD5E5F"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296CC7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Type</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E2FD06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B5B802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Changes in the current period</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4F21B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573DDDD3"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AA23C5"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D2B44C9"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FAB58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Withdrawal</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013B69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Reversed or recovered</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50ACE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Write-off</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06D36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1E9891C" w14:textId="77777777" w:rsidR="00F73301" w:rsidRPr="00F73301" w:rsidRDefault="00F73301" w:rsidP="008C49B7">
            <w:pPr>
              <w:snapToGrid w:val="0"/>
              <w:rPr>
                <w:rFonts w:ascii="Times New Roman" w:eastAsia="等线" w:hAnsi="Times New Roman" w:cs="Times New Roman"/>
                <w:sz w:val="18"/>
                <w:szCs w:val="18"/>
              </w:rPr>
            </w:pPr>
          </w:p>
        </w:tc>
      </w:tr>
    </w:tbl>
    <w:p w14:paraId="7B73BBA5"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21F29A89"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731F3B54"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Of which the bad debt provision recovered or reversed with significant amount in the current period:</w:t>
      </w:r>
    </w:p>
    <w:p w14:paraId="1034034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47F6DF2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6D59E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1FFBB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reversed or recovered</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07954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Way of recovery</w:t>
            </w:r>
          </w:p>
        </w:tc>
      </w:tr>
    </w:tbl>
    <w:p w14:paraId="64DB6F2C"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5144D7EE"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591CA358" w14:textId="77777777" w:rsidR="00F73301" w:rsidRPr="00F73301" w:rsidRDefault="00F73301" w:rsidP="00454D40">
      <w:pPr>
        <w:keepNext/>
        <w:keepLines/>
        <w:adjustRightInd w:val="0"/>
        <w:snapToGrid w:val="0"/>
        <w:spacing w:beforeLines="50" w:before="156" w:afterLines="50" w:after="156"/>
        <w:jc w:val="both"/>
        <w:outlineLvl w:val="4"/>
        <w:rPr>
          <w:rFonts w:ascii="Times New Roman" w:eastAsia="宋体" w:hAnsi="Times New Roman" w:cs="Times New Roman"/>
          <w:b/>
          <w:bCs/>
          <w:sz w:val="24"/>
          <w:szCs w:val="24"/>
        </w:rPr>
      </w:pPr>
      <w:bookmarkStart w:id="185" w:name="_Toc989073"/>
      <w:r w:rsidRPr="00F73301">
        <w:rPr>
          <w:rFonts w:ascii="Times New Roman" w:eastAsia="宋体" w:hAnsi="Times New Roman" w:cs="Times New Roman"/>
          <w:b/>
          <w:bCs/>
          <w:sz w:val="24"/>
          <w:szCs w:val="24"/>
        </w:rPr>
        <w:t>4) Other receivables with actual verification in the current period</w:t>
      </w:r>
      <w:bookmarkEnd w:id="185"/>
    </w:p>
    <w:p w14:paraId="3AB357A9"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12D7C57D"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D36CF6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AC06B0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r>
    </w:tbl>
    <w:p w14:paraId="7AC0183C"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Of which the verification of significant other receivables:</w:t>
      </w:r>
    </w:p>
    <w:p w14:paraId="366EAF1B"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7FEE06D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F407BA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7D444C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56060D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D6FCF0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 for verification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5661ED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Verification procedures performed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9BA6CD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Whether occurred because of related-party transactions</w:t>
            </w:r>
          </w:p>
        </w:tc>
      </w:tr>
    </w:tbl>
    <w:p w14:paraId="69892977"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the verification of other receivables:</w:t>
      </w:r>
    </w:p>
    <w:p w14:paraId="4E089F75"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3BDA348E" w14:textId="77777777" w:rsidR="00F73301" w:rsidRPr="00F73301" w:rsidRDefault="00F73301" w:rsidP="00454D40">
      <w:pPr>
        <w:keepNext/>
        <w:keepLines/>
        <w:adjustRightInd w:val="0"/>
        <w:snapToGrid w:val="0"/>
        <w:spacing w:beforeLines="50" w:before="156" w:afterLines="50" w:after="156"/>
        <w:jc w:val="both"/>
        <w:outlineLvl w:val="4"/>
        <w:rPr>
          <w:rFonts w:ascii="Times New Roman" w:eastAsia="宋体" w:hAnsi="Times New Roman" w:cs="Times New Roman"/>
          <w:b/>
          <w:bCs/>
          <w:sz w:val="24"/>
          <w:szCs w:val="24"/>
        </w:rPr>
      </w:pPr>
      <w:bookmarkStart w:id="186" w:name="_Toc989074"/>
      <w:r w:rsidRPr="00F73301">
        <w:rPr>
          <w:rFonts w:ascii="Times New Roman" w:eastAsia="宋体" w:hAnsi="Times New Roman" w:cs="Times New Roman"/>
          <w:b/>
          <w:bCs/>
          <w:sz w:val="24"/>
          <w:szCs w:val="24"/>
        </w:rPr>
        <w:t>5) Top 5 of the closing balance of other receivables collected according to the arrears party</w:t>
      </w:r>
      <w:bookmarkEnd w:id="186"/>
    </w:p>
    <w:p w14:paraId="3D1EF86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1D995A23"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2BCEC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3A84F7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AFDFB7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CA435A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Ages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2AA4CE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Proportion to total closing balance of other receivables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A5658C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of bad debt provision</w:t>
            </w:r>
          </w:p>
        </w:tc>
      </w:tr>
      <w:tr w:rsidR="00F73301" w:rsidRPr="00F73301" w14:paraId="18D7E091"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1F23A3E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1</w:t>
            </w:r>
          </w:p>
        </w:tc>
        <w:tc>
          <w:tcPr>
            <w:tcW w:w="1606" w:type="dxa"/>
            <w:tcBorders>
              <w:top w:val="single" w:sz="2" w:space="0" w:color="auto"/>
              <w:left w:val="single" w:sz="2" w:space="0" w:color="auto"/>
              <w:bottom w:val="single" w:sz="2" w:space="0" w:color="auto"/>
              <w:right w:val="single" w:sz="2" w:space="0" w:color="auto"/>
            </w:tcBorders>
            <w:vAlign w:val="center"/>
          </w:tcPr>
          <w:p w14:paraId="35533DF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557DFCC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950,000.00</w:t>
            </w:r>
          </w:p>
        </w:tc>
        <w:tc>
          <w:tcPr>
            <w:tcW w:w="1606" w:type="dxa"/>
            <w:tcBorders>
              <w:top w:val="single" w:sz="2" w:space="0" w:color="auto"/>
              <w:left w:val="single" w:sz="2" w:space="0" w:color="auto"/>
              <w:bottom w:val="single" w:sz="2" w:space="0" w:color="auto"/>
              <w:right w:val="single" w:sz="2" w:space="0" w:color="auto"/>
            </w:tcBorders>
            <w:vAlign w:val="center"/>
          </w:tcPr>
          <w:p w14:paraId="5D5777B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w:t>
            </w:r>
          </w:p>
        </w:tc>
        <w:tc>
          <w:tcPr>
            <w:tcW w:w="1606" w:type="dxa"/>
            <w:tcBorders>
              <w:top w:val="single" w:sz="2" w:space="0" w:color="auto"/>
              <w:left w:val="single" w:sz="2" w:space="0" w:color="auto"/>
              <w:bottom w:val="single" w:sz="2" w:space="0" w:color="auto"/>
              <w:right w:val="single" w:sz="2" w:space="0" w:color="auto"/>
            </w:tcBorders>
            <w:vAlign w:val="center"/>
          </w:tcPr>
          <w:p w14:paraId="7F99B4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4.74%</w:t>
            </w:r>
          </w:p>
        </w:tc>
        <w:tc>
          <w:tcPr>
            <w:tcW w:w="1606" w:type="dxa"/>
            <w:tcBorders>
              <w:top w:val="single" w:sz="2" w:space="0" w:color="auto"/>
              <w:left w:val="single" w:sz="2" w:space="0" w:color="auto"/>
              <w:bottom w:val="single" w:sz="2" w:space="0" w:color="auto"/>
              <w:right w:val="single" w:sz="2" w:space="0" w:color="auto"/>
            </w:tcBorders>
            <w:vAlign w:val="center"/>
          </w:tcPr>
          <w:p w14:paraId="46A3E6B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47,500.00</w:t>
            </w:r>
          </w:p>
        </w:tc>
      </w:tr>
      <w:tr w:rsidR="00F73301" w:rsidRPr="00F73301" w14:paraId="2950DE9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2CCED07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1</w:t>
            </w:r>
          </w:p>
        </w:tc>
        <w:tc>
          <w:tcPr>
            <w:tcW w:w="1606" w:type="dxa"/>
            <w:tcBorders>
              <w:top w:val="single" w:sz="2" w:space="0" w:color="auto"/>
              <w:left w:val="single" w:sz="2" w:space="0" w:color="auto"/>
              <w:bottom w:val="single" w:sz="2" w:space="0" w:color="auto"/>
              <w:right w:val="single" w:sz="2" w:space="0" w:color="auto"/>
            </w:tcBorders>
            <w:vAlign w:val="center"/>
          </w:tcPr>
          <w:p w14:paraId="15209BD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1F07071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130,000.00</w:t>
            </w:r>
          </w:p>
        </w:tc>
        <w:tc>
          <w:tcPr>
            <w:tcW w:w="1606" w:type="dxa"/>
            <w:tcBorders>
              <w:top w:val="single" w:sz="2" w:space="0" w:color="auto"/>
              <w:left w:val="single" w:sz="2" w:space="0" w:color="auto"/>
              <w:bottom w:val="single" w:sz="2" w:space="0" w:color="auto"/>
              <w:right w:val="single" w:sz="2" w:space="0" w:color="auto"/>
            </w:tcBorders>
            <w:vAlign w:val="center"/>
          </w:tcPr>
          <w:p w14:paraId="6BA870A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1606" w:type="dxa"/>
            <w:tcBorders>
              <w:top w:val="single" w:sz="2" w:space="0" w:color="auto"/>
              <w:left w:val="single" w:sz="2" w:space="0" w:color="auto"/>
              <w:bottom w:val="single" w:sz="2" w:space="0" w:color="auto"/>
              <w:right w:val="single" w:sz="2" w:space="0" w:color="auto"/>
            </w:tcBorders>
            <w:vAlign w:val="center"/>
          </w:tcPr>
          <w:p w14:paraId="37F661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0.65%</w:t>
            </w:r>
          </w:p>
        </w:tc>
        <w:tc>
          <w:tcPr>
            <w:tcW w:w="1606" w:type="dxa"/>
            <w:tcBorders>
              <w:top w:val="single" w:sz="2" w:space="0" w:color="auto"/>
              <w:left w:val="single" w:sz="2" w:space="0" w:color="auto"/>
              <w:bottom w:val="single" w:sz="2" w:space="0" w:color="auto"/>
              <w:right w:val="single" w:sz="2" w:space="0" w:color="auto"/>
            </w:tcBorders>
            <w:vAlign w:val="center"/>
          </w:tcPr>
          <w:p w14:paraId="02198D5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13,000.00</w:t>
            </w:r>
          </w:p>
        </w:tc>
      </w:tr>
      <w:tr w:rsidR="00F73301" w:rsidRPr="00F73301" w14:paraId="7E2BB94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1E77E40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1</w:t>
            </w:r>
          </w:p>
        </w:tc>
        <w:tc>
          <w:tcPr>
            <w:tcW w:w="1606" w:type="dxa"/>
            <w:tcBorders>
              <w:top w:val="single" w:sz="2" w:space="0" w:color="auto"/>
              <w:left w:val="single" w:sz="2" w:space="0" w:color="auto"/>
              <w:bottom w:val="single" w:sz="2" w:space="0" w:color="auto"/>
              <w:right w:val="single" w:sz="2" w:space="0" w:color="auto"/>
            </w:tcBorders>
            <w:vAlign w:val="center"/>
          </w:tcPr>
          <w:p w14:paraId="7872DE1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69BF0F7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1,200,000.00</w:t>
            </w:r>
          </w:p>
        </w:tc>
        <w:tc>
          <w:tcPr>
            <w:tcW w:w="1606" w:type="dxa"/>
            <w:tcBorders>
              <w:top w:val="single" w:sz="2" w:space="0" w:color="auto"/>
              <w:left w:val="single" w:sz="2" w:space="0" w:color="auto"/>
              <w:bottom w:val="single" w:sz="2" w:space="0" w:color="auto"/>
              <w:right w:val="single" w:sz="2" w:space="0" w:color="auto"/>
            </w:tcBorders>
            <w:vAlign w:val="center"/>
          </w:tcPr>
          <w:p w14:paraId="61C2276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1606" w:type="dxa"/>
            <w:tcBorders>
              <w:top w:val="single" w:sz="2" w:space="0" w:color="auto"/>
              <w:left w:val="single" w:sz="2" w:space="0" w:color="auto"/>
              <w:bottom w:val="single" w:sz="2" w:space="0" w:color="auto"/>
              <w:right w:val="single" w:sz="2" w:space="0" w:color="auto"/>
            </w:tcBorders>
            <w:vAlign w:val="center"/>
          </w:tcPr>
          <w:p w14:paraId="706F1B1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5.99%</w:t>
            </w:r>
          </w:p>
        </w:tc>
        <w:tc>
          <w:tcPr>
            <w:tcW w:w="1606" w:type="dxa"/>
            <w:tcBorders>
              <w:top w:val="single" w:sz="2" w:space="0" w:color="auto"/>
              <w:left w:val="single" w:sz="2" w:space="0" w:color="auto"/>
              <w:bottom w:val="single" w:sz="2" w:space="0" w:color="auto"/>
              <w:right w:val="single" w:sz="2" w:space="0" w:color="auto"/>
            </w:tcBorders>
            <w:vAlign w:val="center"/>
          </w:tcPr>
          <w:p w14:paraId="717059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600,000.00</w:t>
            </w:r>
          </w:p>
        </w:tc>
      </w:tr>
      <w:tr w:rsidR="00F73301" w:rsidRPr="00F73301" w14:paraId="11A996FF"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6E6FA46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1</w:t>
            </w:r>
          </w:p>
        </w:tc>
        <w:tc>
          <w:tcPr>
            <w:tcW w:w="1606" w:type="dxa"/>
            <w:tcBorders>
              <w:top w:val="single" w:sz="2" w:space="0" w:color="auto"/>
              <w:left w:val="single" w:sz="2" w:space="0" w:color="auto"/>
              <w:bottom w:val="single" w:sz="2" w:space="0" w:color="auto"/>
              <w:right w:val="single" w:sz="2" w:space="0" w:color="auto"/>
            </w:tcBorders>
            <w:vAlign w:val="center"/>
          </w:tcPr>
          <w:p w14:paraId="4C029B2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1B07B0C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600,000.00</w:t>
            </w:r>
          </w:p>
        </w:tc>
        <w:tc>
          <w:tcPr>
            <w:tcW w:w="1606" w:type="dxa"/>
            <w:tcBorders>
              <w:top w:val="single" w:sz="2" w:space="0" w:color="auto"/>
              <w:left w:val="single" w:sz="2" w:space="0" w:color="auto"/>
              <w:bottom w:val="single" w:sz="2" w:space="0" w:color="auto"/>
              <w:right w:val="single" w:sz="2" w:space="0" w:color="auto"/>
            </w:tcBorders>
            <w:vAlign w:val="center"/>
          </w:tcPr>
          <w:p w14:paraId="11160C0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1606" w:type="dxa"/>
            <w:tcBorders>
              <w:top w:val="single" w:sz="2" w:space="0" w:color="auto"/>
              <w:left w:val="single" w:sz="2" w:space="0" w:color="auto"/>
              <w:bottom w:val="single" w:sz="2" w:space="0" w:color="auto"/>
              <w:right w:val="single" w:sz="2" w:space="0" w:color="auto"/>
            </w:tcBorders>
            <w:vAlign w:val="center"/>
          </w:tcPr>
          <w:p w14:paraId="15D734F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w:t>
            </w:r>
          </w:p>
        </w:tc>
        <w:tc>
          <w:tcPr>
            <w:tcW w:w="1606" w:type="dxa"/>
            <w:tcBorders>
              <w:top w:val="single" w:sz="2" w:space="0" w:color="auto"/>
              <w:left w:val="single" w:sz="2" w:space="0" w:color="auto"/>
              <w:bottom w:val="single" w:sz="2" w:space="0" w:color="auto"/>
              <w:right w:val="single" w:sz="2" w:space="0" w:color="auto"/>
            </w:tcBorders>
            <w:vAlign w:val="center"/>
          </w:tcPr>
          <w:p w14:paraId="7C16CC5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600,000.00</w:t>
            </w:r>
          </w:p>
        </w:tc>
      </w:tr>
      <w:tr w:rsidR="00F73301" w:rsidRPr="00F73301" w14:paraId="7D6F711A"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32127E7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2</w:t>
            </w:r>
          </w:p>
        </w:tc>
        <w:tc>
          <w:tcPr>
            <w:tcW w:w="1606" w:type="dxa"/>
            <w:tcBorders>
              <w:top w:val="single" w:sz="2" w:space="0" w:color="auto"/>
              <w:left w:val="single" w:sz="2" w:space="0" w:color="auto"/>
              <w:bottom w:val="single" w:sz="2" w:space="0" w:color="auto"/>
              <w:right w:val="single" w:sz="2" w:space="0" w:color="auto"/>
            </w:tcBorders>
            <w:vAlign w:val="center"/>
          </w:tcPr>
          <w:p w14:paraId="0A898BA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59BFF8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2,000,000.00</w:t>
            </w:r>
          </w:p>
        </w:tc>
        <w:tc>
          <w:tcPr>
            <w:tcW w:w="1606" w:type="dxa"/>
            <w:tcBorders>
              <w:top w:val="single" w:sz="2" w:space="0" w:color="auto"/>
              <w:left w:val="single" w:sz="2" w:space="0" w:color="auto"/>
              <w:bottom w:val="single" w:sz="2" w:space="0" w:color="auto"/>
              <w:right w:val="single" w:sz="2" w:space="0" w:color="auto"/>
            </w:tcBorders>
            <w:vAlign w:val="center"/>
          </w:tcPr>
          <w:p w14:paraId="349C489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1606" w:type="dxa"/>
            <w:tcBorders>
              <w:top w:val="single" w:sz="2" w:space="0" w:color="auto"/>
              <w:left w:val="single" w:sz="2" w:space="0" w:color="auto"/>
              <w:bottom w:val="single" w:sz="2" w:space="0" w:color="auto"/>
              <w:right w:val="single" w:sz="2" w:space="0" w:color="auto"/>
            </w:tcBorders>
            <w:vAlign w:val="center"/>
          </w:tcPr>
          <w:p w14:paraId="6A99AD5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9.99%</w:t>
            </w:r>
          </w:p>
        </w:tc>
        <w:tc>
          <w:tcPr>
            <w:tcW w:w="1606" w:type="dxa"/>
            <w:tcBorders>
              <w:top w:val="single" w:sz="2" w:space="0" w:color="auto"/>
              <w:left w:val="single" w:sz="2" w:space="0" w:color="auto"/>
              <w:bottom w:val="single" w:sz="2" w:space="0" w:color="auto"/>
              <w:right w:val="single" w:sz="2" w:space="0" w:color="auto"/>
            </w:tcBorders>
            <w:vAlign w:val="center"/>
          </w:tcPr>
          <w:p w14:paraId="249B85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2,000,000.00</w:t>
            </w:r>
          </w:p>
        </w:tc>
      </w:tr>
      <w:tr w:rsidR="00F73301" w:rsidRPr="00F73301" w14:paraId="0D9A66EA"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3752F5D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3</w:t>
            </w:r>
          </w:p>
        </w:tc>
        <w:tc>
          <w:tcPr>
            <w:tcW w:w="1606" w:type="dxa"/>
            <w:tcBorders>
              <w:top w:val="single" w:sz="2" w:space="0" w:color="auto"/>
              <w:left w:val="single" w:sz="2" w:space="0" w:color="auto"/>
              <w:bottom w:val="single" w:sz="2" w:space="0" w:color="auto"/>
              <w:right w:val="single" w:sz="2" w:space="0" w:color="auto"/>
            </w:tcBorders>
            <w:vAlign w:val="center"/>
          </w:tcPr>
          <w:p w14:paraId="04AF369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50CD284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2,000,000.00</w:t>
            </w:r>
          </w:p>
        </w:tc>
        <w:tc>
          <w:tcPr>
            <w:tcW w:w="1606" w:type="dxa"/>
            <w:tcBorders>
              <w:top w:val="single" w:sz="2" w:space="0" w:color="auto"/>
              <w:left w:val="single" w:sz="2" w:space="0" w:color="auto"/>
              <w:bottom w:val="single" w:sz="2" w:space="0" w:color="auto"/>
              <w:right w:val="single" w:sz="2" w:space="0" w:color="auto"/>
            </w:tcBorders>
            <w:vAlign w:val="center"/>
          </w:tcPr>
          <w:p w14:paraId="698DF55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1606" w:type="dxa"/>
            <w:tcBorders>
              <w:top w:val="single" w:sz="2" w:space="0" w:color="auto"/>
              <w:left w:val="single" w:sz="2" w:space="0" w:color="auto"/>
              <w:bottom w:val="single" w:sz="2" w:space="0" w:color="auto"/>
              <w:right w:val="single" w:sz="2" w:space="0" w:color="auto"/>
            </w:tcBorders>
            <w:vAlign w:val="center"/>
          </w:tcPr>
          <w:p w14:paraId="0609FF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9.99%</w:t>
            </w:r>
          </w:p>
        </w:tc>
        <w:tc>
          <w:tcPr>
            <w:tcW w:w="1606" w:type="dxa"/>
            <w:tcBorders>
              <w:top w:val="single" w:sz="2" w:space="0" w:color="auto"/>
              <w:left w:val="single" w:sz="2" w:space="0" w:color="auto"/>
              <w:bottom w:val="single" w:sz="2" w:space="0" w:color="auto"/>
              <w:right w:val="single" w:sz="2" w:space="0" w:color="auto"/>
            </w:tcBorders>
            <w:vAlign w:val="center"/>
          </w:tcPr>
          <w:p w14:paraId="489B6C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2,000,000.00</w:t>
            </w:r>
          </w:p>
        </w:tc>
      </w:tr>
      <w:tr w:rsidR="00F73301" w:rsidRPr="00F73301" w14:paraId="19EFE7F7"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776ADB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4</w:t>
            </w:r>
          </w:p>
        </w:tc>
        <w:tc>
          <w:tcPr>
            <w:tcW w:w="1606" w:type="dxa"/>
            <w:tcBorders>
              <w:top w:val="single" w:sz="2" w:space="0" w:color="auto"/>
              <w:left w:val="single" w:sz="2" w:space="0" w:color="auto"/>
              <w:bottom w:val="single" w:sz="2" w:space="0" w:color="auto"/>
              <w:right w:val="single" w:sz="2" w:space="0" w:color="auto"/>
            </w:tcBorders>
            <w:vAlign w:val="center"/>
          </w:tcPr>
          <w:p w14:paraId="596161F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07F883C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570,000.00</w:t>
            </w:r>
          </w:p>
        </w:tc>
        <w:tc>
          <w:tcPr>
            <w:tcW w:w="1606" w:type="dxa"/>
            <w:tcBorders>
              <w:top w:val="single" w:sz="2" w:space="0" w:color="auto"/>
              <w:left w:val="single" w:sz="2" w:space="0" w:color="auto"/>
              <w:bottom w:val="single" w:sz="2" w:space="0" w:color="auto"/>
              <w:right w:val="single" w:sz="2" w:space="0" w:color="auto"/>
            </w:tcBorders>
            <w:vAlign w:val="center"/>
          </w:tcPr>
          <w:p w14:paraId="63E3EF2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w:t>
            </w:r>
          </w:p>
        </w:tc>
        <w:tc>
          <w:tcPr>
            <w:tcW w:w="1606" w:type="dxa"/>
            <w:tcBorders>
              <w:top w:val="single" w:sz="2" w:space="0" w:color="auto"/>
              <w:left w:val="single" w:sz="2" w:space="0" w:color="auto"/>
              <w:bottom w:val="single" w:sz="2" w:space="0" w:color="auto"/>
              <w:right w:val="single" w:sz="2" w:space="0" w:color="auto"/>
            </w:tcBorders>
            <w:vAlign w:val="center"/>
          </w:tcPr>
          <w:p w14:paraId="3A59F2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2.85%</w:t>
            </w:r>
          </w:p>
        </w:tc>
        <w:tc>
          <w:tcPr>
            <w:tcW w:w="1606" w:type="dxa"/>
            <w:tcBorders>
              <w:top w:val="single" w:sz="2" w:space="0" w:color="auto"/>
              <w:left w:val="single" w:sz="2" w:space="0" w:color="auto"/>
              <w:bottom w:val="single" w:sz="2" w:space="0" w:color="auto"/>
              <w:right w:val="single" w:sz="2" w:space="0" w:color="auto"/>
            </w:tcBorders>
            <w:vAlign w:val="center"/>
          </w:tcPr>
          <w:p w14:paraId="27A5AD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28,500.00</w:t>
            </w:r>
          </w:p>
        </w:tc>
      </w:tr>
      <w:tr w:rsidR="00F73301" w:rsidRPr="00F73301" w14:paraId="035359E7"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23A2B6D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4</w:t>
            </w:r>
          </w:p>
        </w:tc>
        <w:tc>
          <w:tcPr>
            <w:tcW w:w="1606" w:type="dxa"/>
            <w:tcBorders>
              <w:top w:val="single" w:sz="2" w:space="0" w:color="auto"/>
              <w:left w:val="single" w:sz="2" w:space="0" w:color="auto"/>
              <w:bottom w:val="single" w:sz="2" w:space="0" w:color="auto"/>
              <w:right w:val="single" w:sz="2" w:space="0" w:color="auto"/>
            </w:tcBorders>
            <w:vAlign w:val="center"/>
          </w:tcPr>
          <w:p w14:paraId="344C195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6675C96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930,000.00</w:t>
            </w:r>
          </w:p>
        </w:tc>
        <w:tc>
          <w:tcPr>
            <w:tcW w:w="1606" w:type="dxa"/>
            <w:tcBorders>
              <w:top w:val="single" w:sz="2" w:space="0" w:color="auto"/>
              <w:left w:val="single" w:sz="2" w:space="0" w:color="auto"/>
              <w:bottom w:val="single" w:sz="2" w:space="0" w:color="auto"/>
              <w:right w:val="single" w:sz="2" w:space="0" w:color="auto"/>
            </w:tcBorders>
            <w:vAlign w:val="center"/>
          </w:tcPr>
          <w:p w14:paraId="4FBCF66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1606" w:type="dxa"/>
            <w:tcBorders>
              <w:top w:val="single" w:sz="2" w:space="0" w:color="auto"/>
              <w:left w:val="single" w:sz="2" w:space="0" w:color="auto"/>
              <w:bottom w:val="single" w:sz="2" w:space="0" w:color="auto"/>
              <w:right w:val="single" w:sz="2" w:space="0" w:color="auto"/>
            </w:tcBorders>
            <w:vAlign w:val="center"/>
          </w:tcPr>
          <w:p w14:paraId="1F4569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4.64%</w:t>
            </w:r>
          </w:p>
        </w:tc>
        <w:tc>
          <w:tcPr>
            <w:tcW w:w="1606" w:type="dxa"/>
            <w:tcBorders>
              <w:top w:val="single" w:sz="2" w:space="0" w:color="auto"/>
              <w:left w:val="single" w:sz="2" w:space="0" w:color="auto"/>
              <w:bottom w:val="single" w:sz="2" w:space="0" w:color="auto"/>
              <w:right w:val="single" w:sz="2" w:space="0" w:color="auto"/>
            </w:tcBorders>
            <w:vAlign w:val="center"/>
          </w:tcPr>
          <w:p w14:paraId="44EAEB5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93,000.00</w:t>
            </w:r>
          </w:p>
        </w:tc>
      </w:tr>
      <w:tr w:rsidR="00F73301" w:rsidRPr="00F73301" w14:paraId="0552820D"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2FAC989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5</w:t>
            </w:r>
          </w:p>
        </w:tc>
        <w:tc>
          <w:tcPr>
            <w:tcW w:w="1606" w:type="dxa"/>
            <w:tcBorders>
              <w:top w:val="single" w:sz="2" w:space="0" w:color="auto"/>
              <w:left w:val="single" w:sz="2" w:space="0" w:color="auto"/>
              <w:bottom w:val="single" w:sz="2" w:space="0" w:color="auto"/>
              <w:right w:val="single" w:sz="2" w:space="0" w:color="auto"/>
            </w:tcBorders>
            <w:vAlign w:val="center"/>
          </w:tcPr>
          <w:p w14:paraId="0B675A2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16FABE4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1,414,200.00</w:t>
            </w:r>
          </w:p>
        </w:tc>
        <w:tc>
          <w:tcPr>
            <w:tcW w:w="1606" w:type="dxa"/>
            <w:tcBorders>
              <w:top w:val="single" w:sz="2" w:space="0" w:color="auto"/>
              <w:left w:val="single" w:sz="2" w:space="0" w:color="auto"/>
              <w:bottom w:val="single" w:sz="2" w:space="0" w:color="auto"/>
              <w:right w:val="single" w:sz="2" w:space="0" w:color="auto"/>
            </w:tcBorders>
            <w:vAlign w:val="center"/>
          </w:tcPr>
          <w:p w14:paraId="2C63369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1606" w:type="dxa"/>
            <w:tcBorders>
              <w:top w:val="single" w:sz="2" w:space="0" w:color="auto"/>
              <w:left w:val="single" w:sz="2" w:space="0" w:color="auto"/>
              <w:bottom w:val="single" w:sz="2" w:space="0" w:color="auto"/>
              <w:right w:val="single" w:sz="2" w:space="0" w:color="auto"/>
            </w:tcBorders>
            <w:vAlign w:val="center"/>
          </w:tcPr>
          <w:p w14:paraId="7530FA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7.06%</w:t>
            </w:r>
          </w:p>
        </w:tc>
        <w:tc>
          <w:tcPr>
            <w:tcW w:w="1606" w:type="dxa"/>
            <w:tcBorders>
              <w:top w:val="single" w:sz="2" w:space="0" w:color="auto"/>
              <w:left w:val="single" w:sz="2" w:space="0" w:color="auto"/>
              <w:bottom w:val="single" w:sz="2" w:space="0" w:color="auto"/>
              <w:right w:val="single" w:sz="2" w:space="0" w:color="auto"/>
            </w:tcBorders>
            <w:vAlign w:val="center"/>
          </w:tcPr>
          <w:p w14:paraId="730E43F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707,100.00</w:t>
            </w:r>
          </w:p>
        </w:tc>
      </w:tr>
      <w:tr w:rsidR="00F73301" w:rsidRPr="00F73301" w14:paraId="7B4CBE0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953D11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F883053" w14:textId="77777777" w:rsidR="00F73301" w:rsidRPr="00F73301" w:rsidRDefault="00F73301" w:rsidP="008C49B7">
            <w:pPr>
              <w:snapToGrid w:val="0"/>
              <w:rPr>
                <w:rFonts w:ascii="Times New Roman" w:eastAsia="等线"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6B2AE0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9,794,200.00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CA2BA3" w14:textId="77777777" w:rsidR="00F73301" w:rsidRPr="00F73301" w:rsidRDefault="00F73301" w:rsidP="008C49B7">
            <w:pPr>
              <w:snapToGrid w:val="0"/>
              <w:rPr>
                <w:rFonts w:ascii="Times New Roman" w:eastAsia="等线"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9F8ECC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48.91%</w:t>
            </w:r>
          </w:p>
        </w:tc>
        <w:tc>
          <w:tcPr>
            <w:tcW w:w="1606" w:type="dxa"/>
            <w:tcBorders>
              <w:top w:val="single" w:sz="2" w:space="0" w:color="auto"/>
              <w:left w:val="single" w:sz="2" w:space="0" w:color="auto"/>
              <w:bottom w:val="single" w:sz="2" w:space="0" w:color="auto"/>
              <w:right w:val="single" w:sz="2" w:space="0" w:color="auto"/>
            </w:tcBorders>
            <w:vAlign w:val="center"/>
          </w:tcPr>
          <w:p w14:paraId="0DA12D1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6,089,100.00</w:t>
            </w:r>
          </w:p>
        </w:tc>
      </w:tr>
    </w:tbl>
    <w:p w14:paraId="4A22DC1F" w14:textId="77777777" w:rsidR="00F73301" w:rsidRPr="00F73301" w:rsidRDefault="00F73301" w:rsidP="00454D40">
      <w:pPr>
        <w:keepNext/>
        <w:keepLines/>
        <w:adjustRightInd w:val="0"/>
        <w:snapToGrid w:val="0"/>
        <w:spacing w:beforeLines="50" w:before="156" w:afterLines="50" w:after="156"/>
        <w:jc w:val="both"/>
        <w:outlineLvl w:val="4"/>
        <w:rPr>
          <w:rFonts w:ascii="Times New Roman" w:eastAsia="宋体" w:hAnsi="Times New Roman" w:cs="Times New Roman"/>
          <w:b/>
          <w:bCs/>
          <w:sz w:val="24"/>
          <w:szCs w:val="24"/>
        </w:rPr>
      </w:pPr>
      <w:bookmarkStart w:id="187" w:name="_Toc989075"/>
      <w:r w:rsidRPr="00F73301">
        <w:rPr>
          <w:rFonts w:ascii="Times New Roman" w:eastAsia="宋体" w:hAnsi="Times New Roman" w:cs="Times New Roman"/>
          <w:b/>
          <w:bCs/>
          <w:sz w:val="24"/>
          <w:szCs w:val="24"/>
        </w:rPr>
        <w:t>6) Receivables involving government grants</w:t>
      </w:r>
      <w:bookmarkEnd w:id="187"/>
    </w:p>
    <w:p w14:paraId="3663797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6E9FBB7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387D4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Entity</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2B414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Project of government grants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74CA0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077BBC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aging</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6B621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Estimated recovering time, amount and basis</w:t>
            </w:r>
          </w:p>
        </w:tc>
      </w:tr>
    </w:tbl>
    <w:p w14:paraId="00E6ADDB"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2CA848E8"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4F01B569" w14:textId="77777777" w:rsidR="00F73301" w:rsidRPr="00F73301" w:rsidRDefault="00F73301" w:rsidP="00454D40">
      <w:pPr>
        <w:keepNext/>
        <w:keepLines/>
        <w:adjustRightInd w:val="0"/>
        <w:snapToGrid w:val="0"/>
        <w:spacing w:beforeLines="50" w:before="156" w:afterLines="50" w:after="156"/>
        <w:jc w:val="both"/>
        <w:outlineLvl w:val="4"/>
        <w:rPr>
          <w:rFonts w:ascii="Times New Roman" w:eastAsia="宋体" w:hAnsi="Times New Roman" w:cs="Times New Roman"/>
          <w:b/>
          <w:bCs/>
          <w:sz w:val="24"/>
          <w:szCs w:val="24"/>
        </w:rPr>
      </w:pPr>
      <w:bookmarkStart w:id="188" w:name="_Toc989076"/>
      <w:r w:rsidRPr="00F73301">
        <w:rPr>
          <w:rFonts w:ascii="Times New Roman" w:eastAsia="宋体" w:hAnsi="Times New Roman" w:cs="Times New Roman"/>
          <w:b/>
          <w:bCs/>
          <w:sz w:val="24"/>
          <w:szCs w:val="24"/>
        </w:rPr>
        <w:t>7) Derecognition of other receivables due to the transfer of financial assets</w:t>
      </w:r>
      <w:bookmarkEnd w:id="188"/>
    </w:p>
    <w:p w14:paraId="0F996D47"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0C01FCC9" w14:textId="77777777" w:rsidR="00F73301" w:rsidRPr="00F73301" w:rsidRDefault="00F73301" w:rsidP="00454D40">
      <w:pPr>
        <w:keepNext/>
        <w:keepLines/>
        <w:adjustRightInd w:val="0"/>
        <w:snapToGrid w:val="0"/>
        <w:spacing w:beforeLines="50" w:before="156" w:afterLines="50" w:after="156"/>
        <w:jc w:val="both"/>
        <w:outlineLvl w:val="4"/>
        <w:rPr>
          <w:rFonts w:ascii="Times New Roman" w:eastAsia="宋体" w:hAnsi="Times New Roman" w:cs="Times New Roman"/>
          <w:b/>
          <w:bCs/>
          <w:sz w:val="24"/>
          <w:szCs w:val="24"/>
        </w:rPr>
      </w:pPr>
      <w:bookmarkStart w:id="189" w:name="_Toc989077"/>
      <w:r w:rsidRPr="00F73301">
        <w:rPr>
          <w:rFonts w:ascii="Times New Roman" w:eastAsia="宋体" w:hAnsi="Times New Roman" w:cs="Times New Roman"/>
          <w:b/>
          <w:bCs/>
          <w:sz w:val="24"/>
          <w:szCs w:val="24"/>
        </w:rPr>
        <w:t>8) The amount of the assets and liabilities formed due to the transfer and the continued involvement of other receivables</w:t>
      </w:r>
      <w:bookmarkEnd w:id="189"/>
    </w:p>
    <w:p w14:paraId="434B6324"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3E2737CA"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019426D0"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2BA1B8A7"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90" w:name="_Toc989078"/>
      <w:r w:rsidRPr="00F73301">
        <w:rPr>
          <w:rFonts w:ascii="Times New Roman" w:eastAsia="宋体" w:hAnsi="Times New Roman" w:cs="Times New Roman"/>
          <w:b/>
          <w:bCs/>
          <w:sz w:val="24"/>
          <w:szCs w:val="24"/>
        </w:rPr>
        <w:t>8. Inventory</w:t>
      </w:r>
      <w:bookmarkEnd w:id="190"/>
    </w:p>
    <w:p w14:paraId="7635B642"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Whether the Company needs to comply with the disclosure requirements for the real estate industry</w:t>
      </w:r>
    </w:p>
    <w:p w14:paraId="059DF449"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w:t>
      </w:r>
    </w:p>
    <w:p w14:paraId="17B1386A"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91" w:name="_Toc989079"/>
      <w:r w:rsidRPr="00F73301">
        <w:rPr>
          <w:rFonts w:ascii="Times New Roman" w:eastAsia="宋体" w:hAnsi="Times New Roman" w:cs="Times New Roman"/>
          <w:b/>
          <w:bCs/>
          <w:sz w:val="24"/>
          <w:szCs w:val="24"/>
        </w:rPr>
        <w:t>(1) Category of inventory</w:t>
      </w:r>
      <w:bookmarkEnd w:id="191"/>
    </w:p>
    <w:p w14:paraId="04CDEE3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5896838A"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B384DD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A0EB1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0B8B22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253203C2"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412006"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76465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6747DD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Depreciation reserves of inventories or impairment allowance for contract performance costs</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E0CC14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A608E2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3A263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Depreciation reserves of inventories or impairment allowance for contract performance costs</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D8E0B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r>
      <w:tr w:rsidR="00F73301" w:rsidRPr="00F73301" w14:paraId="239EEBF7"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AC6E83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Raw materials</w:t>
            </w:r>
          </w:p>
        </w:tc>
        <w:tc>
          <w:tcPr>
            <w:tcW w:w="1377" w:type="dxa"/>
            <w:tcBorders>
              <w:top w:val="single" w:sz="2" w:space="0" w:color="auto"/>
              <w:left w:val="single" w:sz="2" w:space="0" w:color="auto"/>
              <w:bottom w:val="single" w:sz="2" w:space="0" w:color="auto"/>
              <w:right w:val="single" w:sz="2" w:space="0" w:color="auto"/>
            </w:tcBorders>
            <w:vAlign w:val="center"/>
          </w:tcPr>
          <w:p w14:paraId="0BC67AE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306,098,814.88</w:t>
            </w:r>
          </w:p>
        </w:tc>
        <w:tc>
          <w:tcPr>
            <w:tcW w:w="1377" w:type="dxa"/>
            <w:tcBorders>
              <w:top w:val="single" w:sz="2" w:space="0" w:color="auto"/>
              <w:left w:val="single" w:sz="2" w:space="0" w:color="auto"/>
              <w:bottom w:val="single" w:sz="2" w:space="0" w:color="auto"/>
              <w:right w:val="single" w:sz="2" w:space="0" w:color="auto"/>
            </w:tcBorders>
            <w:vAlign w:val="center"/>
          </w:tcPr>
          <w:p w14:paraId="5866380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18,743,975.20</w:t>
            </w:r>
          </w:p>
        </w:tc>
        <w:tc>
          <w:tcPr>
            <w:tcW w:w="1377" w:type="dxa"/>
            <w:tcBorders>
              <w:top w:val="single" w:sz="2" w:space="0" w:color="auto"/>
              <w:left w:val="single" w:sz="2" w:space="0" w:color="auto"/>
              <w:bottom w:val="single" w:sz="2" w:space="0" w:color="auto"/>
              <w:right w:val="single" w:sz="2" w:space="0" w:color="auto"/>
            </w:tcBorders>
            <w:vAlign w:val="center"/>
          </w:tcPr>
          <w:p w14:paraId="64812AC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287,354,839.68</w:t>
            </w:r>
          </w:p>
        </w:tc>
        <w:tc>
          <w:tcPr>
            <w:tcW w:w="1377" w:type="dxa"/>
            <w:tcBorders>
              <w:top w:val="single" w:sz="2" w:space="0" w:color="auto"/>
              <w:left w:val="single" w:sz="2" w:space="0" w:color="auto"/>
              <w:bottom w:val="single" w:sz="2" w:space="0" w:color="auto"/>
              <w:right w:val="single" w:sz="2" w:space="0" w:color="auto"/>
            </w:tcBorders>
            <w:vAlign w:val="center"/>
          </w:tcPr>
          <w:p w14:paraId="4A530F4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314,989,051.96</w:t>
            </w:r>
          </w:p>
        </w:tc>
        <w:tc>
          <w:tcPr>
            <w:tcW w:w="1377" w:type="dxa"/>
            <w:tcBorders>
              <w:top w:val="single" w:sz="2" w:space="0" w:color="auto"/>
              <w:left w:val="single" w:sz="2" w:space="0" w:color="auto"/>
              <w:bottom w:val="single" w:sz="2" w:space="0" w:color="auto"/>
              <w:right w:val="single" w:sz="2" w:space="0" w:color="auto"/>
            </w:tcBorders>
            <w:vAlign w:val="center"/>
          </w:tcPr>
          <w:p w14:paraId="6F7CE6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9,208,086.81</w:t>
            </w:r>
          </w:p>
        </w:tc>
        <w:tc>
          <w:tcPr>
            <w:tcW w:w="1377" w:type="dxa"/>
            <w:tcBorders>
              <w:top w:val="single" w:sz="2" w:space="0" w:color="auto"/>
              <w:left w:val="single" w:sz="2" w:space="0" w:color="auto"/>
              <w:bottom w:val="single" w:sz="2" w:space="0" w:color="auto"/>
              <w:right w:val="single" w:sz="2" w:space="0" w:color="auto"/>
            </w:tcBorders>
            <w:vAlign w:val="center"/>
          </w:tcPr>
          <w:p w14:paraId="25B173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305,780,965.15</w:t>
            </w:r>
          </w:p>
        </w:tc>
      </w:tr>
      <w:tr w:rsidR="00F73301" w:rsidRPr="00F73301" w14:paraId="44CF704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CF1F6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Goods in process</w:t>
            </w:r>
          </w:p>
        </w:tc>
        <w:tc>
          <w:tcPr>
            <w:tcW w:w="1377" w:type="dxa"/>
            <w:tcBorders>
              <w:top w:val="single" w:sz="2" w:space="0" w:color="auto"/>
              <w:left w:val="single" w:sz="2" w:space="0" w:color="auto"/>
              <w:bottom w:val="single" w:sz="2" w:space="0" w:color="auto"/>
              <w:right w:val="single" w:sz="2" w:space="0" w:color="auto"/>
            </w:tcBorders>
            <w:vAlign w:val="center"/>
          </w:tcPr>
          <w:p w14:paraId="7EF5510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213,210,199.53</w:t>
            </w:r>
          </w:p>
        </w:tc>
        <w:tc>
          <w:tcPr>
            <w:tcW w:w="1377" w:type="dxa"/>
            <w:tcBorders>
              <w:top w:val="single" w:sz="2" w:space="0" w:color="auto"/>
              <w:left w:val="single" w:sz="2" w:space="0" w:color="auto"/>
              <w:bottom w:val="single" w:sz="2" w:space="0" w:color="auto"/>
              <w:right w:val="single" w:sz="2" w:space="0" w:color="auto"/>
            </w:tcBorders>
            <w:vAlign w:val="center"/>
          </w:tcPr>
          <w:p w14:paraId="2431FE0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8,406,000.86</w:t>
            </w:r>
          </w:p>
        </w:tc>
        <w:tc>
          <w:tcPr>
            <w:tcW w:w="1377" w:type="dxa"/>
            <w:tcBorders>
              <w:top w:val="single" w:sz="2" w:space="0" w:color="auto"/>
              <w:left w:val="single" w:sz="2" w:space="0" w:color="auto"/>
              <w:bottom w:val="single" w:sz="2" w:space="0" w:color="auto"/>
              <w:right w:val="single" w:sz="2" w:space="0" w:color="auto"/>
            </w:tcBorders>
            <w:vAlign w:val="center"/>
          </w:tcPr>
          <w:p w14:paraId="2CEB9B9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204,804,198.67</w:t>
            </w:r>
          </w:p>
        </w:tc>
        <w:tc>
          <w:tcPr>
            <w:tcW w:w="1377" w:type="dxa"/>
            <w:tcBorders>
              <w:top w:val="single" w:sz="2" w:space="0" w:color="auto"/>
              <w:left w:val="single" w:sz="2" w:space="0" w:color="auto"/>
              <w:bottom w:val="single" w:sz="2" w:space="0" w:color="auto"/>
              <w:right w:val="single" w:sz="2" w:space="0" w:color="auto"/>
            </w:tcBorders>
            <w:vAlign w:val="center"/>
          </w:tcPr>
          <w:p w14:paraId="65BC3D5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169,518,274.03</w:t>
            </w:r>
          </w:p>
        </w:tc>
        <w:tc>
          <w:tcPr>
            <w:tcW w:w="1377" w:type="dxa"/>
            <w:tcBorders>
              <w:top w:val="single" w:sz="2" w:space="0" w:color="auto"/>
              <w:left w:val="single" w:sz="2" w:space="0" w:color="auto"/>
              <w:bottom w:val="single" w:sz="2" w:space="0" w:color="auto"/>
              <w:right w:val="single" w:sz="2" w:space="0" w:color="auto"/>
            </w:tcBorders>
            <w:vAlign w:val="center"/>
          </w:tcPr>
          <w:p w14:paraId="018A95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1,096,008.81</w:t>
            </w:r>
          </w:p>
        </w:tc>
        <w:tc>
          <w:tcPr>
            <w:tcW w:w="1377" w:type="dxa"/>
            <w:tcBorders>
              <w:top w:val="single" w:sz="2" w:space="0" w:color="auto"/>
              <w:left w:val="single" w:sz="2" w:space="0" w:color="auto"/>
              <w:bottom w:val="single" w:sz="2" w:space="0" w:color="auto"/>
              <w:right w:val="single" w:sz="2" w:space="0" w:color="auto"/>
            </w:tcBorders>
            <w:vAlign w:val="center"/>
          </w:tcPr>
          <w:p w14:paraId="3C9896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168,422,265.22</w:t>
            </w:r>
          </w:p>
        </w:tc>
      </w:tr>
      <w:tr w:rsidR="00F73301" w:rsidRPr="00F73301" w14:paraId="7F2F3624"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13E85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Goods on hand</w:t>
            </w:r>
          </w:p>
        </w:tc>
        <w:tc>
          <w:tcPr>
            <w:tcW w:w="1377" w:type="dxa"/>
            <w:tcBorders>
              <w:top w:val="single" w:sz="2" w:space="0" w:color="auto"/>
              <w:left w:val="single" w:sz="2" w:space="0" w:color="auto"/>
              <w:bottom w:val="single" w:sz="2" w:space="0" w:color="auto"/>
              <w:right w:val="single" w:sz="2" w:space="0" w:color="auto"/>
            </w:tcBorders>
            <w:vAlign w:val="center"/>
          </w:tcPr>
          <w:p w14:paraId="47C5AF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696,357,363.18</w:t>
            </w:r>
          </w:p>
        </w:tc>
        <w:tc>
          <w:tcPr>
            <w:tcW w:w="1377" w:type="dxa"/>
            <w:tcBorders>
              <w:top w:val="single" w:sz="2" w:space="0" w:color="auto"/>
              <w:left w:val="single" w:sz="2" w:space="0" w:color="auto"/>
              <w:bottom w:val="single" w:sz="2" w:space="0" w:color="auto"/>
              <w:right w:val="single" w:sz="2" w:space="0" w:color="auto"/>
            </w:tcBorders>
            <w:vAlign w:val="center"/>
          </w:tcPr>
          <w:p w14:paraId="05E0C29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54,722,087.77</w:t>
            </w:r>
          </w:p>
        </w:tc>
        <w:tc>
          <w:tcPr>
            <w:tcW w:w="1377" w:type="dxa"/>
            <w:tcBorders>
              <w:top w:val="single" w:sz="2" w:space="0" w:color="auto"/>
              <w:left w:val="single" w:sz="2" w:space="0" w:color="auto"/>
              <w:bottom w:val="single" w:sz="2" w:space="0" w:color="auto"/>
              <w:right w:val="single" w:sz="2" w:space="0" w:color="auto"/>
            </w:tcBorders>
            <w:vAlign w:val="center"/>
          </w:tcPr>
          <w:p w14:paraId="1A96691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641,635,275.41</w:t>
            </w:r>
          </w:p>
        </w:tc>
        <w:tc>
          <w:tcPr>
            <w:tcW w:w="1377" w:type="dxa"/>
            <w:tcBorders>
              <w:top w:val="single" w:sz="2" w:space="0" w:color="auto"/>
              <w:left w:val="single" w:sz="2" w:space="0" w:color="auto"/>
              <w:bottom w:val="single" w:sz="2" w:space="0" w:color="auto"/>
              <w:right w:val="single" w:sz="2" w:space="0" w:color="auto"/>
            </w:tcBorders>
            <w:vAlign w:val="center"/>
          </w:tcPr>
          <w:p w14:paraId="174939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746,951,490.88</w:t>
            </w:r>
          </w:p>
        </w:tc>
        <w:tc>
          <w:tcPr>
            <w:tcW w:w="1377" w:type="dxa"/>
            <w:tcBorders>
              <w:top w:val="single" w:sz="2" w:space="0" w:color="auto"/>
              <w:left w:val="single" w:sz="2" w:space="0" w:color="auto"/>
              <w:bottom w:val="single" w:sz="2" w:space="0" w:color="auto"/>
              <w:right w:val="single" w:sz="2" w:space="0" w:color="auto"/>
            </w:tcBorders>
            <w:vAlign w:val="center"/>
          </w:tcPr>
          <w:p w14:paraId="6F2F76D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39,332,072.96</w:t>
            </w:r>
          </w:p>
        </w:tc>
        <w:tc>
          <w:tcPr>
            <w:tcW w:w="1377" w:type="dxa"/>
            <w:tcBorders>
              <w:top w:val="single" w:sz="2" w:space="0" w:color="auto"/>
              <w:left w:val="single" w:sz="2" w:space="0" w:color="auto"/>
              <w:bottom w:val="single" w:sz="2" w:space="0" w:color="auto"/>
              <w:right w:val="single" w:sz="2" w:space="0" w:color="auto"/>
            </w:tcBorders>
            <w:vAlign w:val="center"/>
          </w:tcPr>
          <w:p w14:paraId="0AEE9D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707,619,417.92</w:t>
            </w:r>
          </w:p>
        </w:tc>
      </w:tr>
      <w:tr w:rsidR="00F73301" w:rsidRPr="00F73301" w14:paraId="653843B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13CF75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Commissioned products</w:t>
            </w:r>
          </w:p>
        </w:tc>
        <w:tc>
          <w:tcPr>
            <w:tcW w:w="1377" w:type="dxa"/>
            <w:tcBorders>
              <w:top w:val="single" w:sz="2" w:space="0" w:color="auto"/>
              <w:left w:val="single" w:sz="2" w:space="0" w:color="auto"/>
              <w:bottom w:val="single" w:sz="2" w:space="0" w:color="auto"/>
              <w:right w:val="single" w:sz="2" w:space="0" w:color="auto"/>
            </w:tcBorders>
            <w:vAlign w:val="center"/>
          </w:tcPr>
          <w:p w14:paraId="2AEAA7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27,930,186.88</w:t>
            </w:r>
          </w:p>
        </w:tc>
        <w:tc>
          <w:tcPr>
            <w:tcW w:w="1377" w:type="dxa"/>
            <w:tcBorders>
              <w:top w:val="single" w:sz="2" w:space="0" w:color="auto"/>
              <w:left w:val="single" w:sz="2" w:space="0" w:color="auto"/>
              <w:bottom w:val="single" w:sz="2" w:space="0" w:color="auto"/>
              <w:right w:val="single" w:sz="2" w:space="0" w:color="auto"/>
            </w:tcBorders>
            <w:vAlign w:val="center"/>
          </w:tcPr>
          <w:p w14:paraId="072483C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E0BBC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27,930,186.88</w:t>
            </w:r>
          </w:p>
        </w:tc>
        <w:tc>
          <w:tcPr>
            <w:tcW w:w="1377" w:type="dxa"/>
            <w:tcBorders>
              <w:top w:val="single" w:sz="2" w:space="0" w:color="auto"/>
              <w:left w:val="single" w:sz="2" w:space="0" w:color="auto"/>
              <w:bottom w:val="single" w:sz="2" w:space="0" w:color="auto"/>
              <w:right w:val="single" w:sz="2" w:space="0" w:color="auto"/>
            </w:tcBorders>
            <w:vAlign w:val="center"/>
          </w:tcPr>
          <w:p w14:paraId="2E9030C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31,345,637.41</w:t>
            </w:r>
          </w:p>
        </w:tc>
        <w:tc>
          <w:tcPr>
            <w:tcW w:w="1377" w:type="dxa"/>
            <w:tcBorders>
              <w:top w:val="single" w:sz="2" w:space="0" w:color="auto"/>
              <w:left w:val="single" w:sz="2" w:space="0" w:color="auto"/>
              <w:bottom w:val="single" w:sz="2" w:space="0" w:color="auto"/>
              <w:right w:val="single" w:sz="2" w:space="0" w:color="auto"/>
            </w:tcBorders>
            <w:vAlign w:val="center"/>
          </w:tcPr>
          <w:p w14:paraId="6CAD508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FF781B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31,345,637.41</w:t>
            </w:r>
          </w:p>
        </w:tc>
      </w:tr>
      <w:tr w:rsidR="00F73301" w:rsidRPr="00F73301" w14:paraId="466BF3A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A899A9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4BFC83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1,243,596,564.47</w:t>
            </w:r>
          </w:p>
        </w:tc>
        <w:tc>
          <w:tcPr>
            <w:tcW w:w="1377" w:type="dxa"/>
            <w:tcBorders>
              <w:top w:val="single" w:sz="2" w:space="0" w:color="auto"/>
              <w:left w:val="single" w:sz="2" w:space="0" w:color="auto"/>
              <w:bottom w:val="single" w:sz="2" w:space="0" w:color="auto"/>
              <w:right w:val="single" w:sz="2" w:space="0" w:color="auto"/>
            </w:tcBorders>
            <w:vAlign w:val="center"/>
          </w:tcPr>
          <w:p w14:paraId="313B53C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81,872,063.83</w:t>
            </w:r>
          </w:p>
        </w:tc>
        <w:tc>
          <w:tcPr>
            <w:tcW w:w="1377" w:type="dxa"/>
            <w:tcBorders>
              <w:top w:val="single" w:sz="2" w:space="0" w:color="auto"/>
              <w:left w:val="single" w:sz="2" w:space="0" w:color="auto"/>
              <w:bottom w:val="single" w:sz="2" w:space="0" w:color="auto"/>
              <w:right w:val="single" w:sz="2" w:space="0" w:color="auto"/>
            </w:tcBorders>
            <w:vAlign w:val="center"/>
          </w:tcPr>
          <w:p w14:paraId="4C0A920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1,161,724,500.64</w:t>
            </w:r>
          </w:p>
        </w:tc>
        <w:tc>
          <w:tcPr>
            <w:tcW w:w="1377" w:type="dxa"/>
            <w:tcBorders>
              <w:top w:val="single" w:sz="2" w:space="0" w:color="auto"/>
              <w:left w:val="single" w:sz="2" w:space="0" w:color="auto"/>
              <w:bottom w:val="single" w:sz="2" w:space="0" w:color="auto"/>
              <w:right w:val="single" w:sz="2" w:space="0" w:color="auto"/>
            </w:tcBorders>
            <w:vAlign w:val="center"/>
          </w:tcPr>
          <w:p w14:paraId="4C91C78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1,262,804,454.28</w:t>
            </w:r>
          </w:p>
        </w:tc>
        <w:tc>
          <w:tcPr>
            <w:tcW w:w="1377" w:type="dxa"/>
            <w:tcBorders>
              <w:top w:val="single" w:sz="2" w:space="0" w:color="auto"/>
              <w:left w:val="single" w:sz="2" w:space="0" w:color="auto"/>
              <w:bottom w:val="single" w:sz="2" w:space="0" w:color="auto"/>
              <w:right w:val="single" w:sz="2" w:space="0" w:color="auto"/>
            </w:tcBorders>
            <w:vAlign w:val="center"/>
          </w:tcPr>
          <w:p w14:paraId="0F9F5D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49,636,168.58</w:t>
            </w:r>
          </w:p>
        </w:tc>
        <w:tc>
          <w:tcPr>
            <w:tcW w:w="1377" w:type="dxa"/>
            <w:tcBorders>
              <w:top w:val="single" w:sz="2" w:space="0" w:color="auto"/>
              <w:left w:val="single" w:sz="2" w:space="0" w:color="auto"/>
              <w:bottom w:val="single" w:sz="2" w:space="0" w:color="auto"/>
              <w:right w:val="single" w:sz="2" w:space="0" w:color="auto"/>
            </w:tcBorders>
            <w:vAlign w:val="center"/>
          </w:tcPr>
          <w:p w14:paraId="6FE52F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1,213,168,285.70</w:t>
            </w:r>
          </w:p>
        </w:tc>
      </w:tr>
    </w:tbl>
    <w:p w14:paraId="366F512B" w14:textId="77777777" w:rsidR="00F73301" w:rsidRPr="00F73301" w:rsidRDefault="00F73301" w:rsidP="00454D40">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192" w:name="_Toc989080"/>
      <w:r w:rsidRPr="00F73301">
        <w:rPr>
          <w:rFonts w:ascii="Times New Roman" w:eastAsia="宋体" w:hAnsi="Times New Roman" w:cs="Times New Roman"/>
          <w:b/>
          <w:bCs/>
          <w:sz w:val="24"/>
          <w:szCs w:val="24"/>
        </w:rPr>
        <w:t>(2) Depreciation reserves of inventory and impairment allowance for contract performance costs</w:t>
      </w:r>
      <w:bookmarkEnd w:id="192"/>
    </w:p>
    <w:p w14:paraId="6789AFF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374B1A64"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31872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F1AC1E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8C9EF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Increased amount for the current period</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DBC505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Decreased amount for the current period</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C62D9D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091A9E8D"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4044A5"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96515F"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CBC84C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Withdrawal</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73E82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430FC7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Reversal or write-off</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652103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544BD30"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5C679B93"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413EF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Raw materials</w:t>
            </w:r>
          </w:p>
        </w:tc>
        <w:tc>
          <w:tcPr>
            <w:tcW w:w="1377" w:type="dxa"/>
            <w:tcBorders>
              <w:top w:val="single" w:sz="2" w:space="0" w:color="auto"/>
              <w:left w:val="single" w:sz="2" w:space="0" w:color="auto"/>
              <w:bottom w:val="single" w:sz="2" w:space="0" w:color="auto"/>
              <w:right w:val="single" w:sz="2" w:space="0" w:color="auto"/>
            </w:tcBorders>
            <w:vAlign w:val="center"/>
          </w:tcPr>
          <w:p w14:paraId="2B198F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9,208,086.81</w:t>
            </w:r>
          </w:p>
        </w:tc>
        <w:tc>
          <w:tcPr>
            <w:tcW w:w="1377" w:type="dxa"/>
            <w:tcBorders>
              <w:top w:val="single" w:sz="2" w:space="0" w:color="auto"/>
              <w:left w:val="single" w:sz="2" w:space="0" w:color="auto"/>
              <w:bottom w:val="single" w:sz="2" w:space="0" w:color="auto"/>
              <w:right w:val="single" w:sz="2" w:space="0" w:color="auto"/>
            </w:tcBorders>
            <w:vAlign w:val="center"/>
          </w:tcPr>
          <w:p w14:paraId="0E9C5E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11,175,070.70</w:t>
            </w:r>
          </w:p>
        </w:tc>
        <w:tc>
          <w:tcPr>
            <w:tcW w:w="1377" w:type="dxa"/>
            <w:tcBorders>
              <w:top w:val="single" w:sz="2" w:space="0" w:color="auto"/>
              <w:left w:val="single" w:sz="2" w:space="0" w:color="auto"/>
              <w:bottom w:val="single" w:sz="2" w:space="0" w:color="auto"/>
              <w:right w:val="single" w:sz="2" w:space="0" w:color="auto"/>
            </w:tcBorders>
            <w:vAlign w:val="center"/>
          </w:tcPr>
          <w:p w14:paraId="1FD614A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E333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1,639,182.31</w:t>
            </w:r>
          </w:p>
        </w:tc>
        <w:tc>
          <w:tcPr>
            <w:tcW w:w="1377" w:type="dxa"/>
            <w:tcBorders>
              <w:top w:val="single" w:sz="2" w:space="0" w:color="auto"/>
              <w:left w:val="single" w:sz="2" w:space="0" w:color="auto"/>
              <w:bottom w:val="single" w:sz="2" w:space="0" w:color="auto"/>
              <w:right w:val="single" w:sz="2" w:space="0" w:color="auto"/>
            </w:tcBorders>
            <w:vAlign w:val="center"/>
          </w:tcPr>
          <w:p w14:paraId="1149A66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80FC9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18,743,975.20</w:t>
            </w:r>
          </w:p>
        </w:tc>
      </w:tr>
      <w:tr w:rsidR="00F73301" w:rsidRPr="00F73301" w14:paraId="7369CAA7"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DC84B5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Goods in process</w:t>
            </w:r>
          </w:p>
        </w:tc>
        <w:tc>
          <w:tcPr>
            <w:tcW w:w="1377" w:type="dxa"/>
            <w:tcBorders>
              <w:top w:val="single" w:sz="2" w:space="0" w:color="auto"/>
              <w:left w:val="single" w:sz="2" w:space="0" w:color="auto"/>
              <w:bottom w:val="single" w:sz="2" w:space="0" w:color="auto"/>
              <w:right w:val="single" w:sz="2" w:space="0" w:color="auto"/>
            </w:tcBorders>
            <w:vAlign w:val="center"/>
          </w:tcPr>
          <w:p w14:paraId="58001D6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1,096,008.81</w:t>
            </w:r>
          </w:p>
        </w:tc>
        <w:tc>
          <w:tcPr>
            <w:tcW w:w="1377" w:type="dxa"/>
            <w:tcBorders>
              <w:top w:val="single" w:sz="2" w:space="0" w:color="auto"/>
              <w:left w:val="single" w:sz="2" w:space="0" w:color="auto"/>
              <w:bottom w:val="single" w:sz="2" w:space="0" w:color="auto"/>
              <w:right w:val="single" w:sz="2" w:space="0" w:color="auto"/>
            </w:tcBorders>
            <w:vAlign w:val="center"/>
          </w:tcPr>
          <w:p w14:paraId="1773EF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7,354,174.13</w:t>
            </w:r>
          </w:p>
        </w:tc>
        <w:tc>
          <w:tcPr>
            <w:tcW w:w="1377" w:type="dxa"/>
            <w:tcBorders>
              <w:top w:val="single" w:sz="2" w:space="0" w:color="auto"/>
              <w:left w:val="single" w:sz="2" w:space="0" w:color="auto"/>
              <w:bottom w:val="single" w:sz="2" w:space="0" w:color="auto"/>
              <w:right w:val="single" w:sz="2" w:space="0" w:color="auto"/>
            </w:tcBorders>
            <w:vAlign w:val="center"/>
          </w:tcPr>
          <w:p w14:paraId="55CA063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5D2EE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44,182.08</w:t>
            </w:r>
          </w:p>
        </w:tc>
        <w:tc>
          <w:tcPr>
            <w:tcW w:w="1377" w:type="dxa"/>
            <w:tcBorders>
              <w:top w:val="single" w:sz="2" w:space="0" w:color="auto"/>
              <w:left w:val="single" w:sz="2" w:space="0" w:color="auto"/>
              <w:bottom w:val="single" w:sz="2" w:space="0" w:color="auto"/>
              <w:right w:val="single" w:sz="2" w:space="0" w:color="auto"/>
            </w:tcBorders>
            <w:vAlign w:val="center"/>
          </w:tcPr>
          <w:p w14:paraId="0BDCC28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1FD63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8,406,000.86</w:t>
            </w:r>
          </w:p>
        </w:tc>
      </w:tr>
      <w:tr w:rsidR="00F73301" w:rsidRPr="00F73301" w14:paraId="645A7DB7"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C905E3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Goods on hand</w:t>
            </w:r>
          </w:p>
        </w:tc>
        <w:tc>
          <w:tcPr>
            <w:tcW w:w="1377" w:type="dxa"/>
            <w:tcBorders>
              <w:top w:val="single" w:sz="2" w:space="0" w:color="auto"/>
              <w:left w:val="single" w:sz="2" w:space="0" w:color="auto"/>
              <w:bottom w:val="single" w:sz="2" w:space="0" w:color="auto"/>
              <w:right w:val="single" w:sz="2" w:space="0" w:color="auto"/>
            </w:tcBorders>
            <w:vAlign w:val="center"/>
          </w:tcPr>
          <w:p w14:paraId="097BD7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39,332,072.96</w:t>
            </w:r>
          </w:p>
        </w:tc>
        <w:tc>
          <w:tcPr>
            <w:tcW w:w="1377" w:type="dxa"/>
            <w:tcBorders>
              <w:top w:val="single" w:sz="2" w:space="0" w:color="auto"/>
              <w:left w:val="single" w:sz="2" w:space="0" w:color="auto"/>
              <w:bottom w:val="single" w:sz="2" w:space="0" w:color="auto"/>
              <w:right w:val="single" w:sz="2" w:space="0" w:color="auto"/>
            </w:tcBorders>
            <w:vAlign w:val="center"/>
          </w:tcPr>
          <w:p w14:paraId="6EF8AA5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16,252,715.98</w:t>
            </w:r>
          </w:p>
        </w:tc>
        <w:tc>
          <w:tcPr>
            <w:tcW w:w="1377" w:type="dxa"/>
            <w:tcBorders>
              <w:top w:val="single" w:sz="2" w:space="0" w:color="auto"/>
              <w:left w:val="single" w:sz="2" w:space="0" w:color="auto"/>
              <w:bottom w:val="single" w:sz="2" w:space="0" w:color="auto"/>
              <w:right w:val="single" w:sz="2" w:space="0" w:color="auto"/>
            </w:tcBorders>
            <w:vAlign w:val="center"/>
          </w:tcPr>
          <w:p w14:paraId="54AC6D0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5,044,394.26</w:t>
            </w:r>
          </w:p>
        </w:tc>
        <w:tc>
          <w:tcPr>
            <w:tcW w:w="1377" w:type="dxa"/>
            <w:tcBorders>
              <w:top w:val="single" w:sz="2" w:space="0" w:color="auto"/>
              <w:left w:val="single" w:sz="2" w:space="0" w:color="auto"/>
              <w:bottom w:val="single" w:sz="2" w:space="0" w:color="auto"/>
              <w:right w:val="single" w:sz="2" w:space="0" w:color="auto"/>
            </w:tcBorders>
            <w:vAlign w:val="center"/>
          </w:tcPr>
          <w:p w14:paraId="75E07FA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5,907,095.43</w:t>
            </w:r>
          </w:p>
        </w:tc>
        <w:tc>
          <w:tcPr>
            <w:tcW w:w="1377" w:type="dxa"/>
            <w:tcBorders>
              <w:top w:val="single" w:sz="2" w:space="0" w:color="auto"/>
              <w:left w:val="single" w:sz="2" w:space="0" w:color="auto"/>
              <w:bottom w:val="single" w:sz="2" w:space="0" w:color="auto"/>
              <w:right w:val="single" w:sz="2" w:space="0" w:color="auto"/>
            </w:tcBorders>
            <w:vAlign w:val="center"/>
          </w:tcPr>
          <w:p w14:paraId="408D69F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278D0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54,722,087.77</w:t>
            </w:r>
          </w:p>
        </w:tc>
      </w:tr>
      <w:tr w:rsidR="00F73301" w:rsidRPr="00F73301" w14:paraId="2D235486"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E95C17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522B4F2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49,636,168.58</w:t>
            </w:r>
          </w:p>
        </w:tc>
        <w:tc>
          <w:tcPr>
            <w:tcW w:w="1377" w:type="dxa"/>
            <w:tcBorders>
              <w:top w:val="single" w:sz="2" w:space="0" w:color="auto"/>
              <w:left w:val="single" w:sz="2" w:space="0" w:color="auto"/>
              <w:bottom w:val="single" w:sz="2" w:space="0" w:color="auto"/>
              <w:right w:val="single" w:sz="2" w:space="0" w:color="auto"/>
            </w:tcBorders>
            <w:vAlign w:val="center"/>
          </w:tcPr>
          <w:p w14:paraId="6288D7C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34,781,960.81</w:t>
            </w:r>
          </w:p>
        </w:tc>
        <w:tc>
          <w:tcPr>
            <w:tcW w:w="1377" w:type="dxa"/>
            <w:tcBorders>
              <w:top w:val="single" w:sz="2" w:space="0" w:color="auto"/>
              <w:left w:val="single" w:sz="2" w:space="0" w:color="auto"/>
              <w:bottom w:val="single" w:sz="2" w:space="0" w:color="auto"/>
              <w:right w:val="single" w:sz="2" w:space="0" w:color="auto"/>
            </w:tcBorders>
            <w:vAlign w:val="center"/>
          </w:tcPr>
          <w:p w14:paraId="36CB894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5,044,394.26</w:t>
            </w:r>
          </w:p>
        </w:tc>
        <w:tc>
          <w:tcPr>
            <w:tcW w:w="1377" w:type="dxa"/>
            <w:tcBorders>
              <w:top w:val="single" w:sz="2" w:space="0" w:color="auto"/>
              <w:left w:val="single" w:sz="2" w:space="0" w:color="auto"/>
              <w:bottom w:val="single" w:sz="2" w:space="0" w:color="auto"/>
              <w:right w:val="single" w:sz="2" w:space="0" w:color="auto"/>
            </w:tcBorders>
            <w:vAlign w:val="center"/>
          </w:tcPr>
          <w:p w14:paraId="395E05F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7,590,459.82</w:t>
            </w:r>
          </w:p>
        </w:tc>
        <w:tc>
          <w:tcPr>
            <w:tcW w:w="1377" w:type="dxa"/>
            <w:tcBorders>
              <w:top w:val="single" w:sz="2" w:space="0" w:color="auto"/>
              <w:left w:val="single" w:sz="2" w:space="0" w:color="auto"/>
              <w:bottom w:val="single" w:sz="2" w:space="0" w:color="auto"/>
              <w:right w:val="single" w:sz="2" w:space="0" w:color="auto"/>
            </w:tcBorders>
            <w:vAlign w:val="center"/>
          </w:tcPr>
          <w:p w14:paraId="6716BB4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1B6CA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81,872,063.83</w:t>
            </w:r>
          </w:p>
        </w:tc>
      </w:tr>
    </w:tbl>
    <w:p w14:paraId="3F6E7238"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0B20AA82"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Determination basis of net realizable value and reasons for the reversal or write-off of provision for inventory write-down:</w:t>
      </w:r>
    </w:p>
    <w:p w14:paraId="7F3A00BC" w14:textId="77777777" w:rsidR="00F73301" w:rsidRPr="00F73301" w:rsidRDefault="00F73301" w:rsidP="00454D40">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lastRenderedPageBreak/>
        <w:t>On the balance sheet date, for part of goods on hand for sale directly, and part of raw materials and goods in process required for further processing, whose net realizable value determined by estimated selling price of relevant finished goods less cost to be incurred upon completion, estimated selling expenses, and relevant taxes and surcharges is lower than cost, the Company made depreciation reserves for inventory based on the difference between the net realizable value and cost of each inventory. In the current period, the depreciation reserves for charged-off inventories were RMB7,590,459.82, arising from the production and sales of inventories.</w:t>
      </w:r>
    </w:p>
    <w:p w14:paraId="6F3B1F62"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93" w:name="_Toc989081"/>
      <w:r w:rsidRPr="00F73301">
        <w:rPr>
          <w:rFonts w:ascii="Times New Roman" w:eastAsia="宋体" w:hAnsi="Times New Roman" w:cs="Times New Roman"/>
          <w:b/>
          <w:bCs/>
          <w:sz w:val="24"/>
          <w:szCs w:val="24"/>
        </w:rPr>
        <w:t>(3) Notes to the amount of capitalized borrowing cost in the closing balance of inventories</w:t>
      </w:r>
      <w:bookmarkEnd w:id="193"/>
    </w:p>
    <w:p w14:paraId="4A2FF2CE"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2C829A96" w14:textId="77777777" w:rsidR="00F73301" w:rsidRPr="00F73301" w:rsidRDefault="00F73301" w:rsidP="00454D40">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194" w:name="_Toc989082"/>
      <w:r w:rsidRPr="00F73301">
        <w:rPr>
          <w:rFonts w:ascii="Times New Roman" w:eastAsia="宋体" w:hAnsi="Times New Roman" w:cs="Times New Roman"/>
          <w:b/>
          <w:bCs/>
          <w:sz w:val="24"/>
          <w:szCs w:val="24"/>
        </w:rPr>
        <w:t>(4) Notes to the amount of contract performance costs amortized for the current period</w:t>
      </w:r>
      <w:bookmarkEnd w:id="194"/>
    </w:p>
    <w:p w14:paraId="2971267D"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74DE5383"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95" w:name="_Toc989083"/>
      <w:r w:rsidRPr="00F73301">
        <w:rPr>
          <w:rFonts w:ascii="Times New Roman" w:eastAsia="宋体" w:hAnsi="Times New Roman" w:cs="Times New Roman"/>
          <w:b/>
          <w:bCs/>
          <w:sz w:val="24"/>
          <w:szCs w:val="24"/>
        </w:rPr>
        <w:t>9. Other current assets</w:t>
      </w:r>
      <w:bookmarkEnd w:id="195"/>
    </w:p>
    <w:p w14:paraId="1036BB1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31BDF4F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B3DD1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35614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E16A7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59B5E67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F6BF8E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Principal-guaranteed fixed income financial products</w:t>
            </w:r>
          </w:p>
        </w:tc>
        <w:tc>
          <w:tcPr>
            <w:tcW w:w="3213" w:type="dxa"/>
            <w:tcBorders>
              <w:top w:val="single" w:sz="2" w:space="0" w:color="auto"/>
              <w:left w:val="single" w:sz="2" w:space="0" w:color="auto"/>
              <w:bottom w:val="single" w:sz="2" w:space="0" w:color="auto"/>
              <w:right w:val="single" w:sz="2" w:space="0" w:color="auto"/>
            </w:tcBorders>
            <w:vAlign w:val="center"/>
          </w:tcPr>
          <w:p w14:paraId="4C39A1B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FCFE5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80,000,000.00</w:t>
            </w:r>
          </w:p>
        </w:tc>
      </w:tr>
      <w:tr w:rsidR="00F73301" w:rsidRPr="00F73301" w14:paraId="1A48E6E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256FFB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Taxes to be credited</w:t>
            </w:r>
          </w:p>
        </w:tc>
        <w:tc>
          <w:tcPr>
            <w:tcW w:w="3213" w:type="dxa"/>
            <w:tcBorders>
              <w:top w:val="single" w:sz="2" w:space="0" w:color="auto"/>
              <w:left w:val="single" w:sz="2" w:space="0" w:color="auto"/>
              <w:bottom w:val="single" w:sz="2" w:space="0" w:color="auto"/>
              <w:right w:val="single" w:sz="2" w:space="0" w:color="auto"/>
            </w:tcBorders>
            <w:vAlign w:val="center"/>
          </w:tcPr>
          <w:p w14:paraId="4E9C772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25,369,300.98</w:t>
            </w:r>
          </w:p>
        </w:tc>
        <w:tc>
          <w:tcPr>
            <w:tcW w:w="3213" w:type="dxa"/>
            <w:tcBorders>
              <w:top w:val="single" w:sz="2" w:space="0" w:color="auto"/>
              <w:left w:val="single" w:sz="2" w:space="0" w:color="auto"/>
              <w:bottom w:val="single" w:sz="2" w:space="0" w:color="auto"/>
              <w:right w:val="single" w:sz="2" w:space="0" w:color="auto"/>
            </w:tcBorders>
            <w:vAlign w:val="center"/>
          </w:tcPr>
          <w:p w14:paraId="6393058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45,018,438.41</w:t>
            </w:r>
          </w:p>
        </w:tc>
      </w:tr>
      <w:tr w:rsidR="00F73301" w:rsidRPr="00F73301" w14:paraId="2ECD65C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9CE652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Prepayments and others</w:t>
            </w:r>
          </w:p>
        </w:tc>
        <w:tc>
          <w:tcPr>
            <w:tcW w:w="3213" w:type="dxa"/>
            <w:tcBorders>
              <w:top w:val="single" w:sz="2" w:space="0" w:color="auto"/>
              <w:left w:val="single" w:sz="2" w:space="0" w:color="auto"/>
              <w:bottom w:val="single" w:sz="2" w:space="0" w:color="auto"/>
              <w:right w:val="single" w:sz="2" w:space="0" w:color="auto"/>
            </w:tcBorders>
            <w:vAlign w:val="center"/>
          </w:tcPr>
          <w:p w14:paraId="7E0CAA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17,768,380.32</w:t>
            </w:r>
          </w:p>
        </w:tc>
        <w:tc>
          <w:tcPr>
            <w:tcW w:w="3213" w:type="dxa"/>
            <w:tcBorders>
              <w:top w:val="single" w:sz="2" w:space="0" w:color="auto"/>
              <w:left w:val="single" w:sz="2" w:space="0" w:color="auto"/>
              <w:bottom w:val="single" w:sz="2" w:space="0" w:color="auto"/>
              <w:right w:val="single" w:sz="2" w:space="0" w:color="auto"/>
            </w:tcBorders>
            <w:vAlign w:val="center"/>
          </w:tcPr>
          <w:p w14:paraId="46EDE09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10,146,845.41</w:t>
            </w:r>
          </w:p>
        </w:tc>
      </w:tr>
      <w:tr w:rsidR="00F73301" w:rsidRPr="00F73301" w14:paraId="2481106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C77A1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37A367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43,137,681.30</w:t>
            </w:r>
          </w:p>
        </w:tc>
        <w:tc>
          <w:tcPr>
            <w:tcW w:w="3213" w:type="dxa"/>
            <w:tcBorders>
              <w:top w:val="single" w:sz="2" w:space="0" w:color="auto"/>
              <w:left w:val="single" w:sz="2" w:space="0" w:color="auto"/>
              <w:bottom w:val="single" w:sz="2" w:space="0" w:color="auto"/>
              <w:right w:val="single" w:sz="2" w:space="0" w:color="auto"/>
            </w:tcBorders>
            <w:vAlign w:val="center"/>
          </w:tcPr>
          <w:p w14:paraId="12BAD4C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135,165,283.82</w:t>
            </w:r>
          </w:p>
        </w:tc>
      </w:tr>
    </w:tbl>
    <w:p w14:paraId="065E6DC0" w14:textId="77777777" w:rsidR="00F73301" w:rsidRPr="00F73301" w:rsidRDefault="00F73301" w:rsidP="00454D40">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6FA512AC" w14:textId="77777777" w:rsidR="00F73301" w:rsidRPr="00F73301" w:rsidRDefault="00F73301" w:rsidP="00454D40">
      <w:pPr>
        <w:adjustRightInd w:val="0"/>
        <w:snapToGrid w:val="0"/>
        <w:spacing w:beforeLines="50" w:before="156" w:afterLines="50" w:after="156"/>
        <w:jc w:val="both"/>
        <w:rPr>
          <w:rFonts w:ascii="Times New Roman" w:eastAsia="等线" w:hAnsi="Times New Roman" w:cs="Times New Roman"/>
          <w:sz w:val="24"/>
          <w:szCs w:val="24"/>
        </w:rPr>
      </w:pPr>
    </w:p>
    <w:p w14:paraId="2ACA4BF8" w14:textId="77777777" w:rsidR="00F73301" w:rsidRPr="00F73301" w:rsidRDefault="00F73301" w:rsidP="00454D40">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96" w:name="_Toc989084"/>
      <w:r w:rsidRPr="00F73301">
        <w:rPr>
          <w:rFonts w:ascii="Times New Roman" w:eastAsia="宋体" w:hAnsi="Times New Roman" w:cs="Times New Roman"/>
          <w:b/>
          <w:bCs/>
          <w:sz w:val="24"/>
          <w:szCs w:val="24"/>
        </w:rPr>
        <w:t>10. Long-term equity investment</w:t>
      </w:r>
      <w:bookmarkEnd w:id="196"/>
    </w:p>
    <w:p w14:paraId="2DD129C2"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92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000" w:firstRow="0" w:lastRow="0" w:firstColumn="0" w:lastColumn="0" w:noHBand="0" w:noVBand="0"/>
      </w:tblPr>
      <w:tblGrid>
        <w:gridCol w:w="1090"/>
        <w:gridCol w:w="803"/>
        <w:gridCol w:w="803"/>
        <w:gridCol w:w="803"/>
        <w:gridCol w:w="803"/>
        <w:gridCol w:w="803"/>
        <w:gridCol w:w="803"/>
        <w:gridCol w:w="803"/>
        <w:gridCol w:w="803"/>
        <w:gridCol w:w="805"/>
        <w:gridCol w:w="803"/>
        <w:gridCol w:w="804"/>
      </w:tblGrid>
      <w:tr w:rsidR="00F73301" w:rsidRPr="00454D40" w14:paraId="5A938DB0" w14:textId="77777777" w:rsidTr="008A539F">
        <w:trPr>
          <w:jc w:val="center"/>
        </w:trPr>
        <w:tc>
          <w:tcPr>
            <w:tcW w:w="109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3BC7F3"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Investees</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729244"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Opening balance (carrying amount)</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4261FE24"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Increase/decrease for the current period</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45F70D6"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Closing balance (carrying amount)</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789FB4"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Closing balance of allowance for impairment</w:t>
            </w:r>
          </w:p>
        </w:tc>
      </w:tr>
      <w:tr w:rsidR="008C49B7" w:rsidRPr="00454D40" w14:paraId="1CB90861" w14:textId="77777777" w:rsidTr="008A539F">
        <w:trPr>
          <w:jc w:val="center"/>
        </w:trPr>
        <w:tc>
          <w:tcPr>
            <w:tcW w:w="109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9AF75D9" w14:textId="77777777" w:rsidR="00F73301" w:rsidRPr="00454D40" w:rsidRDefault="00F73301" w:rsidP="008C49B7">
            <w:pPr>
              <w:snapToGrid w:val="0"/>
              <w:rPr>
                <w:rFonts w:ascii="Times New Roman" w:eastAsia="等线" w:hAnsi="Times New Roman" w:cs="Times New Roman"/>
                <w:sz w:val="15"/>
                <w:szCs w:val="15"/>
              </w:rPr>
            </w:pP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B48E8AA" w14:textId="77777777" w:rsidR="00F73301" w:rsidRPr="00454D40" w:rsidRDefault="00F73301" w:rsidP="008C49B7">
            <w:pPr>
              <w:snapToGrid w:val="0"/>
              <w:rPr>
                <w:rFonts w:ascii="Times New Roman" w:eastAsia="等线"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7128BA4"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Investments increased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D83C9CC"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Investments decreased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3E1924A"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Investment gains and losses recognized under equity method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FB61267"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Adjustment of other comprehensive income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6ECB415"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Other equity changes</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1C59272"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Cash dividend/ profit declared for distribution</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3901354"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Allowance for impairment</w:t>
            </w:r>
          </w:p>
        </w:tc>
        <w:tc>
          <w:tcPr>
            <w:tcW w:w="805" w:type="dxa"/>
            <w:tcBorders>
              <w:top w:val="single" w:sz="2" w:space="0" w:color="auto"/>
              <w:left w:val="single" w:sz="2" w:space="0" w:color="auto"/>
              <w:bottom w:val="single" w:sz="2" w:space="0" w:color="auto"/>
              <w:right w:val="single" w:sz="2" w:space="0" w:color="auto"/>
            </w:tcBorders>
            <w:shd w:val="clear" w:color="auto" w:fill="D3D3D3"/>
            <w:vAlign w:val="center"/>
          </w:tcPr>
          <w:p w14:paraId="0942575C" w14:textId="77777777" w:rsidR="00F73301" w:rsidRPr="00454D40" w:rsidRDefault="00F73301" w:rsidP="008C49B7">
            <w:pPr>
              <w:snapToGrid w:val="0"/>
              <w:jc w:val="center"/>
              <w:rPr>
                <w:rFonts w:ascii="Times New Roman" w:eastAsia="宋体" w:hAnsi="Times New Roman" w:cs="Times New Roman"/>
                <w:sz w:val="15"/>
                <w:szCs w:val="15"/>
              </w:rPr>
            </w:pPr>
            <w:r w:rsidRPr="00454D40">
              <w:rPr>
                <w:rFonts w:ascii="Times New Roman" w:eastAsia="宋体" w:hAnsi="Times New Roman" w:cs="Times New Roman"/>
                <w:sz w:val="15"/>
                <w:szCs w:val="15"/>
              </w:rPr>
              <w:t>Others</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11E0FBB" w14:textId="77777777" w:rsidR="00F73301" w:rsidRPr="00454D40" w:rsidRDefault="00F73301" w:rsidP="008C49B7">
            <w:pPr>
              <w:snapToGrid w:val="0"/>
              <w:rPr>
                <w:rFonts w:ascii="Times New Roman" w:eastAsia="等线" w:hAnsi="Times New Roman" w:cs="Times New Roman"/>
                <w:sz w:val="15"/>
                <w:szCs w:val="15"/>
              </w:rPr>
            </w:pPr>
          </w:p>
        </w:tc>
        <w:tc>
          <w:tcPr>
            <w:tcW w:w="80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4E5254" w14:textId="77777777" w:rsidR="00F73301" w:rsidRPr="00454D40" w:rsidRDefault="00F73301" w:rsidP="008C49B7">
            <w:pPr>
              <w:snapToGrid w:val="0"/>
              <w:rPr>
                <w:rFonts w:ascii="Times New Roman" w:eastAsia="等线" w:hAnsi="Times New Roman" w:cs="Times New Roman"/>
                <w:sz w:val="15"/>
                <w:szCs w:val="15"/>
              </w:rPr>
            </w:pPr>
          </w:p>
        </w:tc>
      </w:tr>
      <w:tr w:rsidR="00F73301" w:rsidRPr="00454D40" w14:paraId="22C7A841" w14:textId="77777777" w:rsidTr="008A539F">
        <w:trPr>
          <w:jc w:val="center"/>
        </w:trPr>
        <w:tc>
          <w:tcPr>
            <w:tcW w:w="9926"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01833CFF" w14:textId="77777777" w:rsidR="00F73301" w:rsidRPr="00454D40" w:rsidRDefault="00F73301" w:rsidP="008C49B7">
            <w:pPr>
              <w:snapToGrid w:val="0"/>
              <w:rPr>
                <w:rFonts w:ascii="Times New Roman" w:eastAsia="宋体" w:hAnsi="Times New Roman" w:cs="Times New Roman"/>
                <w:sz w:val="15"/>
                <w:szCs w:val="15"/>
              </w:rPr>
            </w:pPr>
            <w:r w:rsidRPr="00454D40">
              <w:rPr>
                <w:rFonts w:ascii="Times New Roman" w:eastAsia="宋体" w:hAnsi="Times New Roman" w:cs="Times New Roman"/>
                <w:sz w:val="15"/>
                <w:szCs w:val="15"/>
              </w:rPr>
              <w:t>I. Joint Ventures</w:t>
            </w:r>
          </w:p>
        </w:tc>
      </w:tr>
      <w:tr w:rsidR="00F73301" w:rsidRPr="00454D40" w14:paraId="55D6785F" w14:textId="77777777" w:rsidTr="008A539F">
        <w:trPr>
          <w:jc w:val="center"/>
        </w:trPr>
        <w:tc>
          <w:tcPr>
            <w:tcW w:w="9926"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608E8022" w14:textId="77777777" w:rsidR="00F73301" w:rsidRPr="00454D40" w:rsidRDefault="00F73301" w:rsidP="008C49B7">
            <w:pPr>
              <w:snapToGrid w:val="0"/>
              <w:rPr>
                <w:rFonts w:ascii="Times New Roman" w:eastAsia="宋体" w:hAnsi="Times New Roman" w:cs="Times New Roman"/>
                <w:sz w:val="15"/>
                <w:szCs w:val="15"/>
              </w:rPr>
            </w:pPr>
            <w:r w:rsidRPr="00454D40">
              <w:rPr>
                <w:rFonts w:ascii="Times New Roman" w:eastAsia="宋体" w:hAnsi="Times New Roman" w:cs="Times New Roman"/>
                <w:sz w:val="15"/>
                <w:szCs w:val="15"/>
              </w:rPr>
              <w:t>II. Associated Enterprises</w:t>
            </w:r>
          </w:p>
        </w:tc>
      </w:tr>
      <w:tr w:rsidR="00F73301" w:rsidRPr="00454D40" w14:paraId="1E684322" w14:textId="77777777" w:rsidTr="008A539F">
        <w:trPr>
          <w:jc w:val="center"/>
        </w:trPr>
        <w:tc>
          <w:tcPr>
            <w:tcW w:w="1090" w:type="dxa"/>
            <w:tcBorders>
              <w:top w:val="single" w:sz="2" w:space="0" w:color="auto"/>
              <w:left w:val="single" w:sz="2" w:space="0" w:color="auto"/>
              <w:bottom w:val="single" w:sz="2" w:space="0" w:color="auto"/>
              <w:right w:val="single" w:sz="2" w:space="0" w:color="auto"/>
            </w:tcBorders>
            <w:vAlign w:val="center"/>
          </w:tcPr>
          <w:p w14:paraId="1FD4B8C5" w14:textId="77777777" w:rsidR="00F73301" w:rsidRPr="00454D40" w:rsidRDefault="00F73301" w:rsidP="008C49B7">
            <w:pPr>
              <w:snapToGrid w:val="0"/>
              <w:rPr>
                <w:rFonts w:ascii="Times New Roman" w:eastAsia="宋体" w:hAnsi="Times New Roman" w:cs="Times New Roman"/>
                <w:sz w:val="15"/>
                <w:szCs w:val="15"/>
              </w:rPr>
            </w:pPr>
            <w:r w:rsidRPr="00454D40">
              <w:rPr>
                <w:rFonts w:ascii="Times New Roman" w:eastAsia="宋体" w:hAnsi="Times New Roman" w:cs="Times New Roman"/>
                <w:sz w:val="15"/>
                <w:szCs w:val="15"/>
              </w:rPr>
              <w:t>Yangzhou Guoyu Electronics Co., Ltd. [Note 1]</w:t>
            </w:r>
          </w:p>
        </w:tc>
        <w:tc>
          <w:tcPr>
            <w:tcW w:w="803" w:type="dxa"/>
            <w:tcBorders>
              <w:top w:val="single" w:sz="2" w:space="0" w:color="auto"/>
              <w:left w:val="single" w:sz="2" w:space="0" w:color="auto"/>
              <w:bottom w:val="single" w:sz="2" w:space="0" w:color="auto"/>
              <w:right w:val="single" w:sz="2" w:space="0" w:color="auto"/>
            </w:tcBorders>
            <w:vAlign w:val="center"/>
          </w:tcPr>
          <w:p w14:paraId="3EC11264"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36,790,996.72</w:t>
            </w:r>
          </w:p>
        </w:tc>
        <w:tc>
          <w:tcPr>
            <w:tcW w:w="803" w:type="dxa"/>
            <w:tcBorders>
              <w:top w:val="single" w:sz="2" w:space="0" w:color="auto"/>
              <w:left w:val="single" w:sz="2" w:space="0" w:color="auto"/>
              <w:bottom w:val="single" w:sz="2" w:space="0" w:color="auto"/>
              <w:right w:val="single" w:sz="2" w:space="0" w:color="auto"/>
            </w:tcBorders>
            <w:vAlign w:val="center"/>
          </w:tcPr>
          <w:p w14:paraId="0FEB6258"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54287F8B"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30B1CC77"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5,702,460.48</w:t>
            </w:r>
          </w:p>
        </w:tc>
        <w:tc>
          <w:tcPr>
            <w:tcW w:w="803" w:type="dxa"/>
            <w:tcBorders>
              <w:top w:val="single" w:sz="2" w:space="0" w:color="auto"/>
              <w:left w:val="single" w:sz="2" w:space="0" w:color="auto"/>
              <w:bottom w:val="single" w:sz="2" w:space="0" w:color="auto"/>
              <w:right w:val="single" w:sz="2" w:space="0" w:color="auto"/>
            </w:tcBorders>
            <w:vAlign w:val="center"/>
          </w:tcPr>
          <w:p w14:paraId="2FFDCA52"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36478481"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70B32519"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-1,683,572.42</w:t>
            </w:r>
          </w:p>
        </w:tc>
        <w:tc>
          <w:tcPr>
            <w:tcW w:w="803" w:type="dxa"/>
            <w:tcBorders>
              <w:top w:val="single" w:sz="2" w:space="0" w:color="auto"/>
              <w:left w:val="single" w:sz="2" w:space="0" w:color="auto"/>
              <w:bottom w:val="single" w:sz="2" w:space="0" w:color="auto"/>
              <w:right w:val="single" w:sz="2" w:space="0" w:color="auto"/>
            </w:tcBorders>
            <w:vAlign w:val="center"/>
          </w:tcPr>
          <w:p w14:paraId="23A320ED" w14:textId="77777777" w:rsidR="00F73301" w:rsidRPr="00454D40" w:rsidRDefault="00F73301" w:rsidP="008C49B7">
            <w:pPr>
              <w:snapToGrid w:val="0"/>
              <w:jc w:val="right"/>
              <w:rPr>
                <w:rFonts w:ascii="Times New Roman" w:eastAsia="宋体" w:hAnsi="Times New Roman" w:cs="Times New Roman"/>
                <w:sz w:val="15"/>
                <w:szCs w:val="15"/>
              </w:rPr>
            </w:pPr>
          </w:p>
        </w:tc>
        <w:tc>
          <w:tcPr>
            <w:tcW w:w="805" w:type="dxa"/>
            <w:tcBorders>
              <w:top w:val="single" w:sz="2" w:space="0" w:color="auto"/>
              <w:left w:val="single" w:sz="2" w:space="0" w:color="auto"/>
              <w:bottom w:val="single" w:sz="2" w:space="0" w:color="auto"/>
              <w:right w:val="single" w:sz="2" w:space="0" w:color="auto"/>
            </w:tcBorders>
            <w:vAlign w:val="center"/>
          </w:tcPr>
          <w:p w14:paraId="4432ECDA"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70B54F58"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40,809,884.78</w:t>
            </w:r>
          </w:p>
        </w:tc>
        <w:tc>
          <w:tcPr>
            <w:tcW w:w="804" w:type="dxa"/>
            <w:tcBorders>
              <w:top w:val="single" w:sz="2" w:space="0" w:color="auto"/>
              <w:left w:val="single" w:sz="2" w:space="0" w:color="auto"/>
              <w:bottom w:val="single" w:sz="2" w:space="0" w:color="auto"/>
              <w:right w:val="single" w:sz="2" w:space="0" w:color="auto"/>
            </w:tcBorders>
            <w:vAlign w:val="center"/>
          </w:tcPr>
          <w:p w14:paraId="76B1CF3D" w14:textId="77777777" w:rsidR="00F73301" w:rsidRPr="00454D40" w:rsidRDefault="00F73301" w:rsidP="008C49B7">
            <w:pPr>
              <w:snapToGrid w:val="0"/>
              <w:jc w:val="right"/>
              <w:rPr>
                <w:rFonts w:ascii="Times New Roman" w:eastAsia="宋体" w:hAnsi="Times New Roman" w:cs="Times New Roman"/>
                <w:sz w:val="15"/>
                <w:szCs w:val="15"/>
              </w:rPr>
            </w:pPr>
          </w:p>
        </w:tc>
      </w:tr>
      <w:tr w:rsidR="00F73301" w:rsidRPr="00454D40" w14:paraId="0712D0BC" w14:textId="77777777" w:rsidTr="008A539F">
        <w:trPr>
          <w:jc w:val="center"/>
        </w:trPr>
        <w:tc>
          <w:tcPr>
            <w:tcW w:w="1090" w:type="dxa"/>
            <w:tcBorders>
              <w:top w:val="single" w:sz="2" w:space="0" w:color="auto"/>
              <w:left w:val="single" w:sz="2" w:space="0" w:color="auto"/>
              <w:bottom w:val="single" w:sz="2" w:space="0" w:color="auto"/>
              <w:right w:val="single" w:sz="2" w:space="0" w:color="auto"/>
            </w:tcBorders>
            <w:vAlign w:val="center"/>
          </w:tcPr>
          <w:p w14:paraId="20E43F74" w14:textId="77777777" w:rsidR="00F73301" w:rsidRPr="00454D40" w:rsidRDefault="00F73301" w:rsidP="008C49B7">
            <w:pPr>
              <w:snapToGrid w:val="0"/>
              <w:rPr>
                <w:rFonts w:ascii="Times New Roman" w:eastAsia="宋体" w:hAnsi="Times New Roman" w:cs="Times New Roman"/>
                <w:sz w:val="15"/>
                <w:szCs w:val="15"/>
              </w:rPr>
            </w:pPr>
            <w:r w:rsidRPr="00454D40">
              <w:rPr>
                <w:rFonts w:ascii="Times New Roman" w:eastAsia="宋体" w:hAnsi="Times New Roman" w:cs="Times New Roman"/>
                <w:sz w:val="15"/>
                <w:szCs w:val="15"/>
              </w:rPr>
              <w:t>Jiangsu Intelligent Microsystem Industrial Technology Co., Ltd. [Note 2]</w:t>
            </w:r>
          </w:p>
        </w:tc>
        <w:tc>
          <w:tcPr>
            <w:tcW w:w="803" w:type="dxa"/>
            <w:tcBorders>
              <w:top w:val="single" w:sz="2" w:space="0" w:color="auto"/>
              <w:left w:val="single" w:sz="2" w:space="0" w:color="auto"/>
              <w:bottom w:val="single" w:sz="2" w:space="0" w:color="auto"/>
              <w:right w:val="single" w:sz="2" w:space="0" w:color="auto"/>
            </w:tcBorders>
            <w:vAlign w:val="center"/>
          </w:tcPr>
          <w:p w14:paraId="6F62FF48"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19,937,796.78</w:t>
            </w:r>
          </w:p>
        </w:tc>
        <w:tc>
          <w:tcPr>
            <w:tcW w:w="803" w:type="dxa"/>
            <w:tcBorders>
              <w:top w:val="single" w:sz="2" w:space="0" w:color="auto"/>
              <w:left w:val="single" w:sz="2" w:space="0" w:color="auto"/>
              <w:bottom w:val="single" w:sz="2" w:space="0" w:color="auto"/>
              <w:right w:val="single" w:sz="2" w:space="0" w:color="auto"/>
            </w:tcBorders>
            <w:vAlign w:val="center"/>
          </w:tcPr>
          <w:p w14:paraId="43E86B8F"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46733746"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4D1C489A"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511A236C"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72CDBA27"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596B54CA"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05A0B582" w14:textId="77777777" w:rsidR="00F73301" w:rsidRPr="00454D40" w:rsidRDefault="00F73301" w:rsidP="008C49B7">
            <w:pPr>
              <w:snapToGrid w:val="0"/>
              <w:jc w:val="right"/>
              <w:rPr>
                <w:rFonts w:ascii="Times New Roman" w:eastAsia="宋体" w:hAnsi="Times New Roman" w:cs="Times New Roman"/>
                <w:sz w:val="15"/>
                <w:szCs w:val="15"/>
              </w:rPr>
            </w:pPr>
          </w:p>
        </w:tc>
        <w:tc>
          <w:tcPr>
            <w:tcW w:w="805" w:type="dxa"/>
            <w:tcBorders>
              <w:top w:val="single" w:sz="2" w:space="0" w:color="auto"/>
              <w:left w:val="single" w:sz="2" w:space="0" w:color="auto"/>
              <w:bottom w:val="single" w:sz="2" w:space="0" w:color="auto"/>
              <w:right w:val="single" w:sz="2" w:space="0" w:color="auto"/>
            </w:tcBorders>
            <w:vAlign w:val="center"/>
          </w:tcPr>
          <w:p w14:paraId="015FF3D4"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5919B6F3"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19,937,796.78</w:t>
            </w:r>
          </w:p>
        </w:tc>
        <w:tc>
          <w:tcPr>
            <w:tcW w:w="804" w:type="dxa"/>
            <w:tcBorders>
              <w:top w:val="single" w:sz="2" w:space="0" w:color="auto"/>
              <w:left w:val="single" w:sz="2" w:space="0" w:color="auto"/>
              <w:bottom w:val="single" w:sz="2" w:space="0" w:color="auto"/>
              <w:right w:val="single" w:sz="2" w:space="0" w:color="auto"/>
            </w:tcBorders>
            <w:vAlign w:val="center"/>
          </w:tcPr>
          <w:p w14:paraId="4A8C6530" w14:textId="77777777" w:rsidR="00F73301" w:rsidRPr="00454D40" w:rsidRDefault="00F73301" w:rsidP="008C49B7">
            <w:pPr>
              <w:snapToGrid w:val="0"/>
              <w:jc w:val="right"/>
              <w:rPr>
                <w:rFonts w:ascii="Times New Roman" w:eastAsia="宋体" w:hAnsi="Times New Roman" w:cs="Times New Roman"/>
                <w:sz w:val="15"/>
                <w:szCs w:val="15"/>
              </w:rPr>
            </w:pPr>
          </w:p>
        </w:tc>
      </w:tr>
      <w:tr w:rsidR="00F73301" w:rsidRPr="00454D40" w14:paraId="268DD485" w14:textId="77777777" w:rsidTr="008A539F">
        <w:trPr>
          <w:jc w:val="center"/>
        </w:trPr>
        <w:tc>
          <w:tcPr>
            <w:tcW w:w="1090" w:type="dxa"/>
            <w:tcBorders>
              <w:top w:val="single" w:sz="2" w:space="0" w:color="auto"/>
              <w:left w:val="single" w:sz="2" w:space="0" w:color="auto"/>
              <w:bottom w:val="single" w:sz="2" w:space="0" w:color="auto"/>
              <w:right w:val="single" w:sz="2" w:space="0" w:color="auto"/>
            </w:tcBorders>
            <w:vAlign w:val="center"/>
          </w:tcPr>
          <w:p w14:paraId="77DE7E28" w14:textId="77777777" w:rsidR="00F73301" w:rsidRPr="00454D40" w:rsidRDefault="00F73301" w:rsidP="008C49B7">
            <w:pPr>
              <w:snapToGrid w:val="0"/>
              <w:rPr>
                <w:rFonts w:ascii="Times New Roman" w:eastAsia="宋体" w:hAnsi="Times New Roman" w:cs="Times New Roman"/>
                <w:sz w:val="15"/>
                <w:szCs w:val="15"/>
              </w:rPr>
            </w:pPr>
            <w:r w:rsidRPr="00454D40">
              <w:rPr>
                <w:rFonts w:ascii="Times New Roman" w:eastAsia="宋体" w:hAnsi="Times New Roman" w:cs="Times New Roman"/>
                <w:sz w:val="15"/>
                <w:szCs w:val="15"/>
                <w:lang w:val="es-ES"/>
              </w:rPr>
              <w:t xml:space="preserve">Jiangsu Huanxin Semiconductor Co., Ltd. </w:t>
            </w:r>
            <w:r w:rsidRPr="00454D40">
              <w:rPr>
                <w:rFonts w:ascii="Times New Roman" w:eastAsia="宋体" w:hAnsi="Times New Roman" w:cs="Times New Roman"/>
                <w:sz w:val="15"/>
                <w:szCs w:val="15"/>
              </w:rPr>
              <w:t>[Note 3]</w:t>
            </w:r>
          </w:p>
        </w:tc>
        <w:tc>
          <w:tcPr>
            <w:tcW w:w="803" w:type="dxa"/>
            <w:tcBorders>
              <w:top w:val="single" w:sz="2" w:space="0" w:color="auto"/>
              <w:left w:val="single" w:sz="2" w:space="0" w:color="auto"/>
              <w:bottom w:val="single" w:sz="2" w:space="0" w:color="auto"/>
              <w:right w:val="single" w:sz="2" w:space="0" w:color="auto"/>
            </w:tcBorders>
            <w:vAlign w:val="center"/>
          </w:tcPr>
          <w:p w14:paraId="2D9AB7C6"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51,253,013.42</w:t>
            </w:r>
          </w:p>
        </w:tc>
        <w:tc>
          <w:tcPr>
            <w:tcW w:w="803" w:type="dxa"/>
            <w:tcBorders>
              <w:top w:val="single" w:sz="2" w:space="0" w:color="auto"/>
              <w:left w:val="single" w:sz="2" w:space="0" w:color="auto"/>
              <w:bottom w:val="single" w:sz="2" w:space="0" w:color="auto"/>
              <w:right w:val="single" w:sz="2" w:space="0" w:color="auto"/>
            </w:tcBorders>
            <w:vAlign w:val="center"/>
          </w:tcPr>
          <w:p w14:paraId="2388E87E"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564C0124"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60,000,000.00</w:t>
            </w:r>
          </w:p>
        </w:tc>
        <w:tc>
          <w:tcPr>
            <w:tcW w:w="803" w:type="dxa"/>
            <w:tcBorders>
              <w:top w:val="single" w:sz="2" w:space="0" w:color="auto"/>
              <w:left w:val="single" w:sz="2" w:space="0" w:color="auto"/>
              <w:bottom w:val="single" w:sz="2" w:space="0" w:color="auto"/>
              <w:right w:val="single" w:sz="2" w:space="0" w:color="auto"/>
            </w:tcBorders>
            <w:vAlign w:val="center"/>
          </w:tcPr>
          <w:p w14:paraId="3CD493FA"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8,746,986.58</w:t>
            </w:r>
          </w:p>
        </w:tc>
        <w:tc>
          <w:tcPr>
            <w:tcW w:w="803" w:type="dxa"/>
            <w:tcBorders>
              <w:top w:val="single" w:sz="2" w:space="0" w:color="auto"/>
              <w:left w:val="single" w:sz="2" w:space="0" w:color="auto"/>
              <w:bottom w:val="single" w:sz="2" w:space="0" w:color="auto"/>
              <w:right w:val="single" w:sz="2" w:space="0" w:color="auto"/>
            </w:tcBorders>
            <w:vAlign w:val="center"/>
          </w:tcPr>
          <w:p w14:paraId="423DA5C0"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520C9EF9"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493BA9B2"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10E9F971" w14:textId="77777777" w:rsidR="00F73301" w:rsidRPr="00454D40" w:rsidRDefault="00F73301" w:rsidP="008C49B7">
            <w:pPr>
              <w:snapToGrid w:val="0"/>
              <w:jc w:val="right"/>
              <w:rPr>
                <w:rFonts w:ascii="Times New Roman" w:eastAsia="宋体" w:hAnsi="Times New Roman" w:cs="Times New Roman"/>
                <w:sz w:val="15"/>
                <w:szCs w:val="15"/>
              </w:rPr>
            </w:pPr>
          </w:p>
        </w:tc>
        <w:tc>
          <w:tcPr>
            <w:tcW w:w="805" w:type="dxa"/>
            <w:tcBorders>
              <w:top w:val="single" w:sz="2" w:space="0" w:color="auto"/>
              <w:left w:val="single" w:sz="2" w:space="0" w:color="auto"/>
              <w:bottom w:val="single" w:sz="2" w:space="0" w:color="auto"/>
              <w:right w:val="single" w:sz="2" w:space="0" w:color="auto"/>
            </w:tcBorders>
            <w:vAlign w:val="center"/>
          </w:tcPr>
          <w:p w14:paraId="7B132D7A"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29C4A1D3"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0.00</w:t>
            </w:r>
          </w:p>
        </w:tc>
        <w:tc>
          <w:tcPr>
            <w:tcW w:w="804" w:type="dxa"/>
            <w:tcBorders>
              <w:top w:val="single" w:sz="2" w:space="0" w:color="auto"/>
              <w:left w:val="single" w:sz="2" w:space="0" w:color="auto"/>
              <w:bottom w:val="single" w:sz="2" w:space="0" w:color="auto"/>
              <w:right w:val="single" w:sz="2" w:space="0" w:color="auto"/>
            </w:tcBorders>
            <w:vAlign w:val="center"/>
          </w:tcPr>
          <w:p w14:paraId="7780E2E8" w14:textId="77777777" w:rsidR="00F73301" w:rsidRPr="00454D40" w:rsidRDefault="00F73301" w:rsidP="008C49B7">
            <w:pPr>
              <w:snapToGrid w:val="0"/>
              <w:jc w:val="right"/>
              <w:rPr>
                <w:rFonts w:ascii="Times New Roman" w:eastAsia="宋体" w:hAnsi="Times New Roman" w:cs="Times New Roman"/>
                <w:sz w:val="15"/>
                <w:szCs w:val="15"/>
              </w:rPr>
            </w:pPr>
          </w:p>
        </w:tc>
      </w:tr>
      <w:tr w:rsidR="00F73301" w:rsidRPr="00454D40" w14:paraId="2862A6E5" w14:textId="77777777" w:rsidTr="008A539F">
        <w:trPr>
          <w:jc w:val="center"/>
        </w:trPr>
        <w:tc>
          <w:tcPr>
            <w:tcW w:w="1090" w:type="dxa"/>
            <w:tcBorders>
              <w:top w:val="single" w:sz="2" w:space="0" w:color="auto"/>
              <w:left w:val="single" w:sz="2" w:space="0" w:color="auto"/>
              <w:bottom w:val="single" w:sz="2" w:space="0" w:color="auto"/>
              <w:right w:val="single" w:sz="2" w:space="0" w:color="auto"/>
            </w:tcBorders>
            <w:vAlign w:val="center"/>
          </w:tcPr>
          <w:p w14:paraId="2A1EBE12" w14:textId="46AEE65D" w:rsidR="00F73301" w:rsidRPr="00454D40" w:rsidRDefault="00F73301" w:rsidP="00C61DAB">
            <w:pPr>
              <w:snapToGrid w:val="0"/>
              <w:rPr>
                <w:rFonts w:ascii="Times New Roman" w:eastAsia="宋体" w:hAnsi="Times New Roman" w:cs="Times New Roman"/>
                <w:sz w:val="15"/>
                <w:szCs w:val="15"/>
              </w:rPr>
            </w:pPr>
            <w:r w:rsidRPr="00454D40">
              <w:rPr>
                <w:rFonts w:ascii="Times New Roman" w:eastAsia="宋体" w:hAnsi="Times New Roman" w:cs="Times New Roman"/>
                <w:sz w:val="15"/>
                <w:szCs w:val="15"/>
              </w:rPr>
              <w:t xml:space="preserve">Hunan </w:t>
            </w:r>
            <w:proofErr w:type="spellStart"/>
            <w:r w:rsidR="00C61DAB">
              <w:rPr>
                <w:rFonts w:ascii="Times New Roman" w:eastAsia="宋体" w:hAnsi="Times New Roman" w:cs="Times New Roman"/>
                <w:sz w:val="15"/>
                <w:szCs w:val="15"/>
              </w:rPr>
              <w:t>Jiec</w:t>
            </w:r>
            <w:r w:rsidRPr="00454D40">
              <w:rPr>
                <w:rFonts w:ascii="Times New Roman" w:eastAsia="宋体" w:hAnsi="Times New Roman" w:cs="Times New Roman"/>
                <w:sz w:val="15"/>
                <w:szCs w:val="15"/>
              </w:rPr>
              <w:t>huwei</w:t>
            </w:r>
            <w:proofErr w:type="spellEnd"/>
            <w:r w:rsidRPr="00454D40">
              <w:rPr>
                <w:rFonts w:ascii="Times New Roman" w:eastAsia="宋体" w:hAnsi="Times New Roman" w:cs="Times New Roman"/>
                <w:sz w:val="15"/>
                <w:szCs w:val="15"/>
              </w:rPr>
              <w:t xml:space="preserve"> Semiconductor Technology Co., Ltd. [Note 4]</w:t>
            </w:r>
          </w:p>
        </w:tc>
        <w:tc>
          <w:tcPr>
            <w:tcW w:w="803" w:type="dxa"/>
            <w:tcBorders>
              <w:top w:val="single" w:sz="2" w:space="0" w:color="auto"/>
              <w:left w:val="single" w:sz="2" w:space="0" w:color="auto"/>
              <w:bottom w:val="single" w:sz="2" w:space="0" w:color="auto"/>
              <w:right w:val="single" w:sz="2" w:space="0" w:color="auto"/>
            </w:tcBorders>
            <w:vAlign w:val="center"/>
          </w:tcPr>
          <w:p w14:paraId="786E8483"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358,624,967.82</w:t>
            </w:r>
          </w:p>
        </w:tc>
        <w:tc>
          <w:tcPr>
            <w:tcW w:w="803" w:type="dxa"/>
            <w:tcBorders>
              <w:top w:val="single" w:sz="2" w:space="0" w:color="auto"/>
              <w:left w:val="single" w:sz="2" w:space="0" w:color="auto"/>
              <w:bottom w:val="single" w:sz="2" w:space="0" w:color="auto"/>
              <w:right w:val="single" w:sz="2" w:space="0" w:color="auto"/>
            </w:tcBorders>
            <w:vAlign w:val="center"/>
          </w:tcPr>
          <w:p w14:paraId="42DE9CD6"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293,760,000.00</w:t>
            </w:r>
          </w:p>
        </w:tc>
        <w:tc>
          <w:tcPr>
            <w:tcW w:w="803" w:type="dxa"/>
            <w:tcBorders>
              <w:top w:val="single" w:sz="2" w:space="0" w:color="auto"/>
              <w:left w:val="single" w:sz="2" w:space="0" w:color="auto"/>
              <w:bottom w:val="single" w:sz="2" w:space="0" w:color="auto"/>
              <w:right w:val="single" w:sz="2" w:space="0" w:color="auto"/>
            </w:tcBorders>
            <w:vAlign w:val="center"/>
          </w:tcPr>
          <w:p w14:paraId="71339255"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6281C9DA"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22,103,901.96</w:t>
            </w:r>
          </w:p>
        </w:tc>
        <w:tc>
          <w:tcPr>
            <w:tcW w:w="803" w:type="dxa"/>
            <w:tcBorders>
              <w:top w:val="single" w:sz="2" w:space="0" w:color="auto"/>
              <w:left w:val="single" w:sz="2" w:space="0" w:color="auto"/>
              <w:bottom w:val="single" w:sz="2" w:space="0" w:color="auto"/>
              <w:right w:val="single" w:sz="2" w:space="0" w:color="auto"/>
            </w:tcBorders>
            <w:vAlign w:val="center"/>
          </w:tcPr>
          <w:p w14:paraId="28299D84"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5F8CAB51"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32951E84" w14:textId="77777777" w:rsidR="00F73301" w:rsidRPr="00454D40" w:rsidRDefault="00F73301" w:rsidP="008C49B7">
            <w:pPr>
              <w:snapToGrid w:val="0"/>
              <w:jc w:val="right"/>
              <w:rPr>
                <w:rFonts w:ascii="Times New Roman" w:eastAsia="宋体" w:hAnsi="Times New Roman" w:cs="Times New Roman"/>
                <w:sz w:val="15"/>
                <w:szCs w:val="15"/>
              </w:rPr>
            </w:pPr>
          </w:p>
        </w:tc>
        <w:tc>
          <w:tcPr>
            <w:tcW w:w="803" w:type="dxa"/>
            <w:tcBorders>
              <w:top w:val="single" w:sz="2" w:space="0" w:color="auto"/>
              <w:left w:val="single" w:sz="2" w:space="0" w:color="auto"/>
              <w:bottom w:val="single" w:sz="2" w:space="0" w:color="auto"/>
              <w:right w:val="single" w:sz="2" w:space="0" w:color="auto"/>
            </w:tcBorders>
            <w:vAlign w:val="center"/>
          </w:tcPr>
          <w:p w14:paraId="1DC06A7F" w14:textId="77777777" w:rsidR="00F73301" w:rsidRPr="00454D40" w:rsidRDefault="00F73301" w:rsidP="008C49B7">
            <w:pPr>
              <w:snapToGrid w:val="0"/>
              <w:jc w:val="right"/>
              <w:rPr>
                <w:rFonts w:ascii="Times New Roman" w:eastAsia="宋体" w:hAnsi="Times New Roman" w:cs="Times New Roman"/>
                <w:sz w:val="15"/>
                <w:szCs w:val="15"/>
              </w:rPr>
            </w:pPr>
          </w:p>
        </w:tc>
        <w:tc>
          <w:tcPr>
            <w:tcW w:w="805" w:type="dxa"/>
            <w:tcBorders>
              <w:top w:val="single" w:sz="2" w:space="0" w:color="auto"/>
              <w:left w:val="single" w:sz="2" w:space="0" w:color="auto"/>
              <w:bottom w:val="single" w:sz="2" w:space="0" w:color="auto"/>
              <w:right w:val="single" w:sz="2" w:space="0" w:color="auto"/>
            </w:tcBorders>
            <w:vAlign w:val="center"/>
          </w:tcPr>
          <w:p w14:paraId="79C25AFB"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-674,488,869.78</w:t>
            </w:r>
          </w:p>
        </w:tc>
        <w:tc>
          <w:tcPr>
            <w:tcW w:w="803" w:type="dxa"/>
            <w:tcBorders>
              <w:top w:val="single" w:sz="2" w:space="0" w:color="auto"/>
              <w:left w:val="single" w:sz="2" w:space="0" w:color="auto"/>
              <w:bottom w:val="single" w:sz="2" w:space="0" w:color="auto"/>
              <w:right w:val="single" w:sz="2" w:space="0" w:color="auto"/>
            </w:tcBorders>
            <w:vAlign w:val="center"/>
          </w:tcPr>
          <w:p w14:paraId="30294F03"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0.00</w:t>
            </w:r>
          </w:p>
        </w:tc>
        <w:tc>
          <w:tcPr>
            <w:tcW w:w="804" w:type="dxa"/>
            <w:tcBorders>
              <w:top w:val="single" w:sz="2" w:space="0" w:color="auto"/>
              <w:left w:val="single" w:sz="2" w:space="0" w:color="auto"/>
              <w:bottom w:val="single" w:sz="2" w:space="0" w:color="auto"/>
              <w:right w:val="single" w:sz="2" w:space="0" w:color="auto"/>
            </w:tcBorders>
            <w:vAlign w:val="center"/>
          </w:tcPr>
          <w:p w14:paraId="3BC8FB6F" w14:textId="77777777" w:rsidR="00F73301" w:rsidRPr="00454D40" w:rsidRDefault="00F73301" w:rsidP="008C49B7">
            <w:pPr>
              <w:snapToGrid w:val="0"/>
              <w:jc w:val="right"/>
              <w:rPr>
                <w:rFonts w:ascii="Times New Roman" w:eastAsia="宋体" w:hAnsi="Times New Roman" w:cs="Times New Roman"/>
                <w:sz w:val="15"/>
                <w:szCs w:val="15"/>
              </w:rPr>
            </w:pPr>
          </w:p>
        </w:tc>
      </w:tr>
      <w:tr w:rsidR="00F73301" w:rsidRPr="00454D40" w14:paraId="038CD581" w14:textId="77777777" w:rsidTr="008A539F">
        <w:trPr>
          <w:jc w:val="center"/>
        </w:trPr>
        <w:tc>
          <w:tcPr>
            <w:tcW w:w="1090" w:type="dxa"/>
            <w:tcBorders>
              <w:top w:val="single" w:sz="2" w:space="0" w:color="auto"/>
              <w:left w:val="single" w:sz="2" w:space="0" w:color="auto"/>
              <w:bottom w:val="single" w:sz="2" w:space="0" w:color="auto"/>
              <w:right w:val="single" w:sz="2" w:space="0" w:color="auto"/>
            </w:tcBorders>
            <w:shd w:val="clear" w:color="auto" w:fill="D3D3D3"/>
            <w:vAlign w:val="center"/>
          </w:tcPr>
          <w:p w14:paraId="6BA9634D" w14:textId="77777777" w:rsidR="00F73301" w:rsidRPr="00454D40" w:rsidRDefault="00F73301" w:rsidP="008C49B7">
            <w:pPr>
              <w:snapToGrid w:val="0"/>
              <w:rPr>
                <w:rFonts w:ascii="Times New Roman" w:eastAsia="宋体" w:hAnsi="Times New Roman" w:cs="Times New Roman"/>
                <w:sz w:val="15"/>
                <w:szCs w:val="15"/>
              </w:rPr>
            </w:pPr>
            <w:r w:rsidRPr="00454D40">
              <w:rPr>
                <w:rFonts w:ascii="Times New Roman" w:eastAsia="宋体" w:hAnsi="Times New Roman" w:cs="Times New Roman"/>
                <w:sz w:val="15"/>
                <w:szCs w:val="15"/>
              </w:rPr>
              <w:t>Subtotal</w:t>
            </w:r>
          </w:p>
        </w:tc>
        <w:tc>
          <w:tcPr>
            <w:tcW w:w="803" w:type="dxa"/>
            <w:tcBorders>
              <w:top w:val="single" w:sz="2" w:space="0" w:color="auto"/>
              <w:left w:val="single" w:sz="2" w:space="0" w:color="auto"/>
              <w:bottom w:val="single" w:sz="2" w:space="0" w:color="auto"/>
              <w:right w:val="single" w:sz="2" w:space="0" w:color="auto"/>
            </w:tcBorders>
            <w:vAlign w:val="center"/>
          </w:tcPr>
          <w:p w14:paraId="5C535F15"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466,606,774.74</w:t>
            </w:r>
          </w:p>
        </w:tc>
        <w:tc>
          <w:tcPr>
            <w:tcW w:w="803" w:type="dxa"/>
            <w:tcBorders>
              <w:top w:val="single" w:sz="2" w:space="0" w:color="auto"/>
              <w:left w:val="single" w:sz="2" w:space="0" w:color="auto"/>
              <w:bottom w:val="single" w:sz="2" w:space="0" w:color="auto"/>
              <w:right w:val="single" w:sz="2" w:space="0" w:color="auto"/>
            </w:tcBorders>
            <w:vAlign w:val="center"/>
          </w:tcPr>
          <w:p w14:paraId="057387DE"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293,760,000.00</w:t>
            </w:r>
          </w:p>
        </w:tc>
        <w:tc>
          <w:tcPr>
            <w:tcW w:w="803" w:type="dxa"/>
            <w:tcBorders>
              <w:top w:val="single" w:sz="2" w:space="0" w:color="auto"/>
              <w:left w:val="single" w:sz="2" w:space="0" w:color="auto"/>
              <w:bottom w:val="single" w:sz="2" w:space="0" w:color="auto"/>
              <w:right w:val="single" w:sz="2" w:space="0" w:color="auto"/>
            </w:tcBorders>
            <w:vAlign w:val="center"/>
          </w:tcPr>
          <w:p w14:paraId="3C2FFDF4"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60,000,000.00</w:t>
            </w:r>
          </w:p>
        </w:tc>
        <w:tc>
          <w:tcPr>
            <w:tcW w:w="803" w:type="dxa"/>
            <w:tcBorders>
              <w:top w:val="single" w:sz="2" w:space="0" w:color="auto"/>
              <w:left w:val="single" w:sz="2" w:space="0" w:color="auto"/>
              <w:bottom w:val="single" w:sz="2" w:space="0" w:color="auto"/>
              <w:right w:val="single" w:sz="2" w:space="0" w:color="auto"/>
            </w:tcBorders>
            <w:vAlign w:val="center"/>
          </w:tcPr>
          <w:p w14:paraId="182E5D39"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36,553,349.02</w:t>
            </w:r>
          </w:p>
        </w:tc>
        <w:tc>
          <w:tcPr>
            <w:tcW w:w="803" w:type="dxa"/>
            <w:tcBorders>
              <w:top w:val="single" w:sz="2" w:space="0" w:color="auto"/>
              <w:left w:val="single" w:sz="2" w:space="0" w:color="auto"/>
              <w:bottom w:val="single" w:sz="2" w:space="0" w:color="auto"/>
              <w:right w:val="single" w:sz="2" w:space="0" w:color="auto"/>
            </w:tcBorders>
            <w:vAlign w:val="center"/>
          </w:tcPr>
          <w:p w14:paraId="45BB168B"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0.00</w:t>
            </w:r>
          </w:p>
        </w:tc>
        <w:tc>
          <w:tcPr>
            <w:tcW w:w="803" w:type="dxa"/>
            <w:tcBorders>
              <w:top w:val="single" w:sz="2" w:space="0" w:color="auto"/>
              <w:left w:val="single" w:sz="2" w:space="0" w:color="auto"/>
              <w:bottom w:val="single" w:sz="2" w:space="0" w:color="auto"/>
              <w:right w:val="single" w:sz="2" w:space="0" w:color="auto"/>
            </w:tcBorders>
            <w:vAlign w:val="center"/>
          </w:tcPr>
          <w:p w14:paraId="355CAD3C"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0.00</w:t>
            </w:r>
          </w:p>
        </w:tc>
        <w:tc>
          <w:tcPr>
            <w:tcW w:w="803" w:type="dxa"/>
            <w:tcBorders>
              <w:top w:val="single" w:sz="2" w:space="0" w:color="auto"/>
              <w:left w:val="single" w:sz="2" w:space="0" w:color="auto"/>
              <w:bottom w:val="single" w:sz="2" w:space="0" w:color="auto"/>
              <w:right w:val="single" w:sz="2" w:space="0" w:color="auto"/>
            </w:tcBorders>
            <w:vAlign w:val="center"/>
          </w:tcPr>
          <w:p w14:paraId="3F6EAF5D"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-1,683,572.42</w:t>
            </w:r>
          </w:p>
        </w:tc>
        <w:tc>
          <w:tcPr>
            <w:tcW w:w="803" w:type="dxa"/>
            <w:tcBorders>
              <w:top w:val="single" w:sz="2" w:space="0" w:color="auto"/>
              <w:left w:val="single" w:sz="2" w:space="0" w:color="auto"/>
              <w:bottom w:val="single" w:sz="2" w:space="0" w:color="auto"/>
              <w:right w:val="single" w:sz="2" w:space="0" w:color="auto"/>
            </w:tcBorders>
            <w:vAlign w:val="center"/>
          </w:tcPr>
          <w:p w14:paraId="144A5117"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0.00</w:t>
            </w:r>
          </w:p>
        </w:tc>
        <w:tc>
          <w:tcPr>
            <w:tcW w:w="805" w:type="dxa"/>
            <w:tcBorders>
              <w:top w:val="single" w:sz="2" w:space="0" w:color="auto"/>
              <w:left w:val="single" w:sz="2" w:space="0" w:color="auto"/>
              <w:bottom w:val="single" w:sz="2" w:space="0" w:color="auto"/>
              <w:right w:val="single" w:sz="2" w:space="0" w:color="auto"/>
            </w:tcBorders>
            <w:vAlign w:val="center"/>
          </w:tcPr>
          <w:p w14:paraId="02158BB8"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-674,488,869.78</w:t>
            </w:r>
          </w:p>
        </w:tc>
        <w:tc>
          <w:tcPr>
            <w:tcW w:w="803" w:type="dxa"/>
            <w:tcBorders>
              <w:top w:val="single" w:sz="2" w:space="0" w:color="auto"/>
              <w:left w:val="single" w:sz="2" w:space="0" w:color="auto"/>
              <w:bottom w:val="single" w:sz="2" w:space="0" w:color="auto"/>
              <w:right w:val="single" w:sz="2" w:space="0" w:color="auto"/>
            </w:tcBorders>
            <w:vAlign w:val="center"/>
          </w:tcPr>
          <w:p w14:paraId="0F9DB357"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60,747,681.56</w:t>
            </w:r>
          </w:p>
        </w:tc>
        <w:tc>
          <w:tcPr>
            <w:tcW w:w="804" w:type="dxa"/>
            <w:tcBorders>
              <w:top w:val="single" w:sz="2" w:space="0" w:color="auto"/>
              <w:left w:val="single" w:sz="2" w:space="0" w:color="auto"/>
              <w:bottom w:val="single" w:sz="2" w:space="0" w:color="auto"/>
              <w:right w:val="single" w:sz="2" w:space="0" w:color="auto"/>
            </w:tcBorders>
            <w:vAlign w:val="center"/>
          </w:tcPr>
          <w:p w14:paraId="2FF5CB81" w14:textId="77777777" w:rsidR="00F73301" w:rsidRPr="00454D40" w:rsidRDefault="00F73301" w:rsidP="008C49B7">
            <w:pPr>
              <w:snapToGrid w:val="0"/>
              <w:jc w:val="right"/>
              <w:rPr>
                <w:rFonts w:ascii="Times New Roman" w:eastAsia="宋体" w:hAnsi="Times New Roman" w:cs="Times New Roman"/>
                <w:sz w:val="15"/>
                <w:szCs w:val="15"/>
              </w:rPr>
            </w:pPr>
          </w:p>
        </w:tc>
      </w:tr>
      <w:tr w:rsidR="00F73301" w:rsidRPr="00454D40" w14:paraId="172137C1" w14:textId="77777777" w:rsidTr="008A539F">
        <w:trPr>
          <w:jc w:val="center"/>
        </w:trPr>
        <w:tc>
          <w:tcPr>
            <w:tcW w:w="1090" w:type="dxa"/>
            <w:tcBorders>
              <w:top w:val="single" w:sz="2" w:space="0" w:color="auto"/>
              <w:left w:val="single" w:sz="2" w:space="0" w:color="auto"/>
              <w:bottom w:val="single" w:sz="2" w:space="0" w:color="auto"/>
              <w:right w:val="single" w:sz="2" w:space="0" w:color="auto"/>
            </w:tcBorders>
            <w:shd w:val="clear" w:color="auto" w:fill="D3D3D3"/>
            <w:vAlign w:val="center"/>
          </w:tcPr>
          <w:p w14:paraId="4CE76DD6" w14:textId="77777777" w:rsidR="00F73301" w:rsidRPr="00454D40" w:rsidRDefault="00F73301" w:rsidP="008C49B7">
            <w:pPr>
              <w:snapToGrid w:val="0"/>
              <w:rPr>
                <w:rFonts w:ascii="Times New Roman" w:eastAsia="宋体" w:hAnsi="Times New Roman" w:cs="Times New Roman"/>
                <w:sz w:val="15"/>
                <w:szCs w:val="15"/>
              </w:rPr>
            </w:pPr>
            <w:r w:rsidRPr="00454D40">
              <w:rPr>
                <w:rFonts w:ascii="Times New Roman" w:eastAsia="宋体" w:hAnsi="Times New Roman" w:cs="Times New Roman"/>
                <w:sz w:val="15"/>
                <w:szCs w:val="15"/>
              </w:rPr>
              <w:t>Total</w:t>
            </w:r>
          </w:p>
        </w:tc>
        <w:tc>
          <w:tcPr>
            <w:tcW w:w="803" w:type="dxa"/>
            <w:tcBorders>
              <w:top w:val="single" w:sz="2" w:space="0" w:color="auto"/>
              <w:left w:val="single" w:sz="2" w:space="0" w:color="auto"/>
              <w:bottom w:val="single" w:sz="2" w:space="0" w:color="auto"/>
              <w:right w:val="single" w:sz="2" w:space="0" w:color="auto"/>
            </w:tcBorders>
            <w:vAlign w:val="center"/>
          </w:tcPr>
          <w:p w14:paraId="656D7884"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466,606,774.74</w:t>
            </w:r>
          </w:p>
        </w:tc>
        <w:tc>
          <w:tcPr>
            <w:tcW w:w="803" w:type="dxa"/>
            <w:tcBorders>
              <w:top w:val="single" w:sz="2" w:space="0" w:color="auto"/>
              <w:left w:val="single" w:sz="2" w:space="0" w:color="auto"/>
              <w:bottom w:val="single" w:sz="2" w:space="0" w:color="auto"/>
              <w:right w:val="single" w:sz="2" w:space="0" w:color="auto"/>
            </w:tcBorders>
            <w:vAlign w:val="center"/>
          </w:tcPr>
          <w:p w14:paraId="33B54EA0"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293,760,000.00</w:t>
            </w:r>
          </w:p>
        </w:tc>
        <w:tc>
          <w:tcPr>
            <w:tcW w:w="803" w:type="dxa"/>
            <w:tcBorders>
              <w:top w:val="single" w:sz="2" w:space="0" w:color="auto"/>
              <w:left w:val="single" w:sz="2" w:space="0" w:color="auto"/>
              <w:bottom w:val="single" w:sz="2" w:space="0" w:color="auto"/>
              <w:right w:val="single" w:sz="2" w:space="0" w:color="auto"/>
            </w:tcBorders>
            <w:vAlign w:val="center"/>
          </w:tcPr>
          <w:p w14:paraId="4D960E77"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60,000,000.00</w:t>
            </w:r>
          </w:p>
        </w:tc>
        <w:tc>
          <w:tcPr>
            <w:tcW w:w="803" w:type="dxa"/>
            <w:tcBorders>
              <w:top w:val="single" w:sz="2" w:space="0" w:color="auto"/>
              <w:left w:val="single" w:sz="2" w:space="0" w:color="auto"/>
              <w:bottom w:val="single" w:sz="2" w:space="0" w:color="auto"/>
              <w:right w:val="single" w:sz="2" w:space="0" w:color="auto"/>
            </w:tcBorders>
            <w:vAlign w:val="center"/>
          </w:tcPr>
          <w:p w14:paraId="10B5C9DE"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36,553,349.02</w:t>
            </w:r>
          </w:p>
        </w:tc>
        <w:tc>
          <w:tcPr>
            <w:tcW w:w="803" w:type="dxa"/>
            <w:tcBorders>
              <w:top w:val="single" w:sz="2" w:space="0" w:color="auto"/>
              <w:left w:val="single" w:sz="2" w:space="0" w:color="auto"/>
              <w:bottom w:val="single" w:sz="2" w:space="0" w:color="auto"/>
              <w:right w:val="single" w:sz="2" w:space="0" w:color="auto"/>
            </w:tcBorders>
            <w:vAlign w:val="center"/>
          </w:tcPr>
          <w:p w14:paraId="290E0CF0"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0.00</w:t>
            </w:r>
          </w:p>
        </w:tc>
        <w:tc>
          <w:tcPr>
            <w:tcW w:w="803" w:type="dxa"/>
            <w:tcBorders>
              <w:top w:val="single" w:sz="2" w:space="0" w:color="auto"/>
              <w:left w:val="single" w:sz="2" w:space="0" w:color="auto"/>
              <w:bottom w:val="single" w:sz="2" w:space="0" w:color="auto"/>
              <w:right w:val="single" w:sz="2" w:space="0" w:color="auto"/>
            </w:tcBorders>
            <w:vAlign w:val="center"/>
          </w:tcPr>
          <w:p w14:paraId="1B130B03"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0.00</w:t>
            </w:r>
          </w:p>
        </w:tc>
        <w:tc>
          <w:tcPr>
            <w:tcW w:w="803" w:type="dxa"/>
            <w:tcBorders>
              <w:top w:val="single" w:sz="2" w:space="0" w:color="auto"/>
              <w:left w:val="single" w:sz="2" w:space="0" w:color="auto"/>
              <w:bottom w:val="single" w:sz="2" w:space="0" w:color="auto"/>
              <w:right w:val="single" w:sz="2" w:space="0" w:color="auto"/>
            </w:tcBorders>
            <w:vAlign w:val="center"/>
          </w:tcPr>
          <w:p w14:paraId="449A31EE"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-1,683,572.42</w:t>
            </w:r>
          </w:p>
        </w:tc>
        <w:tc>
          <w:tcPr>
            <w:tcW w:w="803" w:type="dxa"/>
            <w:tcBorders>
              <w:top w:val="single" w:sz="2" w:space="0" w:color="auto"/>
              <w:left w:val="single" w:sz="2" w:space="0" w:color="auto"/>
              <w:bottom w:val="single" w:sz="2" w:space="0" w:color="auto"/>
              <w:right w:val="single" w:sz="2" w:space="0" w:color="auto"/>
            </w:tcBorders>
            <w:vAlign w:val="center"/>
          </w:tcPr>
          <w:p w14:paraId="6A7A4802"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0.00</w:t>
            </w:r>
          </w:p>
        </w:tc>
        <w:tc>
          <w:tcPr>
            <w:tcW w:w="805" w:type="dxa"/>
            <w:tcBorders>
              <w:top w:val="single" w:sz="2" w:space="0" w:color="auto"/>
              <w:left w:val="single" w:sz="2" w:space="0" w:color="auto"/>
              <w:bottom w:val="single" w:sz="2" w:space="0" w:color="auto"/>
              <w:right w:val="single" w:sz="2" w:space="0" w:color="auto"/>
            </w:tcBorders>
            <w:vAlign w:val="center"/>
          </w:tcPr>
          <w:p w14:paraId="702958AE"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-674,488,869.78</w:t>
            </w:r>
          </w:p>
        </w:tc>
        <w:tc>
          <w:tcPr>
            <w:tcW w:w="803" w:type="dxa"/>
            <w:tcBorders>
              <w:top w:val="single" w:sz="2" w:space="0" w:color="auto"/>
              <w:left w:val="single" w:sz="2" w:space="0" w:color="auto"/>
              <w:bottom w:val="single" w:sz="2" w:space="0" w:color="auto"/>
              <w:right w:val="single" w:sz="2" w:space="0" w:color="auto"/>
            </w:tcBorders>
            <w:vAlign w:val="center"/>
          </w:tcPr>
          <w:p w14:paraId="7D3BF0E3" w14:textId="77777777" w:rsidR="00F73301" w:rsidRPr="00454D40" w:rsidRDefault="00F73301" w:rsidP="008C49B7">
            <w:pPr>
              <w:snapToGrid w:val="0"/>
              <w:jc w:val="right"/>
              <w:rPr>
                <w:rFonts w:ascii="Times New Roman" w:eastAsia="宋体" w:hAnsi="Times New Roman" w:cs="Times New Roman"/>
                <w:sz w:val="15"/>
                <w:szCs w:val="15"/>
              </w:rPr>
            </w:pPr>
            <w:r w:rsidRPr="00454D40">
              <w:rPr>
                <w:rFonts w:ascii="Times New Roman" w:eastAsia="宋体" w:hAnsi="Times New Roman" w:cs="Times New Roman"/>
                <w:sz w:val="15"/>
                <w:szCs w:val="15"/>
              </w:rPr>
              <w:t>60,747,681.56</w:t>
            </w:r>
          </w:p>
        </w:tc>
        <w:tc>
          <w:tcPr>
            <w:tcW w:w="804" w:type="dxa"/>
            <w:tcBorders>
              <w:top w:val="single" w:sz="2" w:space="0" w:color="auto"/>
              <w:left w:val="single" w:sz="2" w:space="0" w:color="auto"/>
              <w:bottom w:val="single" w:sz="2" w:space="0" w:color="auto"/>
              <w:right w:val="single" w:sz="2" w:space="0" w:color="auto"/>
            </w:tcBorders>
            <w:vAlign w:val="center"/>
          </w:tcPr>
          <w:p w14:paraId="7F952108" w14:textId="77777777" w:rsidR="00F73301" w:rsidRPr="00454D40" w:rsidRDefault="00F73301" w:rsidP="008C49B7">
            <w:pPr>
              <w:snapToGrid w:val="0"/>
              <w:jc w:val="right"/>
              <w:rPr>
                <w:rFonts w:ascii="Times New Roman" w:eastAsia="宋体" w:hAnsi="Times New Roman" w:cs="Times New Roman"/>
                <w:sz w:val="15"/>
                <w:szCs w:val="15"/>
              </w:rPr>
            </w:pPr>
          </w:p>
        </w:tc>
      </w:tr>
    </w:tbl>
    <w:p w14:paraId="7064A6BA"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Other remarks</w:t>
      </w:r>
    </w:p>
    <w:p w14:paraId="605D0F93"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Note 1: Hereinafter referred to as "Guoyu Electronics". The Company holds 14.95% equity of Guoyu Electronics and appoints directors to participate in its production and business activities, and therefore has a significant influence over it.</w:t>
      </w:r>
    </w:p>
    <w:p w14:paraId="6D2B6AB8"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Note 2: Hereinafter referred to as "Jiangsu Intelligent Microsystem". The Company holds 7.01% equity of Jiangsu Intelligent Microsystem and appoints general manager and directors to participate in its production and business activities, and therefore has a significant influence over it.</w:t>
      </w:r>
    </w:p>
    <w:p w14:paraId="35A9F966" w14:textId="30C35570"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[Note 3] Hereinafter referred to as "Jiangsu </w:t>
      </w:r>
      <w:proofErr w:type="spellStart"/>
      <w:r w:rsidRPr="00F73301">
        <w:rPr>
          <w:rFonts w:ascii="Times New Roman" w:eastAsia="宋体" w:hAnsi="Times New Roman" w:cs="Times New Roman"/>
          <w:kern w:val="0"/>
          <w:sz w:val="24"/>
          <w:szCs w:val="24"/>
        </w:rPr>
        <w:t>Huanxin</w:t>
      </w:r>
      <w:proofErr w:type="spellEnd"/>
      <w:r w:rsidRPr="00F73301">
        <w:rPr>
          <w:rFonts w:ascii="Times New Roman" w:eastAsia="宋体" w:hAnsi="Times New Roman" w:cs="Times New Roman"/>
          <w:kern w:val="0"/>
          <w:sz w:val="24"/>
          <w:szCs w:val="24"/>
        </w:rPr>
        <w:t>". The Company holds 23.86% equity of Jiangsu</w:t>
      </w:r>
      <w:r w:rsidR="00F87479">
        <w:rPr>
          <w:rFonts w:ascii="Times New Roman" w:eastAsia="宋体" w:hAnsi="Times New Roman" w:cs="Times New Roman"/>
          <w:kern w:val="0"/>
          <w:sz w:val="24"/>
          <w:szCs w:val="24"/>
        </w:rPr>
        <w:t xml:space="preserve"> </w:t>
      </w:r>
      <w:proofErr w:type="spellStart"/>
      <w:r w:rsidR="00F87479">
        <w:rPr>
          <w:rFonts w:ascii="Times New Roman" w:eastAsia="宋体" w:hAnsi="Times New Roman" w:cs="Times New Roman"/>
          <w:kern w:val="0"/>
          <w:sz w:val="24"/>
          <w:szCs w:val="24"/>
        </w:rPr>
        <w:t>Huanxin</w:t>
      </w:r>
      <w:proofErr w:type="spellEnd"/>
      <w:r w:rsidRPr="00F73301">
        <w:rPr>
          <w:rFonts w:ascii="Times New Roman" w:eastAsia="宋体" w:hAnsi="Times New Roman" w:cs="Times New Roman"/>
          <w:kern w:val="0"/>
          <w:sz w:val="24"/>
          <w:szCs w:val="24"/>
        </w:rPr>
        <w:t xml:space="preserve"> and appoints directors to participate in its production and business activities, and therefore has a significant influence over it. In June 2023, the Company sold all equities it held in Jiangsu </w:t>
      </w:r>
      <w:proofErr w:type="spellStart"/>
      <w:r w:rsidRPr="00F73301">
        <w:rPr>
          <w:rFonts w:ascii="Times New Roman" w:eastAsia="宋体" w:hAnsi="Times New Roman" w:cs="Times New Roman"/>
          <w:kern w:val="0"/>
          <w:sz w:val="24"/>
          <w:szCs w:val="24"/>
        </w:rPr>
        <w:t>Huanxin</w:t>
      </w:r>
      <w:proofErr w:type="spellEnd"/>
      <w:r w:rsidRPr="00F73301">
        <w:rPr>
          <w:rFonts w:ascii="Times New Roman" w:eastAsia="宋体" w:hAnsi="Times New Roman" w:cs="Times New Roman"/>
          <w:kern w:val="0"/>
          <w:sz w:val="24"/>
          <w:szCs w:val="24"/>
        </w:rPr>
        <w:t>, and received the equity transfer payment on June 29, 2023.</w:t>
      </w:r>
    </w:p>
    <w:p w14:paraId="54D18EE7"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[Note 4] Hereinafter referred to as "Hunan </w:t>
      </w:r>
      <w:proofErr w:type="spellStart"/>
      <w:r w:rsidRPr="00F73301">
        <w:rPr>
          <w:rFonts w:ascii="Times New Roman" w:eastAsia="宋体" w:hAnsi="Times New Roman" w:cs="Times New Roman"/>
          <w:kern w:val="0"/>
          <w:sz w:val="24"/>
          <w:szCs w:val="24"/>
        </w:rPr>
        <w:t>Chuwei</w:t>
      </w:r>
      <w:proofErr w:type="spellEnd"/>
      <w:r w:rsidRPr="00F73301">
        <w:rPr>
          <w:rFonts w:ascii="Times New Roman" w:eastAsia="宋体" w:hAnsi="Times New Roman" w:cs="Times New Roman"/>
          <w:kern w:val="0"/>
          <w:sz w:val="24"/>
          <w:szCs w:val="24"/>
        </w:rPr>
        <w:t xml:space="preserve">". The Company acquired 40% equity of Hunan </w:t>
      </w:r>
      <w:proofErr w:type="spellStart"/>
      <w:r w:rsidRPr="00F73301">
        <w:rPr>
          <w:rFonts w:ascii="Times New Roman" w:eastAsia="宋体" w:hAnsi="Times New Roman" w:cs="Times New Roman"/>
          <w:kern w:val="0"/>
          <w:sz w:val="24"/>
          <w:szCs w:val="24"/>
        </w:rPr>
        <w:t>Chuwei</w:t>
      </w:r>
      <w:proofErr w:type="spellEnd"/>
      <w:r w:rsidRPr="00F73301">
        <w:rPr>
          <w:rFonts w:ascii="Times New Roman" w:eastAsia="宋体" w:hAnsi="Times New Roman" w:cs="Times New Roman"/>
          <w:kern w:val="0"/>
          <w:sz w:val="24"/>
          <w:szCs w:val="24"/>
        </w:rPr>
        <w:t xml:space="preserve"> in June 2022, and has appointed directors and operation management team to participate in its production and business activities, and therefore has a significant influence over it. In March 2023, the Company acquired 40% equity of Hunan </w:t>
      </w:r>
      <w:proofErr w:type="spellStart"/>
      <w:r w:rsidRPr="00F73301">
        <w:rPr>
          <w:rFonts w:ascii="Times New Roman" w:eastAsia="宋体" w:hAnsi="Times New Roman" w:cs="Times New Roman"/>
          <w:kern w:val="0"/>
          <w:sz w:val="24"/>
          <w:szCs w:val="24"/>
        </w:rPr>
        <w:t>Chuwei</w:t>
      </w:r>
      <w:proofErr w:type="spellEnd"/>
      <w:r w:rsidRPr="00F73301">
        <w:rPr>
          <w:rFonts w:ascii="Times New Roman" w:eastAsia="宋体" w:hAnsi="Times New Roman" w:cs="Times New Roman"/>
          <w:kern w:val="0"/>
          <w:sz w:val="24"/>
          <w:szCs w:val="24"/>
        </w:rPr>
        <w:t xml:space="preserve">, and thus holds 70% equity in total, making Hunan </w:t>
      </w:r>
      <w:proofErr w:type="spellStart"/>
      <w:r w:rsidRPr="00F73301">
        <w:rPr>
          <w:rFonts w:ascii="Times New Roman" w:eastAsia="宋体" w:hAnsi="Times New Roman" w:cs="Times New Roman"/>
          <w:kern w:val="0"/>
          <w:sz w:val="24"/>
          <w:szCs w:val="24"/>
        </w:rPr>
        <w:t>Chuwei</w:t>
      </w:r>
      <w:proofErr w:type="spellEnd"/>
      <w:r w:rsidRPr="00F73301">
        <w:rPr>
          <w:rFonts w:ascii="Times New Roman" w:eastAsia="宋体" w:hAnsi="Times New Roman" w:cs="Times New Roman"/>
          <w:kern w:val="0"/>
          <w:sz w:val="24"/>
          <w:szCs w:val="24"/>
        </w:rPr>
        <w:t xml:space="preserve"> a subsidiary of the Company.</w:t>
      </w:r>
    </w:p>
    <w:p w14:paraId="06640D63"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97" w:name="_Toc989085"/>
      <w:r w:rsidRPr="00F73301">
        <w:rPr>
          <w:rFonts w:ascii="Times New Roman" w:eastAsia="宋体" w:hAnsi="Times New Roman" w:cs="Times New Roman"/>
          <w:b/>
          <w:bCs/>
          <w:sz w:val="24"/>
          <w:szCs w:val="24"/>
        </w:rPr>
        <w:t>11. Other non-current financial assets</w:t>
      </w:r>
      <w:bookmarkEnd w:id="197"/>
    </w:p>
    <w:p w14:paraId="47623DCB"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73F3DB3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E982B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497F5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A8633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0F96E87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8A29FA3" w14:textId="63DF5DB5"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Financial assets classified as at fair value through profit or loss for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31D2FEA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80A06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E8E4C2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B61BF0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Equity instrument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5FEB460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444,696,592.64</w:t>
            </w:r>
          </w:p>
        </w:tc>
        <w:tc>
          <w:tcPr>
            <w:tcW w:w="3213" w:type="dxa"/>
            <w:tcBorders>
              <w:top w:val="single" w:sz="2" w:space="0" w:color="auto"/>
              <w:left w:val="single" w:sz="2" w:space="0" w:color="auto"/>
              <w:bottom w:val="single" w:sz="2" w:space="0" w:color="auto"/>
              <w:right w:val="single" w:sz="2" w:space="0" w:color="auto"/>
            </w:tcBorders>
            <w:vAlign w:val="center"/>
          </w:tcPr>
          <w:p w14:paraId="5FEAD2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442,446,494.05</w:t>
            </w:r>
          </w:p>
        </w:tc>
      </w:tr>
      <w:tr w:rsidR="00F73301" w:rsidRPr="00F73301" w14:paraId="5290DBA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0BA63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0DF575F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444,696,592.64</w:t>
            </w:r>
          </w:p>
        </w:tc>
        <w:tc>
          <w:tcPr>
            <w:tcW w:w="3213" w:type="dxa"/>
            <w:tcBorders>
              <w:top w:val="single" w:sz="2" w:space="0" w:color="auto"/>
              <w:left w:val="single" w:sz="2" w:space="0" w:color="auto"/>
              <w:bottom w:val="single" w:sz="2" w:space="0" w:color="auto"/>
              <w:right w:val="single" w:sz="2" w:space="0" w:color="auto"/>
            </w:tcBorders>
            <w:vAlign w:val="center"/>
          </w:tcPr>
          <w:p w14:paraId="1CBB254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442,446,494.05</w:t>
            </w:r>
          </w:p>
        </w:tc>
      </w:tr>
    </w:tbl>
    <w:p w14:paraId="1A472927"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37027956"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The Company invested RMB234 million, RMB5 million and RMB13,728,100 respectively in equity instruments of Beijing Guangmeng Semiconductor Industry Investment Center (LP), Hainan </w:t>
      </w:r>
      <w:proofErr w:type="spellStart"/>
      <w:r w:rsidRPr="00F73301">
        <w:rPr>
          <w:rFonts w:ascii="Times New Roman" w:eastAsia="宋体" w:hAnsi="Times New Roman" w:cs="Times New Roman"/>
          <w:kern w:val="0"/>
          <w:sz w:val="24"/>
          <w:szCs w:val="24"/>
        </w:rPr>
        <w:t>Huoyan</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Xihe</w:t>
      </w:r>
      <w:proofErr w:type="spellEnd"/>
      <w:r w:rsidRPr="00F73301">
        <w:rPr>
          <w:rFonts w:ascii="Times New Roman" w:eastAsia="宋体" w:hAnsi="Times New Roman" w:cs="Times New Roman"/>
          <w:kern w:val="0"/>
          <w:sz w:val="24"/>
          <w:szCs w:val="24"/>
        </w:rPr>
        <w:t xml:space="preserve"> Equity Investment Private Equity Fund Partnership (LP) and Chengdu </w:t>
      </w:r>
      <w:proofErr w:type="spellStart"/>
      <w:r w:rsidRPr="00F73301">
        <w:rPr>
          <w:rFonts w:ascii="Times New Roman" w:eastAsia="宋体" w:hAnsi="Times New Roman" w:cs="Times New Roman"/>
          <w:kern w:val="0"/>
          <w:sz w:val="24"/>
          <w:szCs w:val="24"/>
        </w:rPr>
        <w:t>Senmi</w:t>
      </w:r>
      <w:proofErr w:type="spellEnd"/>
      <w:r w:rsidRPr="00F73301">
        <w:rPr>
          <w:rFonts w:ascii="Times New Roman" w:eastAsia="宋体" w:hAnsi="Times New Roman" w:cs="Times New Roman"/>
          <w:kern w:val="0"/>
          <w:sz w:val="24"/>
          <w:szCs w:val="24"/>
        </w:rPr>
        <w:t xml:space="preserve"> Technology Consulting Partnership (LP). The Company is not involved in daily operations as a limited partner and has no significant influence over these entities. It is not feasible to evaluate the equity of investees using income approach or market approach, and there is no introduction of new external investors and transfer of equity between shareholders, which could be used as a reference for the determination of fair value of equity, resulting in the "limited condition" where cost can be used as the best estimate of fair value.</w:t>
      </w:r>
    </w:p>
    <w:p w14:paraId="74F5AC9C"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The fair value of equity instruments invested by the Company in Nantong </w:t>
      </w:r>
      <w:proofErr w:type="spellStart"/>
      <w:r w:rsidRPr="00F73301">
        <w:rPr>
          <w:rFonts w:ascii="Times New Roman" w:eastAsia="宋体" w:hAnsi="Times New Roman" w:cs="Times New Roman"/>
          <w:kern w:val="0"/>
          <w:sz w:val="24"/>
          <w:szCs w:val="24"/>
        </w:rPr>
        <w:t>Jinxin</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Haohua</w:t>
      </w:r>
      <w:proofErr w:type="spellEnd"/>
      <w:r w:rsidRPr="00F73301">
        <w:rPr>
          <w:rFonts w:ascii="Times New Roman" w:eastAsia="宋体" w:hAnsi="Times New Roman" w:cs="Times New Roman"/>
          <w:kern w:val="0"/>
          <w:sz w:val="24"/>
          <w:szCs w:val="24"/>
        </w:rPr>
        <w:t xml:space="preserve"> Investment Center (LP) was RMB15,498,600. The Company holds shares of Chengzhi Shareholding Co., Ltd. (stock code: 000990) through holding the equity of Nantong </w:t>
      </w:r>
      <w:proofErr w:type="spellStart"/>
      <w:r w:rsidRPr="00F73301">
        <w:rPr>
          <w:rFonts w:ascii="Times New Roman" w:eastAsia="宋体" w:hAnsi="Times New Roman" w:cs="Times New Roman"/>
          <w:kern w:val="0"/>
          <w:sz w:val="24"/>
          <w:szCs w:val="24"/>
        </w:rPr>
        <w:t>Jinxin</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Haohua</w:t>
      </w:r>
      <w:proofErr w:type="spellEnd"/>
      <w:r w:rsidRPr="00F73301">
        <w:rPr>
          <w:rFonts w:ascii="Times New Roman" w:eastAsia="宋体" w:hAnsi="Times New Roman" w:cs="Times New Roman"/>
          <w:kern w:val="0"/>
          <w:sz w:val="24"/>
          <w:szCs w:val="24"/>
        </w:rPr>
        <w:t xml:space="preserve"> Investment Center (LP), and determines its fair value based on the number of indirect holding shares and closing price.</w:t>
      </w:r>
    </w:p>
    <w:p w14:paraId="0FEBCABF"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The fair value of equity instruments invested by the Company in Ningbo </w:t>
      </w:r>
      <w:proofErr w:type="spellStart"/>
      <w:r w:rsidRPr="00F73301">
        <w:rPr>
          <w:rFonts w:ascii="Times New Roman" w:eastAsia="宋体" w:hAnsi="Times New Roman" w:cs="Times New Roman"/>
          <w:kern w:val="0"/>
          <w:sz w:val="24"/>
          <w:szCs w:val="24"/>
        </w:rPr>
        <w:t>Dongxin</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Guohong</w:t>
      </w:r>
      <w:proofErr w:type="spellEnd"/>
      <w:r w:rsidRPr="00F73301">
        <w:rPr>
          <w:rFonts w:ascii="Times New Roman" w:eastAsia="宋体" w:hAnsi="Times New Roman" w:cs="Times New Roman"/>
          <w:kern w:val="0"/>
          <w:sz w:val="24"/>
          <w:szCs w:val="24"/>
        </w:rPr>
        <w:t xml:space="preserve"> Enterprise Management Partnership (LP) was RMB133,138,000. The Company holds shares of </w:t>
      </w:r>
      <w:proofErr w:type="spellStart"/>
      <w:r w:rsidRPr="00F73301">
        <w:rPr>
          <w:rFonts w:ascii="Times New Roman" w:eastAsia="宋体" w:hAnsi="Times New Roman" w:cs="Times New Roman"/>
          <w:kern w:val="0"/>
          <w:sz w:val="24"/>
          <w:szCs w:val="24"/>
        </w:rPr>
        <w:t>Guobo</w:t>
      </w:r>
      <w:proofErr w:type="spellEnd"/>
      <w:r w:rsidRPr="00F73301">
        <w:rPr>
          <w:rFonts w:ascii="Times New Roman" w:eastAsia="宋体" w:hAnsi="Times New Roman" w:cs="Times New Roman"/>
          <w:kern w:val="0"/>
          <w:sz w:val="24"/>
          <w:szCs w:val="24"/>
        </w:rPr>
        <w:t xml:space="preserve"> Electronics Co., Ltd. (stock code: 688375) through holding the equity of Ningbo </w:t>
      </w:r>
      <w:proofErr w:type="spellStart"/>
      <w:r w:rsidRPr="00F73301">
        <w:rPr>
          <w:rFonts w:ascii="Times New Roman" w:eastAsia="宋体" w:hAnsi="Times New Roman" w:cs="Times New Roman"/>
          <w:kern w:val="0"/>
          <w:sz w:val="24"/>
          <w:szCs w:val="24"/>
        </w:rPr>
        <w:t>Dongxin</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Guohong</w:t>
      </w:r>
      <w:proofErr w:type="spellEnd"/>
      <w:r w:rsidRPr="00F73301">
        <w:rPr>
          <w:rFonts w:ascii="Times New Roman" w:eastAsia="宋体" w:hAnsi="Times New Roman" w:cs="Times New Roman"/>
          <w:kern w:val="0"/>
          <w:sz w:val="24"/>
          <w:szCs w:val="24"/>
        </w:rPr>
        <w:t xml:space="preserve"> Enterprise Management Partnership (LP), and determines its fair value based on the number of direct holding shares and closing price.</w:t>
      </w:r>
    </w:p>
    <w:p w14:paraId="63CDAE6B"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The fair value of equity instruments invested by the Company in Semiconductor Manufacturing Electronics (Shaoxing) Corporation was RMB18,331,700. The Company holds shares of </w:t>
      </w:r>
      <w:r w:rsidRPr="00F73301">
        <w:rPr>
          <w:rFonts w:ascii="Times New Roman" w:eastAsia="宋体" w:hAnsi="Times New Roman" w:cs="Times New Roman"/>
          <w:kern w:val="0"/>
          <w:sz w:val="24"/>
          <w:szCs w:val="24"/>
        </w:rPr>
        <w:lastRenderedPageBreak/>
        <w:t>Semiconductor Manufacturing Electronics (Shaoxing) Corporation (stock code: 688469), and determines its fair value based on the number of holding shares and closing price.</w:t>
      </w:r>
    </w:p>
    <w:p w14:paraId="64A91F14" w14:textId="18F27F7F"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The Company invested RMB10 million and RMB15 million respectively in the equity instruments of Dalian </w:t>
      </w:r>
      <w:proofErr w:type="spellStart"/>
      <w:r w:rsidRPr="00F73301">
        <w:rPr>
          <w:rFonts w:ascii="Times New Roman" w:eastAsia="宋体" w:hAnsi="Times New Roman" w:cs="Times New Roman"/>
          <w:kern w:val="0"/>
          <w:sz w:val="24"/>
          <w:szCs w:val="24"/>
        </w:rPr>
        <w:t>Jiafeng</w:t>
      </w:r>
      <w:proofErr w:type="spellEnd"/>
      <w:r w:rsidRPr="00F73301">
        <w:rPr>
          <w:rFonts w:ascii="Times New Roman" w:eastAsia="宋体" w:hAnsi="Times New Roman" w:cs="Times New Roman"/>
          <w:kern w:val="0"/>
          <w:sz w:val="24"/>
          <w:szCs w:val="24"/>
        </w:rPr>
        <w:t xml:space="preserve"> Automation Co., Ltd. (hereinafter referred to as "Dalian </w:t>
      </w:r>
      <w:proofErr w:type="spellStart"/>
      <w:r w:rsidRPr="00F73301">
        <w:rPr>
          <w:rFonts w:ascii="Times New Roman" w:eastAsia="宋体" w:hAnsi="Times New Roman" w:cs="Times New Roman"/>
          <w:kern w:val="0"/>
          <w:sz w:val="24"/>
          <w:szCs w:val="24"/>
        </w:rPr>
        <w:t>Jiafeng</w:t>
      </w:r>
      <w:proofErr w:type="spellEnd"/>
      <w:r w:rsidRPr="00F73301">
        <w:rPr>
          <w:rFonts w:ascii="Times New Roman" w:eastAsia="宋体" w:hAnsi="Times New Roman" w:cs="Times New Roman"/>
          <w:kern w:val="0"/>
          <w:sz w:val="24"/>
          <w:szCs w:val="24"/>
        </w:rPr>
        <w:t xml:space="preserve">" and </w:t>
      </w:r>
      <w:r w:rsidR="00AE6574">
        <w:rPr>
          <w:rFonts w:ascii="Times New Roman" w:eastAsia="宋体" w:hAnsi="Times New Roman" w:cs="Times New Roman"/>
          <w:kern w:val="0"/>
          <w:sz w:val="24"/>
          <w:szCs w:val="24"/>
        </w:rPr>
        <w:t xml:space="preserve">Jiangsu </w:t>
      </w:r>
      <w:r w:rsidRPr="00F73301">
        <w:rPr>
          <w:rFonts w:ascii="Times New Roman" w:eastAsia="宋体" w:hAnsi="Times New Roman" w:cs="Times New Roman"/>
          <w:kern w:val="0"/>
          <w:sz w:val="24"/>
          <w:szCs w:val="24"/>
        </w:rPr>
        <w:t>Applied Power Microelectronics Co., Ltd. (hereinafter referred to as "</w:t>
      </w:r>
      <w:r w:rsidR="00C701BB">
        <w:rPr>
          <w:rFonts w:ascii="Times New Roman" w:eastAsia="宋体" w:hAnsi="Times New Roman" w:cs="Times New Roman"/>
          <w:kern w:val="0"/>
          <w:sz w:val="24"/>
          <w:szCs w:val="24"/>
        </w:rPr>
        <w:t xml:space="preserve">Jiangsu </w:t>
      </w:r>
      <w:r w:rsidRPr="00F73301">
        <w:rPr>
          <w:rFonts w:ascii="Times New Roman" w:eastAsia="宋体" w:hAnsi="Times New Roman" w:cs="Times New Roman"/>
          <w:kern w:val="0"/>
          <w:sz w:val="24"/>
          <w:szCs w:val="24"/>
        </w:rPr>
        <w:t>Applied Power"), holding 2.78% and 6.23% equity in them, respectively. The Company does not participate in their production and business activities, and therefore has no significant influence over them. It is not feasible to value the equity of the two investees using income approach or market approach, resulting in the "limited condition" where cost can be used as the best estimate of fair value.</w:t>
      </w:r>
    </w:p>
    <w:p w14:paraId="471A24CC"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198" w:name="_Toc989086"/>
      <w:r w:rsidRPr="00F73301">
        <w:rPr>
          <w:rFonts w:ascii="Times New Roman" w:eastAsia="宋体" w:hAnsi="Times New Roman" w:cs="Times New Roman"/>
          <w:b/>
          <w:bCs/>
          <w:sz w:val="24"/>
          <w:szCs w:val="24"/>
        </w:rPr>
        <w:t>12. Fixed assets</w:t>
      </w:r>
      <w:bookmarkEnd w:id="198"/>
    </w:p>
    <w:p w14:paraId="51027A7A"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0DC1F2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21886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7A37A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B5B48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728FBD0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A3C8C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Fixed assets</w:t>
            </w:r>
          </w:p>
        </w:tc>
        <w:tc>
          <w:tcPr>
            <w:tcW w:w="3213" w:type="dxa"/>
            <w:tcBorders>
              <w:top w:val="single" w:sz="2" w:space="0" w:color="auto"/>
              <w:left w:val="single" w:sz="2" w:space="0" w:color="auto"/>
              <w:bottom w:val="single" w:sz="2" w:space="0" w:color="auto"/>
              <w:right w:val="single" w:sz="2" w:space="0" w:color="auto"/>
            </w:tcBorders>
            <w:vAlign w:val="center"/>
          </w:tcPr>
          <w:p w14:paraId="215B2BB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3,324,897,727.75</w:t>
            </w:r>
          </w:p>
        </w:tc>
        <w:tc>
          <w:tcPr>
            <w:tcW w:w="3213" w:type="dxa"/>
            <w:tcBorders>
              <w:top w:val="single" w:sz="2" w:space="0" w:color="auto"/>
              <w:left w:val="single" w:sz="2" w:space="0" w:color="auto"/>
              <w:bottom w:val="single" w:sz="2" w:space="0" w:color="auto"/>
              <w:right w:val="single" w:sz="2" w:space="0" w:color="auto"/>
            </w:tcBorders>
            <w:vAlign w:val="center"/>
          </w:tcPr>
          <w:p w14:paraId="41A859F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2,914,129,006.48</w:t>
            </w:r>
          </w:p>
        </w:tc>
      </w:tr>
      <w:tr w:rsidR="00F73301" w:rsidRPr="00F73301" w14:paraId="4624C5D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52C7A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75C10D2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3,324,897,727.75</w:t>
            </w:r>
          </w:p>
        </w:tc>
        <w:tc>
          <w:tcPr>
            <w:tcW w:w="3213" w:type="dxa"/>
            <w:tcBorders>
              <w:top w:val="single" w:sz="2" w:space="0" w:color="auto"/>
              <w:left w:val="single" w:sz="2" w:space="0" w:color="auto"/>
              <w:bottom w:val="single" w:sz="2" w:space="0" w:color="auto"/>
              <w:right w:val="single" w:sz="2" w:space="0" w:color="auto"/>
            </w:tcBorders>
            <w:vAlign w:val="center"/>
          </w:tcPr>
          <w:p w14:paraId="0A219A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2,914,129,006.48</w:t>
            </w:r>
          </w:p>
        </w:tc>
      </w:tr>
    </w:tbl>
    <w:p w14:paraId="0BC63E2B"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199" w:name="_Toc989087"/>
      <w:r w:rsidRPr="00F73301">
        <w:rPr>
          <w:rFonts w:ascii="Times New Roman" w:eastAsia="宋体" w:hAnsi="Times New Roman" w:cs="Times New Roman"/>
          <w:b/>
          <w:bCs/>
          <w:sz w:val="24"/>
          <w:szCs w:val="24"/>
        </w:rPr>
        <w:t>(1) List of fixed assets</w:t>
      </w:r>
      <w:bookmarkEnd w:id="199"/>
    </w:p>
    <w:p w14:paraId="4F4BBD8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6382188A"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7B2CFF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606" w:type="dxa"/>
            <w:tcBorders>
              <w:top w:val="single" w:sz="2" w:space="0" w:color="auto"/>
              <w:left w:val="single" w:sz="2" w:space="0" w:color="auto"/>
              <w:bottom w:val="single" w:sz="2" w:space="0" w:color="auto"/>
              <w:right w:val="single" w:sz="2" w:space="0" w:color="auto"/>
            </w:tcBorders>
            <w:vAlign w:val="center"/>
          </w:tcPr>
          <w:p w14:paraId="11E0199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Buildings and structures</w:t>
            </w:r>
          </w:p>
        </w:tc>
        <w:tc>
          <w:tcPr>
            <w:tcW w:w="1606" w:type="dxa"/>
            <w:tcBorders>
              <w:top w:val="single" w:sz="2" w:space="0" w:color="auto"/>
              <w:left w:val="single" w:sz="2" w:space="0" w:color="auto"/>
              <w:bottom w:val="single" w:sz="2" w:space="0" w:color="auto"/>
              <w:right w:val="single" w:sz="2" w:space="0" w:color="auto"/>
            </w:tcBorders>
            <w:vAlign w:val="center"/>
          </w:tcPr>
          <w:p w14:paraId="5D432CF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General equipment</w:t>
            </w:r>
          </w:p>
        </w:tc>
        <w:tc>
          <w:tcPr>
            <w:tcW w:w="1606" w:type="dxa"/>
            <w:tcBorders>
              <w:top w:val="single" w:sz="2" w:space="0" w:color="auto"/>
              <w:left w:val="single" w:sz="2" w:space="0" w:color="auto"/>
              <w:bottom w:val="single" w:sz="2" w:space="0" w:color="auto"/>
              <w:right w:val="single" w:sz="2" w:space="0" w:color="auto"/>
            </w:tcBorders>
            <w:vAlign w:val="center"/>
          </w:tcPr>
          <w:p w14:paraId="752101E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Special equipment</w:t>
            </w:r>
          </w:p>
        </w:tc>
        <w:tc>
          <w:tcPr>
            <w:tcW w:w="1606" w:type="dxa"/>
            <w:tcBorders>
              <w:top w:val="single" w:sz="2" w:space="0" w:color="auto"/>
              <w:left w:val="single" w:sz="2" w:space="0" w:color="auto"/>
              <w:bottom w:val="single" w:sz="2" w:space="0" w:color="auto"/>
              <w:right w:val="single" w:sz="2" w:space="0" w:color="auto"/>
            </w:tcBorders>
            <w:vAlign w:val="center"/>
          </w:tcPr>
          <w:p w14:paraId="0E52022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Transport facilities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B28B3A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r>
      <w:tr w:rsidR="00F73301" w:rsidRPr="00F73301" w14:paraId="7A64AB54"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0F4499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 Original Carrying Amount:</w:t>
            </w:r>
          </w:p>
        </w:tc>
        <w:tc>
          <w:tcPr>
            <w:tcW w:w="1606" w:type="dxa"/>
            <w:tcBorders>
              <w:top w:val="single" w:sz="2" w:space="0" w:color="auto"/>
              <w:left w:val="single" w:sz="2" w:space="0" w:color="auto"/>
              <w:bottom w:val="single" w:sz="2" w:space="0" w:color="auto"/>
              <w:right w:val="single" w:sz="2" w:space="0" w:color="auto"/>
            </w:tcBorders>
            <w:vAlign w:val="center"/>
          </w:tcPr>
          <w:p w14:paraId="06B6F494"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3D18E62"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9501D6C"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1856736"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5D57E8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08A3E6C"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30DB9FE"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Opening balance</w:t>
            </w:r>
          </w:p>
        </w:tc>
        <w:tc>
          <w:tcPr>
            <w:tcW w:w="1606" w:type="dxa"/>
            <w:tcBorders>
              <w:top w:val="single" w:sz="2" w:space="0" w:color="auto"/>
              <w:left w:val="single" w:sz="2" w:space="0" w:color="auto"/>
              <w:bottom w:val="single" w:sz="2" w:space="0" w:color="auto"/>
              <w:right w:val="single" w:sz="2" w:space="0" w:color="auto"/>
            </w:tcBorders>
            <w:vAlign w:val="center"/>
          </w:tcPr>
          <w:p w14:paraId="40A4FE2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648,824,044.63</w:t>
            </w:r>
          </w:p>
        </w:tc>
        <w:tc>
          <w:tcPr>
            <w:tcW w:w="1606" w:type="dxa"/>
            <w:tcBorders>
              <w:top w:val="single" w:sz="2" w:space="0" w:color="auto"/>
              <w:left w:val="single" w:sz="2" w:space="0" w:color="auto"/>
              <w:bottom w:val="single" w:sz="2" w:space="0" w:color="auto"/>
              <w:right w:val="single" w:sz="2" w:space="0" w:color="auto"/>
            </w:tcBorders>
            <w:vAlign w:val="center"/>
          </w:tcPr>
          <w:p w14:paraId="14B6A61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40,103,888.46</w:t>
            </w:r>
          </w:p>
        </w:tc>
        <w:tc>
          <w:tcPr>
            <w:tcW w:w="1606" w:type="dxa"/>
            <w:tcBorders>
              <w:top w:val="single" w:sz="2" w:space="0" w:color="auto"/>
              <w:left w:val="single" w:sz="2" w:space="0" w:color="auto"/>
              <w:bottom w:val="single" w:sz="2" w:space="0" w:color="auto"/>
              <w:right w:val="single" w:sz="2" w:space="0" w:color="auto"/>
            </w:tcBorders>
            <w:vAlign w:val="center"/>
          </w:tcPr>
          <w:p w14:paraId="3E0F7AC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3,317,572,138.94</w:t>
            </w:r>
          </w:p>
        </w:tc>
        <w:tc>
          <w:tcPr>
            <w:tcW w:w="1606" w:type="dxa"/>
            <w:tcBorders>
              <w:top w:val="single" w:sz="2" w:space="0" w:color="auto"/>
              <w:left w:val="single" w:sz="2" w:space="0" w:color="auto"/>
              <w:bottom w:val="single" w:sz="2" w:space="0" w:color="auto"/>
              <w:right w:val="single" w:sz="2" w:space="0" w:color="auto"/>
            </w:tcBorders>
            <w:vAlign w:val="center"/>
          </w:tcPr>
          <w:p w14:paraId="72E51E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17,723,098.49</w:t>
            </w:r>
          </w:p>
        </w:tc>
        <w:tc>
          <w:tcPr>
            <w:tcW w:w="1606" w:type="dxa"/>
            <w:tcBorders>
              <w:top w:val="single" w:sz="2" w:space="0" w:color="auto"/>
              <w:left w:val="single" w:sz="2" w:space="0" w:color="auto"/>
              <w:bottom w:val="single" w:sz="2" w:space="0" w:color="auto"/>
              <w:right w:val="single" w:sz="2" w:space="0" w:color="auto"/>
            </w:tcBorders>
            <w:vAlign w:val="center"/>
          </w:tcPr>
          <w:p w14:paraId="5AC6327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4,024,223,170.52</w:t>
            </w:r>
          </w:p>
        </w:tc>
      </w:tr>
      <w:tr w:rsidR="00F73301" w:rsidRPr="00F73301" w14:paraId="62A1CA25"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896424"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Increased amount for the current period</w:t>
            </w:r>
          </w:p>
        </w:tc>
        <w:tc>
          <w:tcPr>
            <w:tcW w:w="1606" w:type="dxa"/>
            <w:tcBorders>
              <w:top w:val="single" w:sz="2" w:space="0" w:color="auto"/>
              <w:left w:val="single" w:sz="2" w:space="0" w:color="auto"/>
              <w:bottom w:val="single" w:sz="2" w:space="0" w:color="auto"/>
              <w:right w:val="single" w:sz="2" w:space="0" w:color="auto"/>
            </w:tcBorders>
            <w:vAlign w:val="center"/>
          </w:tcPr>
          <w:p w14:paraId="7BD387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63,278,434.91</w:t>
            </w:r>
          </w:p>
        </w:tc>
        <w:tc>
          <w:tcPr>
            <w:tcW w:w="1606" w:type="dxa"/>
            <w:tcBorders>
              <w:top w:val="single" w:sz="2" w:space="0" w:color="auto"/>
              <w:left w:val="single" w:sz="2" w:space="0" w:color="auto"/>
              <w:bottom w:val="single" w:sz="2" w:space="0" w:color="auto"/>
              <w:right w:val="single" w:sz="2" w:space="0" w:color="auto"/>
            </w:tcBorders>
            <w:vAlign w:val="center"/>
          </w:tcPr>
          <w:p w14:paraId="7D08F1E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2,524,807.20</w:t>
            </w:r>
          </w:p>
        </w:tc>
        <w:tc>
          <w:tcPr>
            <w:tcW w:w="1606" w:type="dxa"/>
            <w:tcBorders>
              <w:top w:val="single" w:sz="2" w:space="0" w:color="auto"/>
              <w:left w:val="single" w:sz="2" w:space="0" w:color="auto"/>
              <w:bottom w:val="single" w:sz="2" w:space="0" w:color="auto"/>
              <w:right w:val="single" w:sz="2" w:space="0" w:color="auto"/>
            </w:tcBorders>
            <w:vAlign w:val="center"/>
          </w:tcPr>
          <w:p w14:paraId="5B3527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689,919,639.63</w:t>
            </w:r>
          </w:p>
        </w:tc>
        <w:tc>
          <w:tcPr>
            <w:tcW w:w="1606" w:type="dxa"/>
            <w:tcBorders>
              <w:top w:val="single" w:sz="2" w:space="0" w:color="auto"/>
              <w:left w:val="single" w:sz="2" w:space="0" w:color="auto"/>
              <w:bottom w:val="single" w:sz="2" w:space="0" w:color="auto"/>
              <w:right w:val="single" w:sz="2" w:space="0" w:color="auto"/>
            </w:tcBorders>
            <w:vAlign w:val="center"/>
          </w:tcPr>
          <w:p w14:paraId="2128DCF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4,982,345.44</w:t>
            </w:r>
          </w:p>
        </w:tc>
        <w:tc>
          <w:tcPr>
            <w:tcW w:w="1606" w:type="dxa"/>
            <w:tcBorders>
              <w:top w:val="single" w:sz="2" w:space="0" w:color="auto"/>
              <w:left w:val="single" w:sz="2" w:space="0" w:color="auto"/>
              <w:bottom w:val="single" w:sz="2" w:space="0" w:color="auto"/>
              <w:right w:val="single" w:sz="2" w:space="0" w:color="auto"/>
            </w:tcBorders>
            <w:vAlign w:val="center"/>
          </w:tcPr>
          <w:p w14:paraId="37B2D4F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760,705,227.18</w:t>
            </w:r>
          </w:p>
        </w:tc>
      </w:tr>
      <w:tr w:rsidR="00F73301" w:rsidRPr="00F73301" w14:paraId="6670453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3D4DE48"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Purchase</w:t>
            </w:r>
          </w:p>
        </w:tc>
        <w:tc>
          <w:tcPr>
            <w:tcW w:w="1606" w:type="dxa"/>
            <w:tcBorders>
              <w:top w:val="single" w:sz="2" w:space="0" w:color="auto"/>
              <w:left w:val="single" w:sz="2" w:space="0" w:color="auto"/>
              <w:bottom w:val="single" w:sz="2" w:space="0" w:color="auto"/>
              <w:right w:val="single" w:sz="2" w:space="0" w:color="auto"/>
            </w:tcBorders>
            <w:vAlign w:val="center"/>
          </w:tcPr>
          <w:p w14:paraId="48605F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7,326,508.27</w:t>
            </w:r>
          </w:p>
        </w:tc>
        <w:tc>
          <w:tcPr>
            <w:tcW w:w="1606" w:type="dxa"/>
            <w:tcBorders>
              <w:top w:val="single" w:sz="2" w:space="0" w:color="auto"/>
              <w:left w:val="single" w:sz="2" w:space="0" w:color="auto"/>
              <w:bottom w:val="single" w:sz="2" w:space="0" w:color="auto"/>
              <w:right w:val="single" w:sz="2" w:space="0" w:color="auto"/>
            </w:tcBorders>
            <w:vAlign w:val="center"/>
          </w:tcPr>
          <w:p w14:paraId="342E28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691,978.29</w:t>
            </w:r>
          </w:p>
        </w:tc>
        <w:tc>
          <w:tcPr>
            <w:tcW w:w="1606" w:type="dxa"/>
            <w:tcBorders>
              <w:top w:val="single" w:sz="2" w:space="0" w:color="auto"/>
              <w:left w:val="single" w:sz="2" w:space="0" w:color="auto"/>
              <w:bottom w:val="single" w:sz="2" w:space="0" w:color="auto"/>
              <w:right w:val="single" w:sz="2" w:space="0" w:color="auto"/>
            </w:tcBorders>
            <w:vAlign w:val="center"/>
          </w:tcPr>
          <w:p w14:paraId="69E46E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30,992,818.09</w:t>
            </w:r>
          </w:p>
        </w:tc>
        <w:tc>
          <w:tcPr>
            <w:tcW w:w="1606" w:type="dxa"/>
            <w:tcBorders>
              <w:top w:val="single" w:sz="2" w:space="0" w:color="auto"/>
              <w:left w:val="single" w:sz="2" w:space="0" w:color="auto"/>
              <w:bottom w:val="single" w:sz="2" w:space="0" w:color="auto"/>
              <w:right w:val="single" w:sz="2" w:space="0" w:color="auto"/>
            </w:tcBorders>
            <w:vAlign w:val="center"/>
          </w:tcPr>
          <w:p w14:paraId="7B61A8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2,951,595.57</w:t>
            </w:r>
          </w:p>
        </w:tc>
        <w:tc>
          <w:tcPr>
            <w:tcW w:w="1606" w:type="dxa"/>
            <w:tcBorders>
              <w:top w:val="single" w:sz="2" w:space="0" w:color="auto"/>
              <w:left w:val="single" w:sz="2" w:space="0" w:color="auto"/>
              <w:bottom w:val="single" w:sz="2" w:space="0" w:color="auto"/>
              <w:right w:val="single" w:sz="2" w:space="0" w:color="auto"/>
            </w:tcBorders>
            <w:vAlign w:val="center"/>
          </w:tcPr>
          <w:p w14:paraId="6C8FDF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41,962,900.22</w:t>
            </w:r>
          </w:p>
        </w:tc>
      </w:tr>
      <w:tr w:rsidR="00F73301" w:rsidRPr="00F73301" w14:paraId="6D054231"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C1C206D"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(2) Transfer from construction in progress</w:t>
            </w:r>
          </w:p>
        </w:tc>
        <w:tc>
          <w:tcPr>
            <w:tcW w:w="1606" w:type="dxa"/>
            <w:tcBorders>
              <w:top w:val="single" w:sz="2" w:space="0" w:color="auto"/>
              <w:left w:val="single" w:sz="2" w:space="0" w:color="auto"/>
              <w:bottom w:val="single" w:sz="2" w:space="0" w:color="auto"/>
              <w:right w:val="single" w:sz="2" w:space="0" w:color="auto"/>
            </w:tcBorders>
            <w:vAlign w:val="center"/>
          </w:tcPr>
          <w:p w14:paraId="5E14E0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54,974,654.54</w:t>
            </w:r>
          </w:p>
        </w:tc>
        <w:tc>
          <w:tcPr>
            <w:tcW w:w="1606" w:type="dxa"/>
            <w:tcBorders>
              <w:top w:val="single" w:sz="2" w:space="0" w:color="auto"/>
              <w:left w:val="single" w:sz="2" w:space="0" w:color="auto"/>
              <w:bottom w:val="single" w:sz="2" w:space="0" w:color="auto"/>
              <w:right w:val="single" w:sz="2" w:space="0" w:color="auto"/>
            </w:tcBorders>
            <w:vAlign w:val="center"/>
          </w:tcPr>
          <w:p w14:paraId="61F3502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607,419.88</w:t>
            </w:r>
          </w:p>
        </w:tc>
        <w:tc>
          <w:tcPr>
            <w:tcW w:w="1606" w:type="dxa"/>
            <w:tcBorders>
              <w:top w:val="single" w:sz="2" w:space="0" w:color="auto"/>
              <w:left w:val="single" w:sz="2" w:space="0" w:color="auto"/>
              <w:bottom w:val="single" w:sz="2" w:space="0" w:color="auto"/>
              <w:right w:val="single" w:sz="2" w:space="0" w:color="auto"/>
            </w:tcBorders>
            <w:vAlign w:val="center"/>
          </w:tcPr>
          <w:p w14:paraId="4E56C0B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117,102,335.35</w:t>
            </w:r>
          </w:p>
        </w:tc>
        <w:tc>
          <w:tcPr>
            <w:tcW w:w="1606" w:type="dxa"/>
            <w:tcBorders>
              <w:top w:val="single" w:sz="2" w:space="0" w:color="auto"/>
              <w:left w:val="single" w:sz="2" w:space="0" w:color="auto"/>
              <w:bottom w:val="single" w:sz="2" w:space="0" w:color="auto"/>
              <w:right w:val="single" w:sz="2" w:space="0" w:color="auto"/>
            </w:tcBorders>
            <w:vAlign w:val="center"/>
          </w:tcPr>
          <w:p w14:paraId="712CBA9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1,410,984.23</w:t>
            </w:r>
          </w:p>
        </w:tc>
        <w:tc>
          <w:tcPr>
            <w:tcW w:w="1606" w:type="dxa"/>
            <w:tcBorders>
              <w:top w:val="single" w:sz="2" w:space="0" w:color="auto"/>
              <w:left w:val="single" w:sz="2" w:space="0" w:color="auto"/>
              <w:bottom w:val="single" w:sz="2" w:space="0" w:color="auto"/>
              <w:right w:val="single" w:sz="2" w:space="0" w:color="auto"/>
            </w:tcBorders>
            <w:vAlign w:val="center"/>
          </w:tcPr>
          <w:p w14:paraId="5BFF524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174,095,394.00</w:t>
            </w:r>
          </w:p>
        </w:tc>
      </w:tr>
      <w:tr w:rsidR="00F73301" w:rsidRPr="00F73301" w14:paraId="749537BB"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DC9330E"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(3) Increase from business combination</w:t>
            </w:r>
          </w:p>
        </w:tc>
        <w:tc>
          <w:tcPr>
            <w:tcW w:w="1606" w:type="dxa"/>
            <w:tcBorders>
              <w:top w:val="single" w:sz="2" w:space="0" w:color="auto"/>
              <w:left w:val="single" w:sz="2" w:space="0" w:color="auto"/>
              <w:bottom w:val="single" w:sz="2" w:space="0" w:color="auto"/>
              <w:right w:val="single" w:sz="2" w:space="0" w:color="auto"/>
            </w:tcBorders>
            <w:vAlign w:val="center"/>
          </w:tcPr>
          <w:p w14:paraId="2AB8979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977,272.10</w:t>
            </w:r>
          </w:p>
        </w:tc>
        <w:tc>
          <w:tcPr>
            <w:tcW w:w="1606" w:type="dxa"/>
            <w:tcBorders>
              <w:top w:val="single" w:sz="2" w:space="0" w:color="auto"/>
              <w:left w:val="single" w:sz="2" w:space="0" w:color="auto"/>
              <w:bottom w:val="single" w:sz="2" w:space="0" w:color="auto"/>
              <w:right w:val="single" w:sz="2" w:space="0" w:color="auto"/>
            </w:tcBorders>
            <w:vAlign w:val="center"/>
          </w:tcPr>
          <w:p w14:paraId="069C97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1,213,978.76</w:t>
            </w:r>
          </w:p>
        </w:tc>
        <w:tc>
          <w:tcPr>
            <w:tcW w:w="1606" w:type="dxa"/>
            <w:tcBorders>
              <w:top w:val="single" w:sz="2" w:space="0" w:color="auto"/>
              <w:left w:val="single" w:sz="2" w:space="0" w:color="auto"/>
              <w:bottom w:val="single" w:sz="2" w:space="0" w:color="auto"/>
              <w:right w:val="single" w:sz="2" w:space="0" w:color="auto"/>
            </w:tcBorders>
            <w:vAlign w:val="center"/>
          </w:tcPr>
          <w:p w14:paraId="4071ED8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541,748,666.59</w:t>
            </w:r>
          </w:p>
        </w:tc>
        <w:tc>
          <w:tcPr>
            <w:tcW w:w="1606" w:type="dxa"/>
            <w:tcBorders>
              <w:top w:val="single" w:sz="2" w:space="0" w:color="auto"/>
              <w:left w:val="single" w:sz="2" w:space="0" w:color="auto"/>
              <w:bottom w:val="single" w:sz="2" w:space="0" w:color="auto"/>
              <w:right w:val="single" w:sz="2" w:space="0" w:color="auto"/>
            </w:tcBorders>
            <w:vAlign w:val="center"/>
          </w:tcPr>
          <w:p w14:paraId="6DB23F6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619,765.64</w:t>
            </w:r>
          </w:p>
        </w:tc>
        <w:tc>
          <w:tcPr>
            <w:tcW w:w="1606" w:type="dxa"/>
            <w:tcBorders>
              <w:top w:val="single" w:sz="2" w:space="0" w:color="auto"/>
              <w:left w:val="single" w:sz="2" w:space="0" w:color="auto"/>
              <w:bottom w:val="single" w:sz="2" w:space="0" w:color="auto"/>
              <w:right w:val="single" w:sz="2" w:space="0" w:color="auto"/>
            </w:tcBorders>
            <w:vAlign w:val="center"/>
          </w:tcPr>
          <w:p w14:paraId="6A37AA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544,559,683.09</w:t>
            </w:r>
          </w:p>
        </w:tc>
      </w:tr>
      <w:tr w:rsidR="00F73301" w:rsidRPr="00F73301" w14:paraId="15485917"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1B88007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(4) Impact of exchange rate changes</w:t>
            </w:r>
          </w:p>
        </w:tc>
        <w:tc>
          <w:tcPr>
            <w:tcW w:w="1606" w:type="dxa"/>
            <w:tcBorders>
              <w:top w:val="single" w:sz="2" w:space="0" w:color="auto"/>
              <w:left w:val="single" w:sz="2" w:space="0" w:color="auto"/>
              <w:bottom w:val="single" w:sz="2" w:space="0" w:color="auto"/>
              <w:right w:val="single" w:sz="2" w:space="0" w:color="auto"/>
            </w:tcBorders>
            <w:vAlign w:val="center"/>
          </w:tcPr>
          <w:p w14:paraId="4B868EB3"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41D4F1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11,430.27</w:t>
            </w:r>
          </w:p>
        </w:tc>
        <w:tc>
          <w:tcPr>
            <w:tcW w:w="1606" w:type="dxa"/>
            <w:tcBorders>
              <w:top w:val="single" w:sz="2" w:space="0" w:color="auto"/>
              <w:left w:val="single" w:sz="2" w:space="0" w:color="auto"/>
              <w:bottom w:val="single" w:sz="2" w:space="0" w:color="auto"/>
              <w:right w:val="single" w:sz="2" w:space="0" w:color="auto"/>
            </w:tcBorders>
            <w:vAlign w:val="center"/>
          </w:tcPr>
          <w:p w14:paraId="736F9B3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75,819.60</w:t>
            </w:r>
          </w:p>
        </w:tc>
        <w:tc>
          <w:tcPr>
            <w:tcW w:w="1606" w:type="dxa"/>
            <w:tcBorders>
              <w:top w:val="single" w:sz="2" w:space="0" w:color="auto"/>
              <w:left w:val="single" w:sz="2" w:space="0" w:color="auto"/>
              <w:bottom w:val="single" w:sz="2" w:space="0" w:color="auto"/>
              <w:right w:val="single" w:sz="2" w:space="0" w:color="auto"/>
            </w:tcBorders>
            <w:vAlign w:val="center"/>
          </w:tcPr>
          <w:p w14:paraId="1BA35F5C"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58E0A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87,249.87</w:t>
            </w:r>
          </w:p>
        </w:tc>
      </w:tr>
      <w:tr w:rsidR="00F73301" w:rsidRPr="00F73301" w14:paraId="5F7A71EE"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38E7E48"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3. Decreased amount for the current period</w:t>
            </w:r>
          </w:p>
        </w:tc>
        <w:tc>
          <w:tcPr>
            <w:tcW w:w="1606" w:type="dxa"/>
            <w:tcBorders>
              <w:top w:val="single" w:sz="2" w:space="0" w:color="auto"/>
              <w:left w:val="single" w:sz="2" w:space="0" w:color="auto"/>
              <w:bottom w:val="single" w:sz="2" w:space="0" w:color="auto"/>
              <w:right w:val="single" w:sz="2" w:space="0" w:color="auto"/>
            </w:tcBorders>
            <w:vAlign w:val="center"/>
          </w:tcPr>
          <w:p w14:paraId="5C8F491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6,733.57</w:t>
            </w:r>
          </w:p>
        </w:tc>
        <w:tc>
          <w:tcPr>
            <w:tcW w:w="1606" w:type="dxa"/>
            <w:tcBorders>
              <w:top w:val="single" w:sz="2" w:space="0" w:color="auto"/>
              <w:left w:val="single" w:sz="2" w:space="0" w:color="auto"/>
              <w:bottom w:val="single" w:sz="2" w:space="0" w:color="auto"/>
              <w:right w:val="single" w:sz="2" w:space="0" w:color="auto"/>
            </w:tcBorders>
            <w:vAlign w:val="center"/>
          </w:tcPr>
          <w:p w14:paraId="7FF4461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549,295.95</w:t>
            </w:r>
          </w:p>
        </w:tc>
        <w:tc>
          <w:tcPr>
            <w:tcW w:w="1606" w:type="dxa"/>
            <w:tcBorders>
              <w:top w:val="single" w:sz="2" w:space="0" w:color="auto"/>
              <w:left w:val="single" w:sz="2" w:space="0" w:color="auto"/>
              <w:bottom w:val="single" w:sz="2" w:space="0" w:color="auto"/>
              <w:right w:val="single" w:sz="2" w:space="0" w:color="auto"/>
            </w:tcBorders>
            <w:vAlign w:val="center"/>
          </w:tcPr>
          <w:p w14:paraId="593173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12,339,023.12</w:t>
            </w:r>
          </w:p>
        </w:tc>
        <w:tc>
          <w:tcPr>
            <w:tcW w:w="1606" w:type="dxa"/>
            <w:tcBorders>
              <w:top w:val="single" w:sz="2" w:space="0" w:color="auto"/>
              <w:left w:val="single" w:sz="2" w:space="0" w:color="auto"/>
              <w:bottom w:val="single" w:sz="2" w:space="0" w:color="auto"/>
              <w:right w:val="single" w:sz="2" w:space="0" w:color="auto"/>
            </w:tcBorders>
            <w:vAlign w:val="center"/>
          </w:tcPr>
          <w:p w14:paraId="5918FCB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3,398,406.43</w:t>
            </w:r>
          </w:p>
        </w:tc>
        <w:tc>
          <w:tcPr>
            <w:tcW w:w="1606" w:type="dxa"/>
            <w:tcBorders>
              <w:top w:val="single" w:sz="2" w:space="0" w:color="auto"/>
              <w:left w:val="single" w:sz="2" w:space="0" w:color="auto"/>
              <w:bottom w:val="single" w:sz="2" w:space="0" w:color="auto"/>
              <w:right w:val="single" w:sz="2" w:space="0" w:color="auto"/>
            </w:tcBorders>
            <w:vAlign w:val="center"/>
          </w:tcPr>
          <w:p w14:paraId="2EA3DD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16,293,459.07</w:t>
            </w:r>
          </w:p>
        </w:tc>
      </w:tr>
      <w:tr w:rsidR="00F73301" w:rsidRPr="00F73301" w14:paraId="6E759CD5"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771AEBE"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Disposal or scrap</w:t>
            </w:r>
          </w:p>
        </w:tc>
        <w:tc>
          <w:tcPr>
            <w:tcW w:w="1606" w:type="dxa"/>
            <w:tcBorders>
              <w:top w:val="single" w:sz="2" w:space="0" w:color="auto"/>
              <w:left w:val="single" w:sz="2" w:space="0" w:color="auto"/>
              <w:bottom w:val="single" w:sz="2" w:space="0" w:color="auto"/>
              <w:right w:val="single" w:sz="2" w:space="0" w:color="auto"/>
            </w:tcBorders>
            <w:vAlign w:val="center"/>
          </w:tcPr>
          <w:p w14:paraId="5F49B5D1"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9D10A7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549,295.95</w:t>
            </w:r>
          </w:p>
        </w:tc>
        <w:tc>
          <w:tcPr>
            <w:tcW w:w="1606" w:type="dxa"/>
            <w:tcBorders>
              <w:top w:val="single" w:sz="2" w:space="0" w:color="auto"/>
              <w:left w:val="single" w:sz="2" w:space="0" w:color="auto"/>
              <w:bottom w:val="single" w:sz="2" w:space="0" w:color="auto"/>
              <w:right w:val="single" w:sz="2" w:space="0" w:color="auto"/>
            </w:tcBorders>
            <w:vAlign w:val="center"/>
          </w:tcPr>
          <w:p w14:paraId="538A39A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12,339,023.12</w:t>
            </w:r>
          </w:p>
        </w:tc>
        <w:tc>
          <w:tcPr>
            <w:tcW w:w="1606" w:type="dxa"/>
            <w:tcBorders>
              <w:top w:val="single" w:sz="2" w:space="0" w:color="auto"/>
              <w:left w:val="single" w:sz="2" w:space="0" w:color="auto"/>
              <w:bottom w:val="single" w:sz="2" w:space="0" w:color="auto"/>
              <w:right w:val="single" w:sz="2" w:space="0" w:color="auto"/>
            </w:tcBorders>
            <w:vAlign w:val="center"/>
          </w:tcPr>
          <w:p w14:paraId="78D2F37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3,398,406.43</w:t>
            </w:r>
          </w:p>
        </w:tc>
        <w:tc>
          <w:tcPr>
            <w:tcW w:w="1606" w:type="dxa"/>
            <w:tcBorders>
              <w:top w:val="single" w:sz="2" w:space="0" w:color="auto"/>
              <w:left w:val="single" w:sz="2" w:space="0" w:color="auto"/>
              <w:bottom w:val="single" w:sz="2" w:space="0" w:color="auto"/>
              <w:right w:val="single" w:sz="2" w:space="0" w:color="auto"/>
            </w:tcBorders>
            <w:vAlign w:val="center"/>
          </w:tcPr>
          <w:p w14:paraId="4FD30BB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16,286,725.50</w:t>
            </w:r>
          </w:p>
        </w:tc>
      </w:tr>
      <w:tr w:rsidR="00F73301" w:rsidRPr="00F73301" w14:paraId="6D44A721"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310E956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 Impact of exchange rate changes</w:t>
            </w:r>
          </w:p>
        </w:tc>
        <w:tc>
          <w:tcPr>
            <w:tcW w:w="1606" w:type="dxa"/>
            <w:tcBorders>
              <w:top w:val="single" w:sz="2" w:space="0" w:color="auto"/>
              <w:left w:val="single" w:sz="2" w:space="0" w:color="auto"/>
              <w:bottom w:val="single" w:sz="2" w:space="0" w:color="auto"/>
              <w:right w:val="single" w:sz="2" w:space="0" w:color="auto"/>
            </w:tcBorders>
            <w:vAlign w:val="center"/>
          </w:tcPr>
          <w:p w14:paraId="1786A4B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6,733.57</w:t>
            </w:r>
          </w:p>
        </w:tc>
        <w:tc>
          <w:tcPr>
            <w:tcW w:w="1606" w:type="dxa"/>
            <w:tcBorders>
              <w:top w:val="single" w:sz="2" w:space="0" w:color="auto"/>
              <w:left w:val="single" w:sz="2" w:space="0" w:color="auto"/>
              <w:bottom w:val="single" w:sz="2" w:space="0" w:color="auto"/>
              <w:right w:val="single" w:sz="2" w:space="0" w:color="auto"/>
            </w:tcBorders>
            <w:vAlign w:val="center"/>
          </w:tcPr>
          <w:p w14:paraId="236952C7"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A99576A"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7BB3D0D"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521D0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6,733.57</w:t>
            </w:r>
          </w:p>
        </w:tc>
      </w:tr>
      <w:tr w:rsidR="00F73301" w:rsidRPr="00F73301" w14:paraId="69B19289"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DCC812A"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4. Closing balance</w:t>
            </w:r>
          </w:p>
        </w:tc>
        <w:tc>
          <w:tcPr>
            <w:tcW w:w="1606" w:type="dxa"/>
            <w:tcBorders>
              <w:top w:val="single" w:sz="2" w:space="0" w:color="auto"/>
              <w:left w:val="single" w:sz="2" w:space="0" w:color="auto"/>
              <w:bottom w:val="single" w:sz="2" w:space="0" w:color="auto"/>
              <w:right w:val="single" w:sz="2" w:space="0" w:color="auto"/>
            </w:tcBorders>
            <w:vAlign w:val="center"/>
          </w:tcPr>
          <w:p w14:paraId="298422E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712,095,745.97</w:t>
            </w:r>
          </w:p>
        </w:tc>
        <w:tc>
          <w:tcPr>
            <w:tcW w:w="1606" w:type="dxa"/>
            <w:tcBorders>
              <w:top w:val="single" w:sz="2" w:space="0" w:color="auto"/>
              <w:left w:val="single" w:sz="2" w:space="0" w:color="auto"/>
              <w:bottom w:val="single" w:sz="2" w:space="0" w:color="auto"/>
              <w:right w:val="single" w:sz="2" w:space="0" w:color="auto"/>
            </w:tcBorders>
            <w:vAlign w:val="center"/>
          </w:tcPr>
          <w:p w14:paraId="4D3C52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42,079,399.71</w:t>
            </w:r>
          </w:p>
        </w:tc>
        <w:tc>
          <w:tcPr>
            <w:tcW w:w="1606" w:type="dxa"/>
            <w:tcBorders>
              <w:top w:val="single" w:sz="2" w:space="0" w:color="auto"/>
              <w:left w:val="single" w:sz="2" w:space="0" w:color="auto"/>
              <w:bottom w:val="single" w:sz="2" w:space="0" w:color="auto"/>
              <w:right w:val="single" w:sz="2" w:space="0" w:color="auto"/>
            </w:tcBorders>
            <w:vAlign w:val="center"/>
          </w:tcPr>
          <w:p w14:paraId="1E29B3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3,995,152,755.45</w:t>
            </w:r>
          </w:p>
        </w:tc>
        <w:tc>
          <w:tcPr>
            <w:tcW w:w="1606" w:type="dxa"/>
            <w:tcBorders>
              <w:top w:val="single" w:sz="2" w:space="0" w:color="auto"/>
              <w:left w:val="single" w:sz="2" w:space="0" w:color="auto"/>
              <w:bottom w:val="single" w:sz="2" w:space="0" w:color="auto"/>
              <w:right w:val="single" w:sz="2" w:space="0" w:color="auto"/>
            </w:tcBorders>
            <w:vAlign w:val="center"/>
          </w:tcPr>
          <w:p w14:paraId="40D770C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19,307,037.50</w:t>
            </w:r>
          </w:p>
        </w:tc>
        <w:tc>
          <w:tcPr>
            <w:tcW w:w="1606" w:type="dxa"/>
            <w:tcBorders>
              <w:top w:val="single" w:sz="2" w:space="0" w:color="auto"/>
              <w:left w:val="single" w:sz="2" w:space="0" w:color="auto"/>
              <w:bottom w:val="single" w:sz="2" w:space="0" w:color="auto"/>
              <w:right w:val="single" w:sz="2" w:space="0" w:color="auto"/>
            </w:tcBorders>
            <w:vAlign w:val="center"/>
          </w:tcPr>
          <w:p w14:paraId="240EDFE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4,768,634,938.63</w:t>
            </w:r>
          </w:p>
        </w:tc>
      </w:tr>
      <w:tr w:rsidR="00F73301" w:rsidRPr="00F73301" w14:paraId="4B89139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C4F933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Accumulated Depreciation</w:t>
            </w:r>
          </w:p>
        </w:tc>
        <w:tc>
          <w:tcPr>
            <w:tcW w:w="1606" w:type="dxa"/>
            <w:tcBorders>
              <w:top w:val="single" w:sz="2" w:space="0" w:color="auto"/>
              <w:left w:val="single" w:sz="2" w:space="0" w:color="auto"/>
              <w:bottom w:val="single" w:sz="2" w:space="0" w:color="auto"/>
              <w:right w:val="single" w:sz="2" w:space="0" w:color="auto"/>
            </w:tcBorders>
            <w:vAlign w:val="center"/>
          </w:tcPr>
          <w:p w14:paraId="73D0ACED"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7870685"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211F110"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559B700"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DCE39B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508368C"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4C1448C"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Opening balance</w:t>
            </w:r>
          </w:p>
        </w:tc>
        <w:tc>
          <w:tcPr>
            <w:tcW w:w="1606" w:type="dxa"/>
            <w:tcBorders>
              <w:top w:val="single" w:sz="2" w:space="0" w:color="auto"/>
              <w:left w:val="single" w:sz="2" w:space="0" w:color="auto"/>
              <w:bottom w:val="single" w:sz="2" w:space="0" w:color="auto"/>
              <w:right w:val="single" w:sz="2" w:space="0" w:color="auto"/>
            </w:tcBorders>
            <w:vAlign w:val="center"/>
          </w:tcPr>
          <w:p w14:paraId="656F8D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121,745,370.88</w:t>
            </w:r>
          </w:p>
        </w:tc>
        <w:tc>
          <w:tcPr>
            <w:tcW w:w="1606" w:type="dxa"/>
            <w:tcBorders>
              <w:top w:val="single" w:sz="2" w:space="0" w:color="auto"/>
              <w:left w:val="single" w:sz="2" w:space="0" w:color="auto"/>
              <w:bottom w:val="single" w:sz="2" w:space="0" w:color="auto"/>
              <w:right w:val="single" w:sz="2" w:space="0" w:color="auto"/>
            </w:tcBorders>
            <w:vAlign w:val="center"/>
          </w:tcPr>
          <w:p w14:paraId="0399C4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22,706,937.79</w:t>
            </w:r>
          </w:p>
        </w:tc>
        <w:tc>
          <w:tcPr>
            <w:tcW w:w="1606" w:type="dxa"/>
            <w:tcBorders>
              <w:top w:val="single" w:sz="2" w:space="0" w:color="auto"/>
              <w:left w:val="single" w:sz="2" w:space="0" w:color="auto"/>
              <w:bottom w:val="single" w:sz="2" w:space="0" w:color="auto"/>
              <w:right w:val="single" w:sz="2" w:space="0" w:color="auto"/>
            </w:tcBorders>
            <w:vAlign w:val="center"/>
          </w:tcPr>
          <w:p w14:paraId="3D0755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951,406,940.97</w:t>
            </w:r>
          </w:p>
        </w:tc>
        <w:tc>
          <w:tcPr>
            <w:tcW w:w="1606" w:type="dxa"/>
            <w:tcBorders>
              <w:top w:val="single" w:sz="2" w:space="0" w:color="auto"/>
              <w:left w:val="single" w:sz="2" w:space="0" w:color="auto"/>
              <w:bottom w:val="single" w:sz="2" w:space="0" w:color="auto"/>
              <w:right w:val="single" w:sz="2" w:space="0" w:color="auto"/>
            </w:tcBorders>
            <w:vAlign w:val="center"/>
          </w:tcPr>
          <w:p w14:paraId="5D5C6C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10,788,255.81</w:t>
            </w:r>
          </w:p>
        </w:tc>
        <w:tc>
          <w:tcPr>
            <w:tcW w:w="1606" w:type="dxa"/>
            <w:tcBorders>
              <w:top w:val="single" w:sz="2" w:space="0" w:color="auto"/>
              <w:left w:val="single" w:sz="2" w:space="0" w:color="auto"/>
              <w:bottom w:val="single" w:sz="2" w:space="0" w:color="auto"/>
              <w:right w:val="single" w:sz="2" w:space="0" w:color="auto"/>
            </w:tcBorders>
            <w:vAlign w:val="center"/>
          </w:tcPr>
          <w:p w14:paraId="3DBA74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1,106,647,505.45</w:t>
            </w:r>
          </w:p>
        </w:tc>
      </w:tr>
      <w:tr w:rsidR="00F73301" w:rsidRPr="00F73301" w14:paraId="30EFCCFA"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7215BEC"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Increased amount for the current period</w:t>
            </w:r>
          </w:p>
        </w:tc>
        <w:tc>
          <w:tcPr>
            <w:tcW w:w="1606" w:type="dxa"/>
            <w:tcBorders>
              <w:top w:val="single" w:sz="2" w:space="0" w:color="auto"/>
              <w:left w:val="single" w:sz="2" w:space="0" w:color="auto"/>
              <w:bottom w:val="single" w:sz="2" w:space="0" w:color="auto"/>
              <w:right w:val="single" w:sz="2" w:space="0" w:color="auto"/>
            </w:tcBorders>
            <w:vAlign w:val="center"/>
          </w:tcPr>
          <w:p w14:paraId="75D036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18,343,700.16</w:t>
            </w:r>
          </w:p>
        </w:tc>
        <w:tc>
          <w:tcPr>
            <w:tcW w:w="1606" w:type="dxa"/>
            <w:tcBorders>
              <w:top w:val="single" w:sz="2" w:space="0" w:color="auto"/>
              <w:left w:val="single" w:sz="2" w:space="0" w:color="auto"/>
              <w:bottom w:val="single" w:sz="2" w:space="0" w:color="auto"/>
              <w:right w:val="single" w:sz="2" w:space="0" w:color="auto"/>
            </w:tcBorders>
            <w:vAlign w:val="center"/>
          </w:tcPr>
          <w:p w14:paraId="4FB503A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4,630,205.35</w:t>
            </w:r>
          </w:p>
        </w:tc>
        <w:tc>
          <w:tcPr>
            <w:tcW w:w="1606" w:type="dxa"/>
            <w:tcBorders>
              <w:top w:val="single" w:sz="2" w:space="0" w:color="auto"/>
              <w:left w:val="single" w:sz="2" w:space="0" w:color="auto"/>
              <w:bottom w:val="single" w:sz="2" w:space="0" w:color="auto"/>
              <w:right w:val="single" w:sz="2" w:space="0" w:color="auto"/>
            </w:tcBorders>
            <w:vAlign w:val="center"/>
          </w:tcPr>
          <w:p w14:paraId="6E5A138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333,414,756.88</w:t>
            </w:r>
          </w:p>
        </w:tc>
        <w:tc>
          <w:tcPr>
            <w:tcW w:w="1606" w:type="dxa"/>
            <w:tcBorders>
              <w:top w:val="single" w:sz="2" w:space="0" w:color="auto"/>
              <w:left w:val="single" w:sz="2" w:space="0" w:color="auto"/>
              <w:bottom w:val="single" w:sz="2" w:space="0" w:color="auto"/>
              <w:right w:val="single" w:sz="2" w:space="0" w:color="auto"/>
            </w:tcBorders>
            <w:vAlign w:val="center"/>
          </w:tcPr>
          <w:p w14:paraId="10AC178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1,356,774.89</w:t>
            </w:r>
          </w:p>
        </w:tc>
        <w:tc>
          <w:tcPr>
            <w:tcW w:w="1606" w:type="dxa"/>
            <w:tcBorders>
              <w:top w:val="single" w:sz="2" w:space="0" w:color="auto"/>
              <w:left w:val="single" w:sz="2" w:space="0" w:color="auto"/>
              <w:bottom w:val="single" w:sz="2" w:space="0" w:color="auto"/>
              <w:right w:val="single" w:sz="2" w:space="0" w:color="auto"/>
            </w:tcBorders>
            <w:vAlign w:val="center"/>
          </w:tcPr>
          <w:p w14:paraId="350F8F0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357,745,437.28</w:t>
            </w:r>
          </w:p>
        </w:tc>
      </w:tr>
      <w:tr w:rsidR="00F73301" w:rsidRPr="00F73301" w14:paraId="2DAE3D75"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A9751D5"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Accrual</w:t>
            </w:r>
          </w:p>
        </w:tc>
        <w:tc>
          <w:tcPr>
            <w:tcW w:w="1606" w:type="dxa"/>
            <w:tcBorders>
              <w:top w:val="single" w:sz="2" w:space="0" w:color="auto"/>
              <w:left w:val="single" w:sz="2" w:space="0" w:color="auto"/>
              <w:bottom w:val="single" w:sz="2" w:space="0" w:color="auto"/>
              <w:right w:val="single" w:sz="2" w:space="0" w:color="auto"/>
            </w:tcBorders>
            <w:vAlign w:val="center"/>
          </w:tcPr>
          <w:p w14:paraId="1A2B4F5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18,266,332.79</w:t>
            </w:r>
          </w:p>
        </w:tc>
        <w:tc>
          <w:tcPr>
            <w:tcW w:w="1606" w:type="dxa"/>
            <w:tcBorders>
              <w:top w:val="single" w:sz="2" w:space="0" w:color="auto"/>
              <w:left w:val="single" w:sz="2" w:space="0" w:color="auto"/>
              <w:bottom w:val="single" w:sz="2" w:space="0" w:color="auto"/>
              <w:right w:val="single" w:sz="2" w:space="0" w:color="auto"/>
            </w:tcBorders>
            <w:vAlign w:val="center"/>
          </w:tcPr>
          <w:p w14:paraId="0A908D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3,284,049.07</w:t>
            </w:r>
          </w:p>
        </w:tc>
        <w:tc>
          <w:tcPr>
            <w:tcW w:w="1606" w:type="dxa"/>
            <w:tcBorders>
              <w:top w:val="single" w:sz="2" w:space="0" w:color="auto"/>
              <w:left w:val="single" w:sz="2" w:space="0" w:color="auto"/>
              <w:bottom w:val="single" w:sz="2" w:space="0" w:color="auto"/>
              <w:right w:val="single" w:sz="2" w:space="0" w:color="auto"/>
            </w:tcBorders>
            <w:vAlign w:val="center"/>
          </w:tcPr>
          <w:p w14:paraId="66993A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218,539,854.52</w:t>
            </w:r>
          </w:p>
        </w:tc>
        <w:tc>
          <w:tcPr>
            <w:tcW w:w="1606" w:type="dxa"/>
            <w:tcBorders>
              <w:top w:val="single" w:sz="2" w:space="0" w:color="auto"/>
              <w:left w:val="single" w:sz="2" w:space="0" w:color="auto"/>
              <w:bottom w:val="single" w:sz="2" w:space="0" w:color="auto"/>
              <w:right w:val="single" w:sz="2" w:space="0" w:color="auto"/>
            </w:tcBorders>
            <w:vAlign w:val="center"/>
          </w:tcPr>
          <w:p w14:paraId="1F5ED59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1,278,992.52</w:t>
            </w:r>
          </w:p>
        </w:tc>
        <w:tc>
          <w:tcPr>
            <w:tcW w:w="1606" w:type="dxa"/>
            <w:tcBorders>
              <w:top w:val="single" w:sz="2" w:space="0" w:color="auto"/>
              <w:left w:val="single" w:sz="2" w:space="0" w:color="auto"/>
              <w:bottom w:val="single" w:sz="2" w:space="0" w:color="auto"/>
              <w:right w:val="single" w:sz="2" w:space="0" w:color="auto"/>
            </w:tcBorders>
            <w:vAlign w:val="center"/>
          </w:tcPr>
          <w:p w14:paraId="143418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241,369,228.90</w:t>
            </w:r>
          </w:p>
        </w:tc>
      </w:tr>
      <w:tr w:rsidR="00F73301" w:rsidRPr="00F73301" w14:paraId="546822D0"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10786BC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(2) Increase from business combination</w:t>
            </w:r>
          </w:p>
        </w:tc>
        <w:tc>
          <w:tcPr>
            <w:tcW w:w="1606" w:type="dxa"/>
            <w:tcBorders>
              <w:top w:val="single" w:sz="2" w:space="0" w:color="auto"/>
              <w:left w:val="single" w:sz="2" w:space="0" w:color="auto"/>
              <w:bottom w:val="single" w:sz="2" w:space="0" w:color="auto"/>
              <w:right w:val="single" w:sz="2" w:space="0" w:color="auto"/>
            </w:tcBorders>
            <w:vAlign w:val="center"/>
          </w:tcPr>
          <w:p w14:paraId="76CC571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77,367.37</w:t>
            </w:r>
          </w:p>
        </w:tc>
        <w:tc>
          <w:tcPr>
            <w:tcW w:w="1606" w:type="dxa"/>
            <w:tcBorders>
              <w:top w:val="single" w:sz="2" w:space="0" w:color="auto"/>
              <w:left w:val="single" w:sz="2" w:space="0" w:color="auto"/>
              <w:bottom w:val="single" w:sz="2" w:space="0" w:color="auto"/>
              <w:right w:val="single" w:sz="2" w:space="0" w:color="auto"/>
            </w:tcBorders>
            <w:vAlign w:val="center"/>
          </w:tcPr>
          <w:p w14:paraId="1835C9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1,346,083.90</w:t>
            </w:r>
          </w:p>
        </w:tc>
        <w:tc>
          <w:tcPr>
            <w:tcW w:w="1606" w:type="dxa"/>
            <w:tcBorders>
              <w:top w:val="single" w:sz="2" w:space="0" w:color="auto"/>
              <w:left w:val="single" w:sz="2" w:space="0" w:color="auto"/>
              <w:bottom w:val="single" w:sz="2" w:space="0" w:color="auto"/>
              <w:right w:val="single" w:sz="2" w:space="0" w:color="auto"/>
            </w:tcBorders>
            <w:vAlign w:val="center"/>
          </w:tcPr>
          <w:p w14:paraId="626CCEF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114,874,057.82</w:t>
            </w:r>
          </w:p>
        </w:tc>
        <w:tc>
          <w:tcPr>
            <w:tcW w:w="1606" w:type="dxa"/>
            <w:tcBorders>
              <w:top w:val="single" w:sz="2" w:space="0" w:color="auto"/>
              <w:left w:val="single" w:sz="2" w:space="0" w:color="auto"/>
              <w:bottom w:val="single" w:sz="2" w:space="0" w:color="auto"/>
              <w:right w:val="single" w:sz="2" w:space="0" w:color="auto"/>
            </w:tcBorders>
            <w:vAlign w:val="center"/>
          </w:tcPr>
          <w:p w14:paraId="034C4B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77,782.37</w:t>
            </w:r>
          </w:p>
        </w:tc>
        <w:tc>
          <w:tcPr>
            <w:tcW w:w="1606" w:type="dxa"/>
            <w:tcBorders>
              <w:top w:val="single" w:sz="2" w:space="0" w:color="auto"/>
              <w:left w:val="single" w:sz="2" w:space="0" w:color="auto"/>
              <w:bottom w:val="single" w:sz="2" w:space="0" w:color="auto"/>
              <w:right w:val="single" w:sz="2" w:space="0" w:color="auto"/>
            </w:tcBorders>
            <w:vAlign w:val="center"/>
          </w:tcPr>
          <w:p w14:paraId="20ED8D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116,375,291.46</w:t>
            </w:r>
          </w:p>
        </w:tc>
      </w:tr>
      <w:tr w:rsidR="00F73301" w:rsidRPr="00F73301" w14:paraId="36D5803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3A0C7A0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(3) Impact of exchange rate changes</w:t>
            </w:r>
          </w:p>
        </w:tc>
        <w:tc>
          <w:tcPr>
            <w:tcW w:w="1606" w:type="dxa"/>
            <w:tcBorders>
              <w:top w:val="single" w:sz="2" w:space="0" w:color="auto"/>
              <w:left w:val="single" w:sz="2" w:space="0" w:color="auto"/>
              <w:bottom w:val="single" w:sz="2" w:space="0" w:color="auto"/>
              <w:right w:val="single" w:sz="2" w:space="0" w:color="auto"/>
            </w:tcBorders>
            <w:vAlign w:val="center"/>
          </w:tcPr>
          <w:p w14:paraId="0BB1362F"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87856E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72.38</w:t>
            </w:r>
          </w:p>
        </w:tc>
        <w:tc>
          <w:tcPr>
            <w:tcW w:w="1606" w:type="dxa"/>
            <w:tcBorders>
              <w:top w:val="single" w:sz="2" w:space="0" w:color="auto"/>
              <w:left w:val="single" w:sz="2" w:space="0" w:color="auto"/>
              <w:bottom w:val="single" w:sz="2" w:space="0" w:color="auto"/>
              <w:right w:val="single" w:sz="2" w:space="0" w:color="auto"/>
            </w:tcBorders>
            <w:vAlign w:val="center"/>
          </w:tcPr>
          <w:p w14:paraId="2BABC89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844.54</w:t>
            </w:r>
          </w:p>
        </w:tc>
        <w:tc>
          <w:tcPr>
            <w:tcW w:w="1606" w:type="dxa"/>
            <w:tcBorders>
              <w:top w:val="single" w:sz="2" w:space="0" w:color="auto"/>
              <w:left w:val="single" w:sz="2" w:space="0" w:color="auto"/>
              <w:bottom w:val="single" w:sz="2" w:space="0" w:color="auto"/>
              <w:right w:val="single" w:sz="2" w:space="0" w:color="auto"/>
            </w:tcBorders>
            <w:vAlign w:val="center"/>
          </w:tcPr>
          <w:p w14:paraId="783B4AC7"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5B0B3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916.92</w:t>
            </w:r>
          </w:p>
        </w:tc>
      </w:tr>
      <w:tr w:rsidR="00F73301" w:rsidRPr="00F73301" w14:paraId="6025F4EE"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7A4756E"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3. Decreased amount for the current period</w:t>
            </w:r>
          </w:p>
        </w:tc>
        <w:tc>
          <w:tcPr>
            <w:tcW w:w="1606" w:type="dxa"/>
            <w:tcBorders>
              <w:top w:val="single" w:sz="2" w:space="0" w:color="auto"/>
              <w:left w:val="single" w:sz="2" w:space="0" w:color="auto"/>
              <w:bottom w:val="single" w:sz="2" w:space="0" w:color="auto"/>
              <w:right w:val="single" w:sz="2" w:space="0" w:color="auto"/>
            </w:tcBorders>
            <w:vAlign w:val="center"/>
          </w:tcPr>
          <w:p w14:paraId="3B39C05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26.62</w:t>
            </w:r>
          </w:p>
        </w:tc>
        <w:tc>
          <w:tcPr>
            <w:tcW w:w="1606" w:type="dxa"/>
            <w:tcBorders>
              <w:top w:val="single" w:sz="2" w:space="0" w:color="auto"/>
              <w:left w:val="single" w:sz="2" w:space="0" w:color="auto"/>
              <w:bottom w:val="single" w:sz="2" w:space="0" w:color="auto"/>
              <w:right w:val="single" w:sz="2" w:space="0" w:color="auto"/>
            </w:tcBorders>
            <w:vAlign w:val="center"/>
          </w:tcPr>
          <w:p w14:paraId="3193EE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496,592.60</w:t>
            </w:r>
          </w:p>
        </w:tc>
        <w:tc>
          <w:tcPr>
            <w:tcW w:w="1606" w:type="dxa"/>
            <w:tcBorders>
              <w:top w:val="single" w:sz="2" w:space="0" w:color="auto"/>
              <w:left w:val="single" w:sz="2" w:space="0" w:color="auto"/>
              <w:bottom w:val="single" w:sz="2" w:space="0" w:color="auto"/>
              <w:right w:val="single" w:sz="2" w:space="0" w:color="auto"/>
            </w:tcBorders>
            <w:vAlign w:val="center"/>
          </w:tcPr>
          <w:p w14:paraId="134275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19,727,493.37</w:t>
            </w:r>
          </w:p>
        </w:tc>
        <w:tc>
          <w:tcPr>
            <w:tcW w:w="1606" w:type="dxa"/>
            <w:tcBorders>
              <w:top w:val="single" w:sz="2" w:space="0" w:color="auto"/>
              <w:left w:val="single" w:sz="2" w:space="0" w:color="auto"/>
              <w:bottom w:val="single" w:sz="2" w:space="0" w:color="auto"/>
              <w:right w:val="single" w:sz="2" w:space="0" w:color="auto"/>
            </w:tcBorders>
            <w:vAlign w:val="center"/>
          </w:tcPr>
          <w:p w14:paraId="77A798C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431,619.26</w:t>
            </w:r>
          </w:p>
        </w:tc>
        <w:tc>
          <w:tcPr>
            <w:tcW w:w="1606" w:type="dxa"/>
            <w:tcBorders>
              <w:top w:val="single" w:sz="2" w:space="0" w:color="auto"/>
              <w:left w:val="single" w:sz="2" w:space="0" w:color="auto"/>
              <w:bottom w:val="single" w:sz="2" w:space="0" w:color="auto"/>
              <w:right w:val="single" w:sz="2" w:space="0" w:color="auto"/>
            </w:tcBorders>
            <w:vAlign w:val="center"/>
          </w:tcPr>
          <w:p w14:paraId="739CC45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20,655,731.85</w:t>
            </w:r>
          </w:p>
        </w:tc>
      </w:tr>
      <w:tr w:rsidR="00F73301" w:rsidRPr="00F73301" w14:paraId="5E4FA07A"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B3243E0"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Disposal or scrap</w:t>
            </w:r>
          </w:p>
        </w:tc>
        <w:tc>
          <w:tcPr>
            <w:tcW w:w="1606" w:type="dxa"/>
            <w:tcBorders>
              <w:top w:val="single" w:sz="2" w:space="0" w:color="auto"/>
              <w:left w:val="single" w:sz="2" w:space="0" w:color="auto"/>
              <w:bottom w:val="single" w:sz="2" w:space="0" w:color="auto"/>
              <w:right w:val="single" w:sz="2" w:space="0" w:color="auto"/>
            </w:tcBorders>
            <w:vAlign w:val="center"/>
          </w:tcPr>
          <w:p w14:paraId="4262B40E"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FA2421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496,592.60</w:t>
            </w:r>
          </w:p>
        </w:tc>
        <w:tc>
          <w:tcPr>
            <w:tcW w:w="1606" w:type="dxa"/>
            <w:tcBorders>
              <w:top w:val="single" w:sz="2" w:space="0" w:color="auto"/>
              <w:left w:val="single" w:sz="2" w:space="0" w:color="auto"/>
              <w:bottom w:val="single" w:sz="2" w:space="0" w:color="auto"/>
              <w:right w:val="single" w:sz="2" w:space="0" w:color="auto"/>
            </w:tcBorders>
            <w:vAlign w:val="center"/>
          </w:tcPr>
          <w:p w14:paraId="6ECE77B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19,727,493.37</w:t>
            </w:r>
          </w:p>
        </w:tc>
        <w:tc>
          <w:tcPr>
            <w:tcW w:w="1606" w:type="dxa"/>
            <w:tcBorders>
              <w:top w:val="single" w:sz="2" w:space="0" w:color="auto"/>
              <w:left w:val="single" w:sz="2" w:space="0" w:color="auto"/>
              <w:bottom w:val="single" w:sz="2" w:space="0" w:color="auto"/>
              <w:right w:val="single" w:sz="2" w:space="0" w:color="auto"/>
            </w:tcBorders>
            <w:vAlign w:val="center"/>
          </w:tcPr>
          <w:p w14:paraId="01D3C8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431,619.26</w:t>
            </w:r>
          </w:p>
        </w:tc>
        <w:tc>
          <w:tcPr>
            <w:tcW w:w="1606" w:type="dxa"/>
            <w:tcBorders>
              <w:top w:val="single" w:sz="2" w:space="0" w:color="auto"/>
              <w:left w:val="single" w:sz="2" w:space="0" w:color="auto"/>
              <w:bottom w:val="single" w:sz="2" w:space="0" w:color="auto"/>
              <w:right w:val="single" w:sz="2" w:space="0" w:color="auto"/>
            </w:tcBorders>
            <w:vAlign w:val="center"/>
          </w:tcPr>
          <w:p w14:paraId="34B9FD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20,655,705.23</w:t>
            </w:r>
          </w:p>
        </w:tc>
      </w:tr>
      <w:tr w:rsidR="00F73301" w:rsidRPr="00F73301" w14:paraId="5FAA1B82"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2FCC535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 Impact of exchange rate changes</w:t>
            </w:r>
          </w:p>
        </w:tc>
        <w:tc>
          <w:tcPr>
            <w:tcW w:w="1606" w:type="dxa"/>
            <w:tcBorders>
              <w:top w:val="single" w:sz="2" w:space="0" w:color="auto"/>
              <w:left w:val="single" w:sz="2" w:space="0" w:color="auto"/>
              <w:bottom w:val="single" w:sz="2" w:space="0" w:color="auto"/>
              <w:right w:val="single" w:sz="2" w:space="0" w:color="auto"/>
            </w:tcBorders>
            <w:vAlign w:val="center"/>
          </w:tcPr>
          <w:p w14:paraId="4CA532F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26.62</w:t>
            </w:r>
          </w:p>
        </w:tc>
        <w:tc>
          <w:tcPr>
            <w:tcW w:w="1606" w:type="dxa"/>
            <w:tcBorders>
              <w:top w:val="single" w:sz="2" w:space="0" w:color="auto"/>
              <w:left w:val="single" w:sz="2" w:space="0" w:color="auto"/>
              <w:bottom w:val="single" w:sz="2" w:space="0" w:color="auto"/>
              <w:right w:val="single" w:sz="2" w:space="0" w:color="auto"/>
            </w:tcBorders>
            <w:vAlign w:val="center"/>
          </w:tcPr>
          <w:p w14:paraId="78A07D06"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FE94CD6"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43578BE"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2660A6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26.62</w:t>
            </w:r>
          </w:p>
        </w:tc>
      </w:tr>
      <w:tr w:rsidR="00F73301" w:rsidRPr="00F73301" w14:paraId="28EE9A0B"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BEE415D"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4. Closing balance</w:t>
            </w:r>
          </w:p>
        </w:tc>
        <w:tc>
          <w:tcPr>
            <w:tcW w:w="1606" w:type="dxa"/>
            <w:tcBorders>
              <w:top w:val="single" w:sz="2" w:space="0" w:color="auto"/>
              <w:left w:val="single" w:sz="2" w:space="0" w:color="auto"/>
              <w:bottom w:val="single" w:sz="2" w:space="0" w:color="auto"/>
              <w:right w:val="single" w:sz="2" w:space="0" w:color="auto"/>
            </w:tcBorders>
            <w:vAlign w:val="center"/>
          </w:tcPr>
          <w:p w14:paraId="1E4E5F4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140,089,044.42</w:t>
            </w:r>
          </w:p>
        </w:tc>
        <w:tc>
          <w:tcPr>
            <w:tcW w:w="1606" w:type="dxa"/>
            <w:tcBorders>
              <w:top w:val="single" w:sz="2" w:space="0" w:color="auto"/>
              <w:left w:val="single" w:sz="2" w:space="0" w:color="auto"/>
              <w:bottom w:val="single" w:sz="2" w:space="0" w:color="auto"/>
              <w:right w:val="single" w:sz="2" w:space="0" w:color="auto"/>
            </w:tcBorders>
            <w:vAlign w:val="center"/>
          </w:tcPr>
          <w:p w14:paraId="3FAA267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26,840,550.54</w:t>
            </w:r>
          </w:p>
        </w:tc>
        <w:tc>
          <w:tcPr>
            <w:tcW w:w="1606" w:type="dxa"/>
            <w:tcBorders>
              <w:top w:val="single" w:sz="2" w:space="0" w:color="auto"/>
              <w:left w:val="single" w:sz="2" w:space="0" w:color="auto"/>
              <w:bottom w:val="single" w:sz="2" w:space="0" w:color="auto"/>
              <w:right w:val="single" w:sz="2" w:space="0" w:color="auto"/>
            </w:tcBorders>
            <w:vAlign w:val="center"/>
          </w:tcPr>
          <w:p w14:paraId="7D92B73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1,265,094,204.48</w:t>
            </w:r>
          </w:p>
        </w:tc>
        <w:tc>
          <w:tcPr>
            <w:tcW w:w="1606" w:type="dxa"/>
            <w:tcBorders>
              <w:top w:val="single" w:sz="2" w:space="0" w:color="auto"/>
              <w:left w:val="single" w:sz="2" w:space="0" w:color="auto"/>
              <w:bottom w:val="single" w:sz="2" w:space="0" w:color="auto"/>
              <w:right w:val="single" w:sz="2" w:space="0" w:color="auto"/>
            </w:tcBorders>
            <w:vAlign w:val="center"/>
          </w:tcPr>
          <w:p w14:paraId="008B88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11,713,411.44</w:t>
            </w:r>
          </w:p>
        </w:tc>
        <w:tc>
          <w:tcPr>
            <w:tcW w:w="1606" w:type="dxa"/>
            <w:tcBorders>
              <w:top w:val="single" w:sz="2" w:space="0" w:color="auto"/>
              <w:left w:val="single" w:sz="2" w:space="0" w:color="auto"/>
              <w:bottom w:val="single" w:sz="2" w:space="0" w:color="auto"/>
              <w:right w:val="single" w:sz="2" w:space="0" w:color="auto"/>
            </w:tcBorders>
            <w:vAlign w:val="center"/>
          </w:tcPr>
          <w:p w14:paraId="040E055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1,443,737,210.88</w:t>
            </w:r>
          </w:p>
        </w:tc>
      </w:tr>
      <w:tr w:rsidR="00F73301" w:rsidRPr="00F73301" w14:paraId="33DC990D"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4985E0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III. Allowance for Impairment</w:t>
            </w:r>
          </w:p>
        </w:tc>
        <w:tc>
          <w:tcPr>
            <w:tcW w:w="1606" w:type="dxa"/>
            <w:tcBorders>
              <w:top w:val="single" w:sz="2" w:space="0" w:color="auto"/>
              <w:left w:val="single" w:sz="2" w:space="0" w:color="auto"/>
              <w:bottom w:val="single" w:sz="2" w:space="0" w:color="auto"/>
              <w:right w:val="single" w:sz="2" w:space="0" w:color="auto"/>
            </w:tcBorders>
            <w:vAlign w:val="center"/>
          </w:tcPr>
          <w:p w14:paraId="445B749D"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3959331"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C3C5E59"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2FC41DD"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277AAB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1B51353"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0E86383"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Opening balance</w:t>
            </w:r>
          </w:p>
        </w:tc>
        <w:tc>
          <w:tcPr>
            <w:tcW w:w="1606" w:type="dxa"/>
            <w:tcBorders>
              <w:top w:val="single" w:sz="2" w:space="0" w:color="auto"/>
              <w:left w:val="single" w:sz="2" w:space="0" w:color="auto"/>
              <w:bottom w:val="single" w:sz="2" w:space="0" w:color="auto"/>
              <w:right w:val="single" w:sz="2" w:space="0" w:color="auto"/>
            </w:tcBorders>
            <w:vAlign w:val="center"/>
          </w:tcPr>
          <w:p w14:paraId="5E3E5F9F"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9E73819"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65FC8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3,446,658.59</w:t>
            </w:r>
          </w:p>
        </w:tc>
        <w:tc>
          <w:tcPr>
            <w:tcW w:w="1606" w:type="dxa"/>
            <w:tcBorders>
              <w:top w:val="single" w:sz="2" w:space="0" w:color="auto"/>
              <w:left w:val="single" w:sz="2" w:space="0" w:color="auto"/>
              <w:bottom w:val="single" w:sz="2" w:space="0" w:color="auto"/>
              <w:right w:val="single" w:sz="2" w:space="0" w:color="auto"/>
            </w:tcBorders>
            <w:vAlign w:val="center"/>
          </w:tcPr>
          <w:p w14:paraId="33A2C4DB"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666D2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3,446,658.59</w:t>
            </w:r>
          </w:p>
        </w:tc>
      </w:tr>
      <w:tr w:rsidR="00F73301" w:rsidRPr="00F73301" w14:paraId="61176B69"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AB32E39"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Increased amount for the current period</w:t>
            </w:r>
          </w:p>
        </w:tc>
        <w:tc>
          <w:tcPr>
            <w:tcW w:w="1606" w:type="dxa"/>
            <w:tcBorders>
              <w:top w:val="single" w:sz="2" w:space="0" w:color="auto"/>
              <w:left w:val="single" w:sz="2" w:space="0" w:color="auto"/>
              <w:bottom w:val="single" w:sz="2" w:space="0" w:color="auto"/>
              <w:right w:val="single" w:sz="2" w:space="0" w:color="auto"/>
            </w:tcBorders>
            <w:vAlign w:val="center"/>
          </w:tcPr>
          <w:p w14:paraId="1700F6BC"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B063C5A"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946090F"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ED65F69"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1172C9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864F6DD"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A8075F5"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Accrual</w:t>
            </w:r>
          </w:p>
        </w:tc>
        <w:tc>
          <w:tcPr>
            <w:tcW w:w="1606" w:type="dxa"/>
            <w:tcBorders>
              <w:top w:val="single" w:sz="2" w:space="0" w:color="auto"/>
              <w:left w:val="single" w:sz="2" w:space="0" w:color="auto"/>
              <w:bottom w:val="single" w:sz="2" w:space="0" w:color="auto"/>
              <w:right w:val="single" w:sz="2" w:space="0" w:color="auto"/>
            </w:tcBorders>
            <w:vAlign w:val="center"/>
          </w:tcPr>
          <w:p w14:paraId="0D3A178A"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8A5D351"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CA87728"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5F0243B"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8AAB81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75BF487"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145F5215" w14:textId="77777777" w:rsidR="00F73301" w:rsidRPr="00F73301" w:rsidRDefault="00F73301" w:rsidP="008C49B7">
            <w:pPr>
              <w:snapToGrid w:val="0"/>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7DCA248"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64A75E7"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199FF48"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BE310E7"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10C13A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08D1664"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DC0E055"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3. Decreased amount for the current period</w:t>
            </w:r>
          </w:p>
        </w:tc>
        <w:tc>
          <w:tcPr>
            <w:tcW w:w="1606" w:type="dxa"/>
            <w:tcBorders>
              <w:top w:val="single" w:sz="2" w:space="0" w:color="auto"/>
              <w:left w:val="single" w:sz="2" w:space="0" w:color="auto"/>
              <w:bottom w:val="single" w:sz="2" w:space="0" w:color="auto"/>
              <w:right w:val="single" w:sz="2" w:space="0" w:color="auto"/>
            </w:tcBorders>
            <w:vAlign w:val="center"/>
          </w:tcPr>
          <w:p w14:paraId="7B6AF3A4"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111E7D1"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6F725E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3,446,658.59</w:t>
            </w:r>
          </w:p>
        </w:tc>
        <w:tc>
          <w:tcPr>
            <w:tcW w:w="1606" w:type="dxa"/>
            <w:tcBorders>
              <w:top w:val="single" w:sz="2" w:space="0" w:color="auto"/>
              <w:left w:val="single" w:sz="2" w:space="0" w:color="auto"/>
              <w:bottom w:val="single" w:sz="2" w:space="0" w:color="auto"/>
              <w:right w:val="single" w:sz="2" w:space="0" w:color="auto"/>
            </w:tcBorders>
            <w:vAlign w:val="center"/>
          </w:tcPr>
          <w:p w14:paraId="4275D4C0"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D6FAEA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3,446,658.59</w:t>
            </w:r>
          </w:p>
        </w:tc>
      </w:tr>
      <w:tr w:rsidR="00F73301" w:rsidRPr="00F73301" w14:paraId="65E309D0"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FA0B140"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Disposal or scrap</w:t>
            </w:r>
          </w:p>
        </w:tc>
        <w:tc>
          <w:tcPr>
            <w:tcW w:w="1606" w:type="dxa"/>
            <w:tcBorders>
              <w:top w:val="single" w:sz="2" w:space="0" w:color="auto"/>
              <w:left w:val="single" w:sz="2" w:space="0" w:color="auto"/>
              <w:bottom w:val="single" w:sz="2" w:space="0" w:color="auto"/>
              <w:right w:val="single" w:sz="2" w:space="0" w:color="auto"/>
            </w:tcBorders>
            <w:vAlign w:val="center"/>
          </w:tcPr>
          <w:p w14:paraId="12BCC390"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EA72C0C"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E51C6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3,446,658.59</w:t>
            </w:r>
          </w:p>
        </w:tc>
        <w:tc>
          <w:tcPr>
            <w:tcW w:w="1606" w:type="dxa"/>
            <w:tcBorders>
              <w:top w:val="single" w:sz="2" w:space="0" w:color="auto"/>
              <w:left w:val="single" w:sz="2" w:space="0" w:color="auto"/>
              <w:bottom w:val="single" w:sz="2" w:space="0" w:color="auto"/>
              <w:right w:val="single" w:sz="2" w:space="0" w:color="auto"/>
            </w:tcBorders>
            <w:vAlign w:val="center"/>
          </w:tcPr>
          <w:p w14:paraId="422C1233"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FC2F9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3,446,658.59</w:t>
            </w:r>
          </w:p>
        </w:tc>
      </w:tr>
      <w:tr w:rsidR="00F73301" w:rsidRPr="00F73301" w14:paraId="1EC65412"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51FC60A8" w14:textId="77777777" w:rsidR="00F73301" w:rsidRPr="00F73301" w:rsidRDefault="00F73301" w:rsidP="008C49B7">
            <w:pPr>
              <w:snapToGrid w:val="0"/>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A14DCAE"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D62DC45"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4A933D6"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A365A74"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238F97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D6C8E59"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993FF38"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4. Closing balance</w:t>
            </w:r>
          </w:p>
        </w:tc>
        <w:tc>
          <w:tcPr>
            <w:tcW w:w="1606" w:type="dxa"/>
            <w:tcBorders>
              <w:top w:val="single" w:sz="2" w:space="0" w:color="auto"/>
              <w:left w:val="single" w:sz="2" w:space="0" w:color="auto"/>
              <w:bottom w:val="single" w:sz="2" w:space="0" w:color="auto"/>
              <w:right w:val="single" w:sz="2" w:space="0" w:color="auto"/>
            </w:tcBorders>
            <w:vAlign w:val="center"/>
          </w:tcPr>
          <w:p w14:paraId="7DB2E886"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38F4D12"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B8C971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14:paraId="1B8C0D64"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6EA81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0.00</w:t>
            </w:r>
          </w:p>
        </w:tc>
      </w:tr>
      <w:tr w:rsidR="00F73301" w:rsidRPr="00F73301" w14:paraId="57CF2012"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89DC4F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IV. Carrying Amount</w:t>
            </w:r>
          </w:p>
        </w:tc>
        <w:tc>
          <w:tcPr>
            <w:tcW w:w="1606" w:type="dxa"/>
            <w:tcBorders>
              <w:top w:val="single" w:sz="2" w:space="0" w:color="auto"/>
              <w:left w:val="single" w:sz="2" w:space="0" w:color="auto"/>
              <w:bottom w:val="single" w:sz="2" w:space="0" w:color="auto"/>
              <w:right w:val="single" w:sz="2" w:space="0" w:color="auto"/>
            </w:tcBorders>
            <w:vAlign w:val="center"/>
          </w:tcPr>
          <w:p w14:paraId="379A59BA"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771032C"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5937738"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55156B8"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C788D3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DC49E57"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00E343F"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Closing carrying amount</w:t>
            </w:r>
          </w:p>
        </w:tc>
        <w:tc>
          <w:tcPr>
            <w:tcW w:w="1606" w:type="dxa"/>
            <w:tcBorders>
              <w:top w:val="single" w:sz="2" w:space="0" w:color="auto"/>
              <w:left w:val="single" w:sz="2" w:space="0" w:color="auto"/>
              <w:bottom w:val="single" w:sz="2" w:space="0" w:color="auto"/>
              <w:right w:val="single" w:sz="2" w:space="0" w:color="auto"/>
            </w:tcBorders>
            <w:vAlign w:val="center"/>
          </w:tcPr>
          <w:p w14:paraId="7BF729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572,006,701.55</w:t>
            </w:r>
          </w:p>
        </w:tc>
        <w:tc>
          <w:tcPr>
            <w:tcW w:w="1606" w:type="dxa"/>
            <w:tcBorders>
              <w:top w:val="single" w:sz="2" w:space="0" w:color="auto"/>
              <w:left w:val="single" w:sz="2" w:space="0" w:color="auto"/>
              <w:bottom w:val="single" w:sz="2" w:space="0" w:color="auto"/>
              <w:right w:val="single" w:sz="2" w:space="0" w:color="auto"/>
            </w:tcBorders>
            <w:vAlign w:val="center"/>
          </w:tcPr>
          <w:p w14:paraId="53F9708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15,238,849.17</w:t>
            </w:r>
          </w:p>
        </w:tc>
        <w:tc>
          <w:tcPr>
            <w:tcW w:w="1606" w:type="dxa"/>
            <w:tcBorders>
              <w:top w:val="single" w:sz="2" w:space="0" w:color="auto"/>
              <w:left w:val="single" w:sz="2" w:space="0" w:color="auto"/>
              <w:bottom w:val="single" w:sz="2" w:space="0" w:color="auto"/>
              <w:right w:val="single" w:sz="2" w:space="0" w:color="auto"/>
            </w:tcBorders>
            <w:vAlign w:val="center"/>
          </w:tcPr>
          <w:p w14:paraId="235FC6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2,730,058,550.97</w:t>
            </w:r>
          </w:p>
        </w:tc>
        <w:tc>
          <w:tcPr>
            <w:tcW w:w="1606" w:type="dxa"/>
            <w:tcBorders>
              <w:top w:val="single" w:sz="2" w:space="0" w:color="auto"/>
              <w:left w:val="single" w:sz="2" w:space="0" w:color="auto"/>
              <w:bottom w:val="single" w:sz="2" w:space="0" w:color="auto"/>
              <w:right w:val="single" w:sz="2" w:space="0" w:color="auto"/>
            </w:tcBorders>
            <w:vAlign w:val="center"/>
          </w:tcPr>
          <w:p w14:paraId="2C5FA6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7,593,626.06</w:t>
            </w:r>
          </w:p>
        </w:tc>
        <w:tc>
          <w:tcPr>
            <w:tcW w:w="1606" w:type="dxa"/>
            <w:tcBorders>
              <w:top w:val="single" w:sz="2" w:space="0" w:color="auto"/>
              <w:left w:val="single" w:sz="2" w:space="0" w:color="auto"/>
              <w:bottom w:val="single" w:sz="2" w:space="0" w:color="auto"/>
              <w:right w:val="single" w:sz="2" w:space="0" w:color="auto"/>
            </w:tcBorders>
            <w:vAlign w:val="center"/>
          </w:tcPr>
          <w:p w14:paraId="6C7E8BC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3,324,897,727.75</w:t>
            </w:r>
          </w:p>
        </w:tc>
      </w:tr>
      <w:tr w:rsidR="00F73301" w:rsidRPr="00F73301" w14:paraId="2660DA8E"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AFB5C08"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Opening carrying amount</w:t>
            </w:r>
          </w:p>
        </w:tc>
        <w:tc>
          <w:tcPr>
            <w:tcW w:w="1606" w:type="dxa"/>
            <w:tcBorders>
              <w:top w:val="single" w:sz="2" w:space="0" w:color="auto"/>
              <w:left w:val="single" w:sz="2" w:space="0" w:color="auto"/>
              <w:bottom w:val="single" w:sz="2" w:space="0" w:color="auto"/>
              <w:right w:val="single" w:sz="2" w:space="0" w:color="auto"/>
            </w:tcBorders>
            <w:vAlign w:val="center"/>
          </w:tcPr>
          <w:p w14:paraId="68064C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527,078,673.75</w:t>
            </w:r>
          </w:p>
        </w:tc>
        <w:tc>
          <w:tcPr>
            <w:tcW w:w="1606" w:type="dxa"/>
            <w:tcBorders>
              <w:top w:val="single" w:sz="2" w:space="0" w:color="auto"/>
              <w:left w:val="single" w:sz="2" w:space="0" w:color="auto"/>
              <w:bottom w:val="single" w:sz="2" w:space="0" w:color="auto"/>
              <w:right w:val="single" w:sz="2" w:space="0" w:color="auto"/>
            </w:tcBorders>
            <w:vAlign w:val="center"/>
          </w:tcPr>
          <w:p w14:paraId="549EF64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17,396,950.67</w:t>
            </w:r>
          </w:p>
        </w:tc>
        <w:tc>
          <w:tcPr>
            <w:tcW w:w="1606" w:type="dxa"/>
            <w:tcBorders>
              <w:top w:val="single" w:sz="2" w:space="0" w:color="auto"/>
              <w:left w:val="single" w:sz="2" w:space="0" w:color="auto"/>
              <w:bottom w:val="single" w:sz="2" w:space="0" w:color="auto"/>
              <w:right w:val="single" w:sz="2" w:space="0" w:color="auto"/>
            </w:tcBorders>
            <w:vAlign w:val="center"/>
          </w:tcPr>
          <w:p w14:paraId="715A6D1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2,362,718,539.38</w:t>
            </w:r>
          </w:p>
        </w:tc>
        <w:tc>
          <w:tcPr>
            <w:tcW w:w="1606" w:type="dxa"/>
            <w:tcBorders>
              <w:top w:val="single" w:sz="2" w:space="0" w:color="auto"/>
              <w:left w:val="single" w:sz="2" w:space="0" w:color="auto"/>
              <w:bottom w:val="single" w:sz="2" w:space="0" w:color="auto"/>
              <w:right w:val="single" w:sz="2" w:space="0" w:color="auto"/>
            </w:tcBorders>
            <w:vAlign w:val="center"/>
          </w:tcPr>
          <w:p w14:paraId="3518C64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6,934,842.68</w:t>
            </w:r>
          </w:p>
        </w:tc>
        <w:tc>
          <w:tcPr>
            <w:tcW w:w="1606" w:type="dxa"/>
            <w:tcBorders>
              <w:top w:val="single" w:sz="2" w:space="0" w:color="auto"/>
              <w:left w:val="single" w:sz="2" w:space="0" w:color="auto"/>
              <w:bottom w:val="single" w:sz="2" w:space="0" w:color="auto"/>
              <w:right w:val="single" w:sz="2" w:space="0" w:color="auto"/>
            </w:tcBorders>
            <w:vAlign w:val="center"/>
          </w:tcPr>
          <w:p w14:paraId="127B7C6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2,914,129,006.48</w:t>
            </w:r>
          </w:p>
        </w:tc>
      </w:tr>
    </w:tbl>
    <w:p w14:paraId="6CAD5093"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00" w:name="_Toc989088"/>
      <w:r w:rsidRPr="00F73301">
        <w:rPr>
          <w:rFonts w:ascii="Times New Roman" w:eastAsia="宋体" w:hAnsi="Times New Roman" w:cs="Times New Roman"/>
          <w:b/>
          <w:bCs/>
          <w:sz w:val="24"/>
          <w:szCs w:val="24"/>
        </w:rPr>
        <w:t>(2) List of temporarily idle fixed assets</w:t>
      </w:r>
      <w:bookmarkEnd w:id="200"/>
    </w:p>
    <w:p w14:paraId="4FF9132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1B8B17A9"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161CE9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0401D0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Original carrying amount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6A64DA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Accumulated depreciation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4FE4E7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B15380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12FD4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Remarks</w:t>
            </w:r>
          </w:p>
        </w:tc>
      </w:tr>
    </w:tbl>
    <w:p w14:paraId="42176ED5"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01" w:name="_Toc989089"/>
      <w:r w:rsidRPr="00F73301">
        <w:rPr>
          <w:rFonts w:ascii="Times New Roman" w:eastAsia="宋体" w:hAnsi="Times New Roman" w:cs="Times New Roman"/>
          <w:b/>
          <w:bCs/>
          <w:sz w:val="24"/>
          <w:szCs w:val="24"/>
        </w:rPr>
        <w:t>(3) Fixed assets leased out by operation lease</w:t>
      </w:r>
      <w:bookmarkEnd w:id="201"/>
    </w:p>
    <w:p w14:paraId="1803C35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0BDD7999"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368970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E77900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carrying amount</w:t>
            </w:r>
          </w:p>
        </w:tc>
      </w:tr>
    </w:tbl>
    <w:p w14:paraId="4A8E8B45"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02" w:name="_Toc989090"/>
      <w:r w:rsidRPr="00F73301">
        <w:rPr>
          <w:rFonts w:ascii="Times New Roman" w:eastAsia="宋体" w:hAnsi="Times New Roman" w:cs="Times New Roman"/>
          <w:b/>
          <w:bCs/>
          <w:sz w:val="24"/>
          <w:szCs w:val="24"/>
        </w:rPr>
        <w:t>(4) Fixed assets failed to accomplish certification of property</w:t>
      </w:r>
      <w:bookmarkEnd w:id="202"/>
    </w:p>
    <w:p w14:paraId="5981A1B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D3C425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26E16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A1C4B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03B4C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w:t>
            </w:r>
          </w:p>
        </w:tc>
      </w:tr>
      <w:tr w:rsidR="00F73301" w:rsidRPr="00F73301" w14:paraId="68187D8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BCAC97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5 factory</w:t>
            </w:r>
          </w:p>
        </w:tc>
        <w:tc>
          <w:tcPr>
            <w:tcW w:w="3213" w:type="dxa"/>
            <w:tcBorders>
              <w:top w:val="single" w:sz="2" w:space="0" w:color="auto"/>
              <w:left w:val="single" w:sz="2" w:space="0" w:color="auto"/>
              <w:bottom w:val="single" w:sz="2" w:space="0" w:color="auto"/>
              <w:right w:val="single" w:sz="2" w:space="0" w:color="auto"/>
            </w:tcBorders>
            <w:vAlign w:val="center"/>
          </w:tcPr>
          <w:p w14:paraId="2D9FD8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220,700,339.57</w:t>
            </w:r>
          </w:p>
        </w:tc>
        <w:tc>
          <w:tcPr>
            <w:tcW w:w="3213" w:type="dxa"/>
            <w:tcBorders>
              <w:top w:val="single" w:sz="2" w:space="0" w:color="auto"/>
              <w:left w:val="single" w:sz="2" w:space="0" w:color="auto"/>
              <w:bottom w:val="single" w:sz="2" w:space="0" w:color="auto"/>
              <w:right w:val="single" w:sz="2" w:space="0" w:color="auto"/>
            </w:tcBorders>
            <w:vAlign w:val="center"/>
          </w:tcPr>
          <w:p w14:paraId="684988F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 processing</w:t>
            </w:r>
          </w:p>
        </w:tc>
      </w:tr>
      <w:tr w:rsidR="00F73301" w:rsidRPr="00F73301" w14:paraId="62B7498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E95031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Building 6# of new factory</w:t>
            </w:r>
          </w:p>
        </w:tc>
        <w:tc>
          <w:tcPr>
            <w:tcW w:w="3213" w:type="dxa"/>
            <w:tcBorders>
              <w:top w:val="single" w:sz="2" w:space="0" w:color="auto"/>
              <w:left w:val="single" w:sz="2" w:space="0" w:color="auto"/>
              <w:bottom w:val="single" w:sz="2" w:space="0" w:color="auto"/>
              <w:right w:val="single" w:sz="2" w:space="0" w:color="auto"/>
            </w:tcBorders>
            <w:vAlign w:val="center"/>
          </w:tcPr>
          <w:p w14:paraId="05A4F2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8,204,774.49</w:t>
            </w:r>
          </w:p>
        </w:tc>
        <w:tc>
          <w:tcPr>
            <w:tcW w:w="3213" w:type="dxa"/>
            <w:tcBorders>
              <w:top w:val="single" w:sz="2" w:space="0" w:color="auto"/>
              <w:left w:val="single" w:sz="2" w:space="0" w:color="auto"/>
              <w:bottom w:val="single" w:sz="2" w:space="0" w:color="auto"/>
              <w:right w:val="single" w:sz="2" w:space="0" w:color="auto"/>
            </w:tcBorders>
            <w:vAlign w:val="center"/>
          </w:tcPr>
          <w:p w14:paraId="2404AEE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 processing due to changes in building construction plan</w:t>
            </w:r>
          </w:p>
        </w:tc>
      </w:tr>
      <w:tr w:rsidR="00F73301" w:rsidRPr="00F73301" w14:paraId="3A6AA41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11F26E2" w14:textId="0B1AE42A"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Building 7# of new factory</w:t>
            </w:r>
          </w:p>
        </w:tc>
        <w:tc>
          <w:tcPr>
            <w:tcW w:w="3213" w:type="dxa"/>
            <w:tcBorders>
              <w:top w:val="single" w:sz="2" w:space="0" w:color="auto"/>
              <w:left w:val="single" w:sz="2" w:space="0" w:color="auto"/>
              <w:bottom w:val="single" w:sz="2" w:space="0" w:color="auto"/>
              <w:right w:val="single" w:sz="2" w:space="0" w:color="auto"/>
            </w:tcBorders>
            <w:vAlign w:val="center"/>
          </w:tcPr>
          <w:p w14:paraId="132385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10,295,729.76</w:t>
            </w:r>
          </w:p>
        </w:tc>
        <w:tc>
          <w:tcPr>
            <w:tcW w:w="3213" w:type="dxa"/>
            <w:tcBorders>
              <w:top w:val="single" w:sz="2" w:space="0" w:color="auto"/>
              <w:left w:val="single" w:sz="2" w:space="0" w:color="auto"/>
              <w:bottom w:val="single" w:sz="2" w:space="0" w:color="auto"/>
              <w:right w:val="single" w:sz="2" w:space="0" w:color="auto"/>
            </w:tcBorders>
            <w:vAlign w:val="center"/>
          </w:tcPr>
          <w:p w14:paraId="54D6403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 processing due to changes in building construction plan</w:t>
            </w:r>
          </w:p>
        </w:tc>
      </w:tr>
      <w:tr w:rsidR="00F73301" w:rsidRPr="00F73301" w14:paraId="0953ECC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826214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Building 8# of new factory</w:t>
            </w:r>
          </w:p>
        </w:tc>
        <w:tc>
          <w:tcPr>
            <w:tcW w:w="3213" w:type="dxa"/>
            <w:tcBorders>
              <w:top w:val="single" w:sz="2" w:space="0" w:color="auto"/>
              <w:left w:val="single" w:sz="2" w:space="0" w:color="auto"/>
              <w:bottom w:val="single" w:sz="2" w:space="0" w:color="auto"/>
              <w:right w:val="single" w:sz="2" w:space="0" w:color="auto"/>
            </w:tcBorders>
            <w:vAlign w:val="center"/>
          </w:tcPr>
          <w:p w14:paraId="59D89F7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4,057,700.95</w:t>
            </w:r>
          </w:p>
        </w:tc>
        <w:tc>
          <w:tcPr>
            <w:tcW w:w="3213" w:type="dxa"/>
            <w:tcBorders>
              <w:top w:val="single" w:sz="2" w:space="0" w:color="auto"/>
              <w:left w:val="single" w:sz="2" w:space="0" w:color="auto"/>
              <w:bottom w:val="single" w:sz="2" w:space="0" w:color="auto"/>
              <w:right w:val="single" w:sz="2" w:space="0" w:color="auto"/>
            </w:tcBorders>
            <w:vAlign w:val="center"/>
          </w:tcPr>
          <w:p w14:paraId="6669F11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 processing due to changes in building construction plan</w:t>
            </w:r>
          </w:p>
        </w:tc>
      </w:tr>
      <w:tr w:rsidR="00F73301" w:rsidRPr="00F73301" w14:paraId="3C73DD8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3AF892C" w14:textId="63F213D6" w:rsidR="00F73301" w:rsidRPr="00F73301" w:rsidRDefault="00F73301" w:rsidP="00F87479">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 xml:space="preserve">Plant of Jiangsu </w:t>
            </w:r>
            <w:proofErr w:type="spellStart"/>
            <w:r w:rsidRPr="00F73301">
              <w:rPr>
                <w:rFonts w:ascii="Times New Roman" w:eastAsia="宋体" w:hAnsi="Times New Roman" w:cs="Times New Roman"/>
                <w:sz w:val="18"/>
                <w:szCs w:val="18"/>
              </w:rPr>
              <w:t>Runau</w:t>
            </w:r>
            <w:proofErr w:type="spellEnd"/>
          </w:p>
        </w:tc>
        <w:tc>
          <w:tcPr>
            <w:tcW w:w="3213" w:type="dxa"/>
            <w:tcBorders>
              <w:top w:val="single" w:sz="2" w:space="0" w:color="auto"/>
              <w:left w:val="single" w:sz="2" w:space="0" w:color="auto"/>
              <w:bottom w:val="single" w:sz="2" w:space="0" w:color="auto"/>
              <w:right w:val="single" w:sz="2" w:space="0" w:color="auto"/>
            </w:tcBorders>
            <w:vAlign w:val="center"/>
          </w:tcPr>
          <w:p w14:paraId="302E58F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1,879,292.22</w:t>
            </w:r>
          </w:p>
        </w:tc>
        <w:tc>
          <w:tcPr>
            <w:tcW w:w="3213" w:type="dxa"/>
            <w:tcBorders>
              <w:top w:val="single" w:sz="2" w:space="0" w:color="auto"/>
              <w:left w:val="single" w:sz="2" w:space="0" w:color="auto"/>
              <w:bottom w:val="single" w:sz="2" w:space="0" w:color="auto"/>
              <w:right w:val="single" w:sz="2" w:space="0" w:color="auto"/>
            </w:tcBorders>
            <w:vAlign w:val="center"/>
          </w:tcPr>
          <w:p w14:paraId="7D18D36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The land of the entrepreneurial park where the entity is located has been mortgaged by the government for loans, which is not released yet. As a result, the entrepreneurial park cannot be used to apply for real estate ownership certificate.</w:t>
            </w:r>
          </w:p>
        </w:tc>
      </w:tr>
      <w:tr w:rsidR="00F73301" w:rsidRPr="00F73301" w14:paraId="016B1D6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4076C3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Chengdu Qingyang</w:t>
            </w:r>
          </w:p>
          <w:p w14:paraId="6BCFA62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Factory 2#</w:t>
            </w:r>
          </w:p>
        </w:tc>
        <w:tc>
          <w:tcPr>
            <w:tcW w:w="3213" w:type="dxa"/>
            <w:tcBorders>
              <w:top w:val="single" w:sz="2" w:space="0" w:color="auto"/>
              <w:left w:val="single" w:sz="2" w:space="0" w:color="auto"/>
              <w:bottom w:val="single" w:sz="2" w:space="0" w:color="auto"/>
              <w:right w:val="single" w:sz="2" w:space="0" w:color="auto"/>
            </w:tcBorders>
            <w:vAlign w:val="center"/>
          </w:tcPr>
          <w:p w14:paraId="182682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6,865,373.14</w:t>
            </w:r>
          </w:p>
        </w:tc>
        <w:tc>
          <w:tcPr>
            <w:tcW w:w="3213" w:type="dxa"/>
            <w:tcBorders>
              <w:top w:val="single" w:sz="2" w:space="0" w:color="auto"/>
              <w:left w:val="single" w:sz="2" w:space="0" w:color="auto"/>
              <w:bottom w:val="single" w:sz="2" w:space="0" w:color="auto"/>
              <w:right w:val="single" w:sz="2" w:space="0" w:color="auto"/>
            </w:tcBorders>
            <w:vAlign w:val="center"/>
          </w:tcPr>
          <w:p w14:paraId="1875FCA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The real estate ownership certificate has not been obtained due to the fact that the fire control facilities of the factory have not yet been accepted.</w:t>
            </w:r>
          </w:p>
        </w:tc>
      </w:tr>
      <w:tr w:rsidR="00F73301" w:rsidRPr="00F73301" w14:paraId="3E3A873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554379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w:t>
            </w:r>
          </w:p>
        </w:tc>
        <w:tc>
          <w:tcPr>
            <w:tcW w:w="3213" w:type="dxa"/>
            <w:tcBorders>
              <w:top w:val="single" w:sz="2" w:space="0" w:color="auto"/>
              <w:left w:val="single" w:sz="2" w:space="0" w:color="auto"/>
              <w:bottom w:val="single" w:sz="2" w:space="0" w:color="auto"/>
              <w:right w:val="single" w:sz="2" w:space="0" w:color="auto"/>
            </w:tcBorders>
            <w:vAlign w:val="center"/>
          </w:tcPr>
          <w:p w14:paraId="0AE450C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252,003,210.13</w:t>
            </w:r>
          </w:p>
        </w:tc>
        <w:tc>
          <w:tcPr>
            <w:tcW w:w="3213" w:type="dxa"/>
            <w:tcBorders>
              <w:top w:val="single" w:sz="2" w:space="0" w:color="auto"/>
              <w:left w:val="single" w:sz="2" w:space="0" w:color="auto"/>
              <w:bottom w:val="single" w:sz="2" w:space="0" w:color="auto"/>
              <w:right w:val="single" w:sz="2" w:space="0" w:color="auto"/>
            </w:tcBorders>
            <w:vAlign w:val="center"/>
          </w:tcPr>
          <w:p w14:paraId="73FCA45D" w14:textId="77777777" w:rsidR="00F73301" w:rsidRPr="00F73301" w:rsidRDefault="00F73301" w:rsidP="008C49B7">
            <w:pPr>
              <w:snapToGrid w:val="0"/>
              <w:rPr>
                <w:rFonts w:ascii="Times New Roman" w:eastAsia="宋体" w:hAnsi="Times New Roman" w:cs="Times New Roman"/>
                <w:sz w:val="18"/>
                <w:szCs w:val="18"/>
              </w:rPr>
            </w:pPr>
          </w:p>
        </w:tc>
      </w:tr>
    </w:tbl>
    <w:p w14:paraId="66613525"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3A40BE2F"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0CCE092"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03" w:name="_Toc989091"/>
      <w:r w:rsidRPr="00F73301">
        <w:rPr>
          <w:rFonts w:ascii="Times New Roman" w:eastAsia="宋体" w:hAnsi="Times New Roman" w:cs="Times New Roman"/>
          <w:b/>
          <w:bCs/>
          <w:sz w:val="24"/>
          <w:szCs w:val="24"/>
        </w:rPr>
        <w:t>(5) Proceeds from disposal of fixed assets</w:t>
      </w:r>
      <w:bookmarkEnd w:id="203"/>
    </w:p>
    <w:p w14:paraId="2ED0368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0581368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C8ABB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6F663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B024D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bl>
    <w:p w14:paraId="491683C8"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7FCA7136"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1466117E"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04" w:name="_Toc989092"/>
      <w:r w:rsidRPr="00F73301">
        <w:rPr>
          <w:rFonts w:ascii="Times New Roman" w:eastAsia="宋体" w:hAnsi="Times New Roman" w:cs="Times New Roman"/>
          <w:b/>
          <w:bCs/>
          <w:sz w:val="24"/>
          <w:szCs w:val="24"/>
        </w:rPr>
        <w:t>13. Construction in progress</w:t>
      </w:r>
      <w:bookmarkEnd w:id="204"/>
    </w:p>
    <w:p w14:paraId="2AB9BF6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B43ACE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F0A7D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63994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FC1F2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3339D28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4DDBC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Construction in progress</w:t>
            </w:r>
          </w:p>
        </w:tc>
        <w:tc>
          <w:tcPr>
            <w:tcW w:w="3213" w:type="dxa"/>
            <w:tcBorders>
              <w:top w:val="single" w:sz="2" w:space="0" w:color="auto"/>
              <w:left w:val="single" w:sz="2" w:space="0" w:color="auto"/>
              <w:bottom w:val="single" w:sz="2" w:space="0" w:color="auto"/>
              <w:right w:val="single" w:sz="2" w:space="0" w:color="auto"/>
            </w:tcBorders>
            <w:vAlign w:val="center"/>
          </w:tcPr>
          <w:p w14:paraId="6BF67AA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612,601,462.25</w:t>
            </w:r>
          </w:p>
        </w:tc>
        <w:tc>
          <w:tcPr>
            <w:tcW w:w="3213" w:type="dxa"/>
            <w:tcBorders>
              <w:top w:val="single" w:sz="2" w:space="0" w:color="auto"/>
              <w:left w:val="single" w:sz="2" w:space="0" w:color="auto"/>
              <w:bottom w:val="single" w:sz="2" w:space="0" w:color="auto"/>
              <w:right w:val="single" w:sz="2" w:space="0" w:color="auto"/>
            </w:tcBorders>
            <w:vAlign w:val="center"/>
          </w:tcPr>
          <w:p w14:paraId="69CB319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461,878,389.19</w:t>
            </w:r>
          </w:p>
        </w:tc>
      </w:tr>
      <w:tr w:rsidR="00F73301" w:rsidRPr="00F73301" w14:paraId="665DAFE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4D939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572454A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612,601,462.25</w:t>
            </w:r>
          </w:p>
        </w:tc>
        <w:tc>
          <w:tcPr>
            <w:tcW w:w="3213" w:type="dxa"/>
            <w:tcBorders>
              <w:top w:val="single" w:sz="2" w:space="0" w:color="auto"/>
              <w:left w:val="single" w:sz="2" w:space="0" w:color="auto"/>
              <w:bottom w:val="single" w:sz="2" w:space="0" w:color="auto"/>
              <w:right w:val="single" w:sz="2" w:space="0" w:color="auto"/>
            </w:tcBorders>
            <w:vAlign w:val="center"/>
          </w:tcPr>
          <w:p w14:paraId="27CFB4F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461,878,389.19</w:t>
            </w:r>
          </w:p>
        </w:tc>
      </w:tr>
    </w:tbl>
    <w:p w14:paraId="33324B1F"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05" w:name="_Toc989093"/>
      <w:r w:rsidRPr="00F73301">
        <w:rPr>
          <w:rFonts w:ascii="Times New Roman" w:eastAsia="宋体" w:hAnsi="Times New Roman" w:cs="Times New Roman"/>
          <w:b/>
          <w:bCs/>
          <w:sz w:val="24"/>
          <w:szCs w:val="24"/>
        </w:rPr>
        <w:t>(1) List of construction in progress</w:t>
      </w:r>
      <w:bookmarkEnd w:id="205"/>
    </w:p>
    <w:p w14:paraId="2B78B70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0394E365"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13894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5861F9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575CF0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48282A2D"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E4399D"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82FE0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B58ED2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D8FA78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B1A80C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CBBFB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D87A74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r>
      <w:tr w:rsidR="00F73301" w:rsidRPr="00F73301" w14:paraId="182F98E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47E6D7B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SMT workshop production expansion project</w:t>
            </w:r>
          </w:p>
        </w:tc>
        <w:tc>
          <w:tcPr>
            <w:tcW w:w="1377" w:type="dxa"/>
            <w:tcBorders>
              <w:top w:val="single" w:sz="2" w:space="0" w:color="auto"/>
              <w:left w:val="single" w:sz="2" w:space="0" w:color="auto"/>
              <w:bottom w:val="single" w:sz="2" w:space="0" w:color="auto"/>
              <w:right w:val="single" w:sz="2" w:space="0" w:color="auto"/>
            </w:tcBorders>
            <w:vAlign w:val="center"/>
          </w:tcPr>
          <w:p w14:paraId="7DEE59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19,602,335.54</w:t>
            </w:r>
          </w:p>
        </w:tc>
        <w:tc>
          <w:tcPr>
            <w:tcW w:w="1377" w:type="dxa"/>
            <w:tcBorders>
              <w:top w:val="single" w:sz="2" w:space="0" w:color="auto"/>
              <w:left w:val="single" w:sz="2" w:space="0" w:color="auto"/>
              <w:bottom w:val="single" w:sz="2" w:space="0" w:color="auto"/>
              <w:right w:val="single" w:sz="2" w:space="0" w:color="auto"/>
            </w:tcBorders>
            <w:vAlign w:val="center"/>
          </w:tcPr>
          <w:p w14:paraId="3BE7A62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DEA7D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19,602,335.54</w:t>
            </w:r>
          </w:p>
        </w:tc>
        <w:tc>
          <w:tcPr>
            <w:tcW w:w="1377" w:type="dxa"/>
            <w:tcBorders>
              <w:top w:val="single" w:sz="2" w:space="0" w:color="auto"/>
              <w:left w:val="single" w:sz="2" w:space="0" w:color="auto"/>
              <w:bottom w:val="single" w:sz="2" w:space="0" w:color="auto"/>
              <w:right w:val="single" w:sz="2" w:space="0" w:color="auto"/>
            </w:tcBorders>
            <w:vAlign w:val="center"/>
          </w:tcPr>
          <w:p w14:paraId="38D9FC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15,667,999.90</w:t>
            </w:r>
          </w:p>
        </w:tc>
        <w:tc>
          <w:tcPr>
            <w:tcW w:w="1377" w:type="dxa"/>
            <w:tcBorders>
              <w:top w:val="single" w:sz="2" w:space="0" w:color="auto"/>
              <w:left w:val="single" w:sz="2" w:space="0" w:color="auto"/>
              <w:bottom w:val="single" w:sz="2" w:space="0" w:color="auto"/>
              <w:right w:val="single" w:sz="2" w:space="0" w:color="auto"/>
            </w:tcBorders>
            <w:vAlign w:val="center"/>
          </w:tcPr>
          <w:p w14:paraId="1DC0938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E891D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15,667,999.90</w:t>
            </w:r>
          </w:p>
        </w:tc>
      </w:tr>
      <w:tr w:rsidR="00F73301" w:rsidRPr="00F73301" w14:paraId="0401E737"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7508DD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production expansion and line upgrade projects</w:t>
            </w:r>
          </w:p>
        </w:tc>
        <w:tc>
          <w:tcPr>
            <w:tcW w:w="1377" w:type="dxa"/>
            <w:tcBorders>
              <w:top w:val="single" w:sz="2" w:space="0" w:color="auto"/>
              <w:left w:val="single" w:sz="2" w:space="0" w:color="auto"/>
              <w:bottom w:val="single" w:sz="2" w:space="0" w:color="auto"/>
              <w:right w:val="single" w:sz="2" w:space="0" w:color="auto"/>
            </w:tcBorders>
            <w:vAlign w:val="center"/>
          </w:tcPr>
          <w:p w14:paraId="7020E2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77,193,734.24</w:t>
            </w:r>
          </w:p>
        </w:tc>
        <w:tc>
          <w:tcPr>
            <w:tcW w:w="1377" w:type="dxa"/>
            <w:tcBorders>
              <w:top w:val="single" w:sz="2" w:space="0" w:color="auto"/>
              <w:left w:val="single" w:sz="2" w:space="0" w:color="auto"/>
              <w:bottom w:val="single" w:sz="2" w:space="0" w:color="auto"/>
              <w:right w:val="single" w:sz="2" w:space="0" w:color="auto"/>
            </w:tcBorders>
            <w:vAlign w:val="center"/>
          </w:tcPr>
          <w:p w14:paraId="3896495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8940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77,193,734.24</w:t>
            </w:r>
          </w:p>
        </w:tc>
        <w:tc>
          <w:tcPr>
            <w:tcW w:w="1377" w:type="dxa"/>
            <w:tcBorders>
              <w:top w:val="single" w:sz="2" w:space="0" w:color="auto"/>
              <w:left w:val="single" w:sz="2" w:space="0" w:color="auto"/>
              <w:bottom w:val="single" w:sz="2" w:space="0" w:color="auto"/>
              <w:right w:val="single" w:sz="2" w:space="0" w:color="auto"/>
            </w:tcBorders>
            <w:vAlign w:val="center"/>
          </w:tcPr>
          <w:p w14:paraId="4489399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91,138,938.60</w:t>
            </w:r>
          </w:p>
        </w:tc>
        <w:tc>
          <w:tcPr>
            <w:tcW w:w="1377" w:type="dxa"/>
            <w:tcBorders>
              <w:top w:val="single" w:sz="2" w:space="0" w:color="auto"/>
              <w:left w:val="single" w:sz="2" w:space="0" w:color="auto"/>
              <w:bottom w:val="single" w:sz="2" w:space="0" w:color="auto"/>
              <w:right w:val="single" w:sz="2" w:space="0" w:color="auto"/>
            </w:tcBorders>
            <w:vAlign w:val="center"/>
          </w:tcPr>
          <w:p w14:paraId="5F734CC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54DF2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91,138,938.60</w:t>
            </w:r>
          </w:p>
        </w:tc>
      </w:tr>
      <w:tr w:rsidR="00F73301" w:rsidRPr="00F73301" w14:paraId="5FEC65F7"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80FC8C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Packaging and testing project of ultra-thin micropower semiconductor chip for intelligent terminals</w:t>
            </w:r>
          </w:p>
        </w:tc>
        <w:tc>
          <w:tcPr>
            <w:tcW w:w="1377" w:type="dxa"/>
            <w:tcBorders>
              <w:top w:val="single" w:sz="2" w:space="0" w:color="auto"/>
              <w:left w:val="single" w:sz="2" w:space="0" w:color="auto"/>
              <w:bottom w:val="single" w:sz="2" w:space="0" w:color="auto"/>
              <w:right w:val="single" w:sz="2" w:space="0" w:color="auto"/>
            </w:tcBorders>
            <w:vAlign w:val="center"/>
          </w:tcPr>
          <w:p w14:paraId="7095483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9FF3C7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C08CB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E2DA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44,622,624.35</w:t>
            </w:r>
          </w:p>
        </w:tc>
        <w:tc>
          <w:tcPr>
            <w:tcW w:w="1377" w:type="dxa"/>
            <w:tcBorders>
              <w:top w:val="single" w:sz="2" w:space="0" w:color="auto"/>
              <w:left w:val="single" w:sz="2" w:space="0" w:color="auto"/>
              <w:bottom w:val="single" w:sz="2" w:space="0" w:color="auto"/>
              <w:right w:val="single" w:sz="2" w:space="0" w:color="auto"/>
            </w:tcBorders>
            <w:vAlign w:val="center"/>
          </w:tcPr>
          <w:p w14:paraId="11F510B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8ED77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44,622,624.35</w:t>
            </w:r>
          </w:p>
        </w:tc>
      </w:tr>
      <w:tr w:rsidR="00F73301" w:rsidRPr="00F73301" w14:paraId="68C117C6"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0B1092F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Wafer project phase II</w:t>
            </w:r>
          </w:p>
        </w:tc>
        <w:tc>
          <w:tcPr>
            <w:tcW w:w="1377" w:type="dxa"/>
            <w:tcBorders>
              <w:top w:val="single" w:sz="2" w:space="0" w:color="auto"/>
              <w:left w:val="single" w:sz="2" w:space="0" w:color="auto"/>
              <w:bottom w:val="single" w:sz="2" w:space="0" w:color="auto"/>
              <w:right w:val="single" w:sz="2" w:space="0" w:color="auto"/>
            </w:tcBorders>
            <w:vAlign w:val="center"/>
          </w:tcPr>
          <w:p w14:paraId="15E3EC8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245,219,465.90</w:t>
            </w:r>
          </w:p>
        </w:tc>
        <w:tc>
          <w:tcPr>
            <w:tcW w:w="1377" w:type="dxa"/>
            <w:tcBorders>
              <w:top w:val="single" w:sz="2" w:space="0" w:color="auto"/>
              <w:left w:val="single" w:sz="2" w:space="0" w:color="auto"/>
              <w:bottom w:val="single" w:sz="2" w:space="0" w:color="auto"/>
              <w:right w:val="single" w:sz="2" w:space="0" w:color="auto"/>
            </w:tcBorders>
            <w:vAlign w:val="center"/>
          </w:tcPr>
          <w:p w14:paraId="63F67B4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E3D9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245,219,465.90</w:t>
            </w:r>
          </w:p>
        </w:tc>
        <w:tc>
          <w:tcPr>
            <w:tcW w:w="1377" w:type="dxa"/>
            <w:tcBorders>
              <w:top w:val="single" w:sz="2" w:space="0" w:color="auto"/>
              <w:left w:val="single" w:sz="2" w:space="0" w:color="auto"/>
              <w:bottom w:val="single" w:sz="2" w:space="0" w:color="auto"/>
              <w:right w:val="single" w:sz="2" w:space="0" w:color="auto"/>
            </w:tcBorders>
            <w:vAlign w:val="center"/>
          </w:tcPr>
          <w:p w14:paraId="1D2303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210,665,955.23</w:t>
            </w:r>
          </w:p>
        </w:tc>
        <w:tc>
          <w:tcPr>
            <w:tcW w:w="1377" w:type="dxa"/>
            <w:tcBorders>
              <w:top w:val="single" w:sz="2" w:space="0" w:color="auto"/>
              <w:left w:val="single" w:sz="2" w:space="0" w:color="auto"/>
              <w:bottom w:val="single" w:sz="2" w:space="0" w:color="auto"/>
              <w:right w:val="single" w:sz="2" w:space="0" w:color="auto"/>
            </w:tcBorders>
            <w:vAlign w:val="center"/>
          </w:tcPr>
          <w:p w14:paraId="63514D1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07F14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210,665,955.23</w:t>
            </w:r>
          </w:p>
        </w:tc>
      </w:tr>
      <w:tr w:rsidR="00F73301" w:rsidRPr="00F73301" w14:paraId="7F947E1B"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2B9E9F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Semiconductor monocrystalline material capacity expansion project phase I</w:t>
            </w:r>
          </w:p>
        </w:tc>
        <w:tc>
          <w:tcPr>
            <w:tcW w:w="1377" w:type="dxa"/>
            <w:tcBorders>
              <w:top w:val="single" w:sz="2" w:space="0" w:color="auto"/>
              <w:left w:val="single" w:sz="2" w:space="0" w:color="auto"/>
              <w:bottom w:val="single" w:sz="2" w:space="0" w:color="auto"/>
              <w:right w:val="single" w:sz="2" w:space="0" w:color="auto"/>
            </w:tcBorders>
            <w:vAlign w:val="center"/>
          </w:tcPr>
          <w:p w14:paraId="4152475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1,894,935.07</w:t>
            </w:r>
          </w:p>
        </w:tc>
        <w:tc>
          <w:tcPr>
            <w:tcW w:w="1377" w:type="dxa"/>
            <w:tcBorders>
              <w:top w:val="single" w:sz="2" w:space="0" w:color="auto"/>
              <w:left w:val="single" w:sz="2" w:space="0" w:color="auto"/>
              <w:bottom w:val="single" w:sz="2" w:space="0" w:color="auto"/>
              <w:right w:val="single" w:sz="2" w:space="0" w:color="auto"/>
            </w:tcBorders>
            <w:vAlign w:val="center"/>
          </w:tcPr>
          <w:p w14:paraId="0C87591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7210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1,894,935.07</w:t>
            </w:r>
          </w:p>
        </w:tc>
        <w:tc>
          <w:tcPr>
            <w:tcW w:w="1377" w:type="dxa"/>
            <w:tcBorders>
              <w:top w:val="single" w:sz="2" w:space="0" w:color="auto"/>
              <w:left w:val="single" w:sz="2" w:space="0" w:color="auto"/>
              <w:bottom w:val="single" w:sz="2" w:space="0" w:color="auto"/>
              <w:right w:val="single" w:sz="2" w:space="0" w:color="auto"/>
            </w:tcBorders>
            <w:vAlign w:val="center"/>
          </w:tcPr>
          <w:p w14:paraId="15EB8CE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2,940,887.56</w:t>
            </w:r>
          </w:p>
        </w:tc>
        <w:tc>
          <w:tcPr>
            <w:tcW w:w="1377" w:type="dxa"/>
            <w:tcBorders>
              <w:top w:val="single" w:sz="2" w:space="0" w:color="auto"/>
              <w:left w:val="single" w:sz="2" w:space="0" w:color="auto"/>
              <w:bottom w:val="single" w:sz="2" w:space="0" w:color="auto"/>
              <w:right w:val="single" w:sz="2" w:space="0" w:color="auto"/>
            </w:tcBorders>
            <w:vAlign w:val="center"/>
          </w:tcPr>
          <w:p w14:paraId="0889DCE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EB5E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2,940,887.56</w:t>
            </w:r>
          </w:p>
        </w:tc>
      </w:tr>
      <w:tr w:rsidR="00F73301" w:rsidRPr="00F73301" w14:paraId="1845CFDE"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7EB6C17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SKY and MOS production </w:t>
            </w:r>
            <w:r w:rsidRPr="00F73301">
              <w:rPr>
                <w:rFonts w:ascii="Times New Roman" w:eastAsia="宋体" w:hAnsi="Times New Roman" w:cs="Times New Roman"/>
                <w:sz w:val="18"/>
                <w:szCs w:val="18"/>
              </w:rPr>
              <w:lastRenderedPageBreak/>
              <w:t>expansion projects</w:t>
            </w:r>
          </w:p>
        </w:tc>
        <w:tc>
          <w:tcPr>
            <w:tcW w:w="1377" w:type="dxa"/>
            <w:tcBorders>
              <w:top w:val="single" w:sz="2" w:space="0" w:color="auto"/>
              <w:left w:val="single" w:sz="2" w:space="0" w:color="auto"/>
              <w:bottom w:val="single" w:sz="2" w:space="0" w:color="auto"/>
              <w:right w:val="single" w:sz="2" w:space="0" w:color="auto"/>
            </w:tcBorders>
            <w:vAlign w:val="center"/>
          </w:tcPr>
          <w:p w14:paraId="44284B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31,104,432.00</w:t>
            </w:r>
          </w:p>
        </w:tc>
        <w:tc>
          <w:tcPr>
            <w:tcW w:w="1377" w:type="dxa"/>
            <w:tcBorders>
              <w:top w:val="single" w:sz="2" w:space="0" w:color="auto"/>
              <w:left w:val="single" w:sz="2" w:space="0" w:color="auto"/>
              <w:bottom w:val="single" w:sz="2" w:space="0" w:color="auto"/>
              <w:right w:val="single" w:sz="2" w:space="0" w:color="auto"/>
            </w:tcBorders>
            <w:vAlign w:val="center"/>
          </w:tcPr>
          <w:p w14:paraId="58E4FE3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F924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31,104,432.00</w:t>
            </w:r>
          </w:p>
        </w:tc>
        <w:tc>
          <w:tcPr>
            <w:tcW w:w="1377" w:type="dxa"/>
            <w:tcBorders>
              <w:top w:val="single" w:sz="2" w:space="0" w:color="auto"/>
              <w:left w:val="single" w:sz="2" w:space="0" w:color="auto"/>
              <w:bottom w:val="single" w:sz="2" w:space="0" w:color="auto"/>
              <w:right w:val="single" w:sz="2" w:space="0" w:color="auto"/>
            </w:tcBorders>
            <w:vAlign w:val="center"/>
          </w:tcPr>
          <w:p w14:paraId="67FA15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63,745,290.43</w:t>
            </w:r>
          </w:p>
        </w:tc>
        <w:tc>
          <w:tcPr>
            <w:tcW w:w="1377" w:type="dxa"/>
            <w:tcBorders>
              <w:top w:val="single" w:sz="2" w:space="0" w:color="auto"/>
              <w:left w:val="single" w:sz="2" w:space="0" w:color="auto"/>
              <w:bottom w:val="single" w:sz="2" w:space="0" w:color="auto"/>
              <w:right w:val="single" w:sz="2" w:space="0" w:color="auto"/>
            </w:tcBorders>
            <w:vAlign w:val="center"/>
          </w:tcPr>
          <w:p w14:paraId="0026D26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6275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63,745,290.43</w:t>
            </w:r>
          </w:p>
        </w:tc>
      </w:tr>
      <w:tr w:rsidR="00F73301" w:rsidRPr="00F73301" w14:paraId="61A5DB2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4944276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8" wafter project</w:t>
            </w:r>
          </w:p>
        </w:tc>
        <w:tc>
          <w:tcPr>
            <w:tcW w:w="1377" w:type="dxa"/>
            <w:tcBorders>
              <w:top w:val="single" w:sz="2" w:space="0" w:color="auto"/>
              <w:left w:val="single" w:sz="2" w:space="0" w:color="auto"/>
              <w:bottom w:val="single" w:sz="2" w:space="0" w:color="auto"/>
              <w:right w:val="single" w:sz="2" w:space="0" w:color="auto"/>
            </w:tcBorders>
            <w:vAlign w:val="center"/>
          </w:tcPr>
          <w:p w14:paraId="56A782C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189,252,388.74</w:t>
            </w:r>
          </w:p>
        </w:tc>
        <w:tc>
          <w:tcPr>
            <w:tcW w:w="1377" w:type="dxa"/>
            <w:tcBorders>
              <w:top w:val="single" w:sz="2" w:space="0" w:color="auto"/>
              <w:left w:val="single" w:sz="2" w:space="0" w:color="auto"/>
              <w:bottom w:val="single" w:sz="2" w:space="0" w:color="auto"/>
              <w:right w:val="single" w:sz="2" w:space="0" w:color="auto"/>
            </w:tcBorders>
            <w:vAlign w:val="center"/>
          </w:tcPr>
          <w:p w14:paraId="73505A7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AB69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189,252,388.74</w:t>
            </w:r>
          </w:p>
        </w:tc>
        <w:tc>
          <w:tcPr>
            <w:tcW w:w="1377" w:type="dxa"/>
            <w:tcBorders>
              <w:top w:val="single" w:sz="2" w:space="0" w:color="auto"/>
              <w:left w:val="single" w:sz="2" w:space="0" w:color="auto"/>
              <w:bottom w:val="single" w:sz="2" w:space="0" w:color="auto"/>
              <w:right w:val="single" w:sz="2" w:space="0" w:color="auto"/>
            </w:tcBorders>
            <w:vAlign w:val="center"/>
          </w:tcPr>
          <w:p w14:paraId="06EB538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F0102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A76A4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E2001DF"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32D600A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fragmentary projects</w:t>
            </w:r>
          </w:p>
        </w:tc>
        <w:tc>
          <w:tcPr>
            <w:tcW w:w="1377" w:type="dxa"/>
            <w:tcBorders>
              <w:top w:val="single" w:sz="2" w:space="0" w:color="auto"/>
              <w:left w:val="single" w:sz="2" w:space="0" w:color="auto"/>
              <w:bottom w:val="single" w:sz="2" w:space="0" w:color="auto"/>
              <w:right w:val="single" w:sz="2" w:space="0" w:color="auto"/>
            </w:tcBorders>
            <w:vAlign w:val="center"/>
          </w:tcPr>
          <w:p w14:paraId="56E4B0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33,826,135.59</w:t>
            </w:r>
          </w:p>
        </w:tc>
        <w:tc>
          <w:tcPr>
            <w:tcW w:w="1377" w:type="dxa"/>
            <w:tcBorders>
              <w:top w:val="single" w:sz="2" w:space="0" w:color="auto"/>
              <w:left w:val="single" w:sz="2" w:space="0" w:color="auto"/>
              <w:bottom w:val="single" w:sz="2" w:space="0" w:color="auto"/>
              <w:right w:val="single" w:sz="2" w:space="0" w:color="auto"/>
            </w:tcBorders>
            <w:vAlign w:val="center"/>
          </w:tcPr>
          <w:p w14:paraId="1E5725C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50775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33,826,135.59</w:t>
            </w:r>
          </w:p>
        </w:tc>
        <w:tc>
          <w:tcPr>
            <w:tcW w:w="1377" w:type="dxa"/>
            <w:tcBorders>
              <w:top w:val="single" w:sz="2" w:space="0" w:color="auto"/>
              <w:left w:val="single" w:sz="2" w:space="0" w:color="auto"/>
              <w:bottom w:val="single" w:sz="2" w:space="0" w:color="auto"/>
              <w:right w:val="single" w:sz="2" w:space="0" w:color="auto"/>
            </w:tcBorders>
            <w:vAlign w:val="center"/>
          </w:tcPr>
          <w:p w14:paraId="79FE313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30,226,985.52</w:t>
            </w:r>
          </w:p>
        </w:tc>
        <w:tc>
          <w:tcPr>
            <w:tcW w:w="1377" w:type="dxa"/>
            <w:tcBorders>
              <w:top w:val="single" w:sz="2" w:space="0" w:color="auto"/>
              <w:left w:val="single" w:sz="2" w:space="0" w:color="auto"/>
              <w:bottom w:val="single" w:sz="2" w:space="0" w:color="auto"/>
              <w:right w:val="single" w:sz="2" w:space="0" w:color="auto"/>
            </w:tcBorders>
            <w:vAlign w:val="center"/>
          </w:tcPr>
          <w:p w14:paraId="27B3268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DA0C8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30,226,985.52</w:t>
            </w:r>
          </w:p>
        </w:tc>
      </w:tr>
      <w:tr w:rsidR="00F73301" w:rsidRPr="00F73301" w14:paraId="40721C9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1CF4858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equipment installation projects</w:t>
            </w:r>
          </w:p>
        </w:tc>
        <w:tc>
          <w:tcPr>
            <w:tcW w:w="1377" w:type="dxa"/>
            <w:tcBorders>
              <w:top w:val="single" w:sz="2" w:space="0" w:color="auto"/>
              <w:left w:val="single" w:sz="2" w:space="0" w:color="auto"/>
              <w:bottom w:val="single" w:sz="2" w:space="0" w:color="auto"/>
              <w:right w:val="single" w:sz="2" w:space="0" w:color="auto"/>
            </w:tcBorders>
            <w:vAlign w:val="center"/>
          </w:tcPr>
          <w:p w14:paraId="6BB36AC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14,508,035.17</w:t>
            </w:r>
          </w:p>
        </w:tc>
        <w:tc>
          <w:tcPr>
            <w:tcW w:w="1377" w:type="dxa"/>
            <w:tcBorders>
              <w:top w:val="single" w:sz="2" w:space="0" w:color="auto"/>
              <w:left w:val="single" w:sz="2" w:space="0" w:color="auto"/>
              <w:bottom w:val="single" w:sz="2" w:space="0" w:color="auto"/>
              <w:right w:val="single" w:sz="2" w:space="0" w:color="auto"/>
            </w:tcBorders>
            <w:vAlign w:val="center"/>
          </w:tcPr>
          <w:p w14:paraId="5D13385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6648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14,508,035.17</w:t>
            </w:r>
          </w:p>
        </w:tc>
        <w:tc>
          <w:tcPr>
            <w:tcW w:w="1377" w:type="dxa"/>
            <w:tcBorders>
              <w:top w:val="single" w:sz="2" w:space="0" w:color="auto"/>
              <w:left w:val="single" w:sz="2" w:space="0" w:color="auto"/>
              <w:bottom w:val="single" w:sz="2" w:space="0" w:color="auto"/>
              <w:right w:val="single" w:sz="2" w:space="0" w:color="auto"/>
            </w:tcBorders>
            <w:vAlign w:val="center"/>
          </w:tcPr>
          <w:p w14:paraId="7FF0061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2,869,707.60</w:t>
            </w:r>
          </w:p>
        </w:tc>
        <w:tc>
          <w:tcPr>
            <w:tcW w:w="1377" w:type="dxa"/>
            <w:tcBorders>
              <w:top w:val="single" w:sz="2" w:space="0" w:color="auto"/>
              <w:left w:val="single" w:sz="2" w:space="0" w:color="auto"/>
              <w:bottom w:val="single" w:sz="2" w:space="0" w:color="auto"/>
              <w:right w:val="single" w:sz="2" w:space="0" w:color="auto"/>
            </w:tcBorders>
            <w:vAlign w:val="center"/>
          </w:tcPr>
          <w:p w14:paraId="3625831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228C6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2,869,707.60</w:t>
            </w:r>
          </w:p>
        </w:tc>
      </w:tr>
      <w:tr w:rsidR="00F73301" w:rsidRPr="00F73301" w14:paraId="1BE162C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4BFDBB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7F5DF0C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612,601,462.25</w:t>
            </w:r>
          </w:p>
        </w:tc>
        <w:tc>
          <w:tcPr>
            <w:tcW w:w="1377" w:type="dxa"/>
            <w:tcBorders>
              <w:top w:val="single" w:sz="2" w:space="0" w:color="auto"/>
              <w:left w:val="single" w:sz="2" w:space="0" w:color="auto"/>
              <w:bottom w:val="single" w:sz="2" w:space="0" w:color="auto"/>
              <w:right w:val="single" w:sz="2" w:space="0" w:color="auto"/>
            </w:tcBorders>
            <w:vAlign w:val="center"/>
          </w:tcPr>
          <w:p w14:paraId="51EAB35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F01C7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612,601,462.25</w:t>
            </w:r>
          </w:p>
        </w:tc>
        <w:tc>
          <w:tcPr>
            <w:tcW w:w="1377" w:type="dxa"/>
            <w:tcBorders>
              <w:top w:val="single" w:sz="2" w:space="0" w:color="auto"/>
              <w:left w:val="single" w:sz="2" w:space="0" w:color="auto"/>
              <w:bottom w:val="single" w:sz="2" w:space="0" w:color="auto"/>
              <w:right w:val="single" w:sz="2" w:space="0" w:color="auto"/>
            </w:tcBorders>
            <w:vAlign w:val="center"/>
          </w:tcPr>
          <w:p w14:paraId="1D8058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461,878,389.19</w:t>
            </w:r>
          </w:p>
        </w:tc>
        <w:tc>
          <w:tcPr>
            <w:tcW w:w="1377" w:type="dxa"/>
            <w:tcBorders>
              <w:top w:val="single" w:sz="2" w:space="0" w:color="auto"/>
              <w:left w:val="single" w:sz="2" w:space="0" w:color="auto"/>
              <w:bottom w:val="single" w:sz="2" w:space="0" w:color="auto"/>
              <w:right w:val="single" w:sz="2" w:space="0" w:color="auto"/>
            </w:tcBorders>
            <w:vAlign w:val="center"/>
          </w:tcPr>
          <w:p w14:paraId="5FE013D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665B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461,878,389.19</w:t>
            </w:r>
          </w:p>
        </w:tc>
      </w:tr>
    </w:tbl>
    <w:p w14:paraId="30961673"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06" w:name="_Toc989094"/>
      <w:r w:rsidRPr="00F73301">
        <w:rPr>
          <w:rFonts w:ascii="Times New Roman" w:eastAsia="宋体" w:hAnsi="Times New Roman" w:cs="Times New Roman"/>
          <w:b/>
          <w:bCs/>
          <w:sz w:val="24"/>
          <w:szCs w:val="24"/>
        </w:rPr>
        <w:t>(2) Changes in significant construction in progress during the current period</w:t>
      </w:r>
      <w:bookmarkEnd w:id="206"/>
    </w:p>
    <w:p w14:paraId="08E8042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000" w:firstRow="0" w:lastRow="0" w:firstColumn="0" w:lastColumn="0" w:noHBand="0" w:noVBand="0"/>
      </w:tblPr>
      <w:tblGrid>
        <w:gridCol w:w="742"/>
        <w:gridCol w:w="742"/>
        <w:gridCol w:w="742"/>
        <w:gridCol w:w="742"/>
        <w:gridCol w:w="742"/>
        <w:gridCol w:w="742"/>
        <w:gridCol w:w="648"/>
        <w:gridCol w:w="834"/>
        <w:gridCol w:w="741"/>
        <w:gridCol w:w="741"/>
        <w:gridCol w:w="741"/>
        <w:gridCol w:w="741"/>
        <w:gridCol w:w="741"/>
      </w:tblGrid>
      <w:tr w:rsidR="008C49B7" w:rsidRPr="008A539F" w14:paraId="41542F6C"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14:paraId="47F540B6"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Items</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14:paraId="26C06474"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Budget</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14:paraId="3DDA83EB"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Opening balance</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14:paraId="030396AE"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Increased amount for the current period</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14:paraId="3BB84F8D"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Amount of fixed assets transferred-in for the current period</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14:paraId="28D0B2DC"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Other decreased amount for the current period</w:t>
            </w:r>
          </w:p>
        </w:tc>
        <w:tc>
          <w:tcPr>
            <w:tcW w:w="648" w:type="dxa"/>
            <w:tcBorders>
              <w:top w:val="single" w:sz="2" w:space="0" w:color="auto"/>
              <w:left w:val="single" w:sz="2" w:space="0" w:color="auto"/>
              <w:bottom w:val="single" w:sz="2" w:space="0" w:color="auto"/>
              <w:right w:val="single" w:sz="2" w:space="0" w:color="auto"/>
            </w:tcBorders>
            <w:shd w:val="clear" w:color="auto" w:fill="D3D3D3"/>
            <w:vAlign w:val="center"/>
          </w:tcPr>
          <w:p w14:paraId="696A7C35"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Closing balance</w:t>
            </w:r>
          </w:p>
        </w:tc>
        <w:tc>
          <w:tcPr>
            <w:tcW w:w="834" w:type="dxa"/>
            <w:tcBorders>
              <w:top w:val="single" w:sz="2" w:space="0" w:color="auto"/>
              <w:left w:val="single" w:sz="2" w:space="0" w:color="auto"/>
              <w:bottom w:val="single" w:sz="2" w:space="0" w:color="auto"/>
              <w:right w:val="single" w:sz="2" w:space="0" w:color="auto"/>
            </w:tcBorders>
            <w:shd w:val="clear" w:color="auto" w:fill="D3D3D3"/>
            <w:vAlign w:val="center"/>
          </w:tcPr>
          <w:p w14:paraId="352BF8BD"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Proportion of accumulated investment in constructions to budget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2F22B52"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Construction progress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F74DFA0"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Accumulated amount of capitalized interest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1B3DA43"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Of which: Amount of capitalized interests for the current period</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BC90DB5"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Capitalization rate of interests for the current period</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B1FE2FF" w14:textId="77777777" w:rsidR="00F73301" w:rsidRPr="008A539F" w:rsidRDefault="00F73301" w:rsidP="008C49B7">
            <w:pPr>
              <w:snapToGrid w:val="0"/>
              <w:jc w:val="center"/>
              <w:rPr>
                <w:rFonts w:ascii="Times New Roman" w:eastAsia="宋体" w:hAnsi="Times New Roman" w:cs="Times New Roman"/>
                <w:sz w:val="13"/>
                <w:szCs w:val="13"/>
              </w:rPr>
            </w:pPr>
            <w:r w:rsidRPr="008A539F">
              <w:rPr>
                <w:rFonts w:ascii="Times New Roman" w:eastAsia="宋体" w:hAnsi="Times New Roman" w:cs="Times New Roman"/>
                <w:sz w:val="13"/>
                <w:szCs w:val="13"/>
              </w:rPr>
              <w:t>Fund source</w:t>
            </w:r>
          </w:p>
        </w:tc>
      </w:tr>
      <w:tr w:rsidR="00F73301" w:rsidRPr="008A539F" w14:paraId="44C3AD40"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vAlign w:val="center"/>
          </w:tcPr>
          <w:p w14:paraId="55AC1388"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SMT workshop production expansion project</w:t>
            </w:r>
          </w:p>
        </w:tc>
        <w:tc>
          <w:tcPr>
            <w:tcW w:w="742" w:type="dxa"/>
            <w:tcBorders>
              <w:top w:val="single" w:sz="2" w:space="0" w:color="auto"/>
              <w:left w:val="single" w:sz="2" w:space="0" w:color="auto"/>
              <w:bottom w:val="single" w:sz="2" w:space="0" w:color="auto"/>
              <w:right w:val="single" w:sz="2" w:space="0" w:color="auto"/>
            </w:tcBorders>
            <w:vAlign w:val="center"/>
          </w:tcPr>
          <w:p w14:paraId="45762551"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310,000,000.00</w:t>
            </w:r>
          </w:p>
        </w:tc>
        <w:tc>
          <w:tcPr>
            <w:tcW w:w="742" w:type="dxa"/>
            <w:tcBorders>
              <w:top w:val="single" w:sz="2" w:space="0" w:color="auto"/>
              <w:left w:val="single" w:sz="2" w:space="0" w:color="auto"/>
              <w:bottom w:val="single" w:sz="2" w:space="0" w:color="auto"/>
              <w:right w:val="single" w:sz="2" w:space="0" w:color="auto"/>
            </w:tcBorders>
            <w:vAlign w:val="center"/>
          </w:tcPr>
          <w:p w14:paraId="60827741"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15,667,999.90</w:t>
            </w:r>
          </w:p>
        </w:tc>
        <w:tc>
          <w:tcPr>
            <w:tcW w:w="742" w:type="dxa"/>
            <w:tcBorders>
              <w:top w:val="single" w:sz="2" w:space="0" w:color="auto"/>
              <w:left w:val="single" w:sz="2" w:space="0" w:color="auto"/>
              <w:bottom w:val="single" w:sz="2" w:space="0" w:color="auto"/>
              <w:right w:val="single" w:sz="2" w:space="0" w:color="auto"/>
            </w:tcBorders>
            <w:vAlign w:val="center"/>
          </w:tcPr>
          <w:p w14:paraId="0825E8DC"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28,849,103.15</w:t>
            </w:r>
          </w:p>
        </w:tc>
        <w:tc>
          <w:tcPr>
            <w:tcW w:w="742" w:type="dxa"/>
            <w:tcBorders>
              <w:top w:val="single" w:sz="2" w:space="0" w:color="auto"/>
              <w:left w:val="single" w:sz="2" w:space="0" w:color="auto"/>
              <w:bottom w:val="single" w:sz="2" w:space="0" w:color="auto"/>
              <w:right w:val="single" w:sz="2" w:space="0" w:color="auto"/>
            </w:tcBorders>
            <w:vAlign w:val="center"/>
          </w:tcPr>
          <w:p w14:paraId="3162F725"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24,625,805.80</w:t>
            </w:r>
          </w:p>
        </w:tc>
        <w:tc>
          <w:tcPr>
            <w:tcW w:w="742" w:type="dxa"/>
            <w:tcBorders>
              <w:top w:val="single" w:sz="2" w:space="0" w:color="auto"/>
              <w:left w:val="single" w:sz="2" w:space="0" w:color="auto"/>
              <w:bottom w:val="single" w:sz="2" w:space="0" w:color="auto"/>
              <w:right w:val="single" w:sz="2" w:space="0" w:color="auto"/>
            </w:tcBorders>
            <w:vAlign w:val="center"/>
          </w:tcPr>
          <w:p w14:paraId="3CB01B43"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288,961.71</w:t>
            </w:r>
          </w:p>
        </w:tc>
        <w:tc>
          <w:tcPr>
            <w:tcW w:w="648" w:type="dxa"/>
            <w:tcBorders>
              <w:top w:val="single" w:sz="2" w:space="0" w:color="auto"/>
              <w:left w:val="single" w:sz="2" w:space="0" w:color="auto"/>
              <w:bottom w:val="single" w:sz="2" w:space="0" w:color="auto"/>
              <w:right w:val="single" w:sz="2" w:space="0" w:color="auto"/>
            </w:tcBorders>
            <w:vAlign w:val="center"/>
          </w:tcPr>
          <w:p w14:paraId="4B12A47E"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19,602,335.54</w:t>
            </w:r>
          </w:p>
        </w:tc>
        <w:tc>
          <w:tcPr>
            <w:tcW w:w="834" w:type="dxa"/>
            <w:tcBorders>
              <w:top w:val="single" w:sz="2" w:space="0" w:color="auto"/>
              <w:left w:val="single" w:sz="2" w:space="0" w:color="auto"/>
              <w:bottom w:val="single" w:sz="2" w:space="0" w:color="auto"/>
              <w:right w:val="single" w:sz="2" w:space="0" w:color="auto"/>
            </w:tcBorders>
            <w:vAlign w:val="center"/>
          </w:tcPr>
          <w:p w14:paraId="253D56BC"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110.21%</w:t>
            </w:r>
          </w:p>
        </w:tc>
        <w:tc>
          <w:tcPr>
            <w:tcW w:w="741" w:type="dxa"/>
            <w:tcBorders>
              <w:top w:val="single" w:sz="2" w:space="0" w:color="auto"/>
              <w:left w:val="single" w:sz="2" w:space="0" w:color="auto"/>
              <w:bottom w:val="single" w:sz="2" w:space="0" w:color="auto"/>
              <w:right w:val="single" w:sz="2" w:space="0" w:color="auto"/>
            </w:tcBorders>
            <w:vAlign w:val="center"/>
          </w:tcPr>
          <w:p w14:paraId="3D351F6C"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100.00%</w:t>
            </w:r>
          </w:p>
        </w:tc>
        <w:tc>
          <w:tcPr>
            <w:tcW w:w="741" w:type="dxa"/>
            <w:tcBorders>
              <w:top w:val="single" w:sz="2" w:space="0" w:color="auto"/>
              <w:left w:val="single" w:sz="2" w:space="0" w:color="auto"/>
              <w:bottom w:val="single" w:sz="2" w:space="0" w:color="auto"/>
              <w:right w:val="single" w:sz="2" w:space="0" w:color="auto"/>
            </w:tcBorders>
            <w:vAlign w:val="center"/>
          </w:tcPr>
          <w:p w14:paraId="3A0343C2"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2A4B34EE"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223A64EE"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353EC977"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Others</w:t>
            </w:r>
          </w:p>
        </w:tc>
      </w:tr>
      <w:tr w:rsidR="00F73301" w:rsidRPr="008A539F" w14:paraId="42F32EB2"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vAlign w:val="center"/>
          </w:tcPr>
          <w:p w14:paraId="21DA53FB"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 production expansion and line upgrade projects</w:t>
            </w:r>
          </w:p>
        </w:tc>
        <w:tc>
          <w:tcPr>
            <w:tcW w:w="742" w:type="dxa"/>
            <w:tcBorders>
              <w:top w:val="single" w:sz="2" w:space="0" w:color="auto"/>
              <w:left w:val="single" w:sz="2" w:space="0" w:color="auto"/>
              <w:bottom w:val="single" w:sz="2" w:space="0" w:color="auto"/>
              <w:right w:val="single" w:sz="2" w:space="0" w:color="auto"/>
            </w:tcBorders>
            <w:vAlign w:val="center"/>
          </w:tcPr>
          <w:p w14:paraId="4FD494F5"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430,000,000.00</w:t>
            </w:r>
          </w:p>
        </w:tc>
        <w:tc>
          <w:tcPr>
            <w:tcW w:w="742" w:type="dxa"/>
            <w:tcBorders>
              <w:top w:val="single" w:sz="2" w:space="0" w:color="auto"/>
              <w:left w:val="single" w:sz="2" w:space="0" w:color="auto"/>
              <w:bottom w:val="single" w:sz="2" w:space="0" w:color="auto"/>
              <w:right w:val="single" w:sz="2" w:space="0" w:color="auto"/>
            </w:tcBorders>
            <w:vAlign w:val="center"/>
          </w:tcPr>
          <w:p w14:paraId="29634D80"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91,138,938.60</w:t>
            </w:r>
          </w:p>
        </w:tc>
        <w:tc>
          <w:tcPr>
            <w:tcW w:w="742" w:type="dxa"/>
            <w:tcBorders>
              <w:top w:val="single" w:sz="2" w:space="0" w:color="auto"/>
              <w:left w:val="single" w:sz="2" w:space="0" w:color="auto"/>
              <w:bottom w:val="single" w:sz="2" w:space="0" w:color="auto"/>
              <w:right w:val="single" w:sz="2" w:space="0" w:color="auto"/>
            </w:tcBorders>
            <w:vAlign w:val="center"/>
          </w:tcPr>
          <w:p w14:paraId="61A100D0"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27,016,771.35</w:t>
            </w:r>
          </w:p>
        </w:tc>
        <w:tc>
          <w:tcPr>
            <w:tcW w:w="742" w:type="dxa"/>
            <w:tcBorders>
              <w:top w:val="single" w:sz="2" w:space="0" w:color="auto"/>
              <w:left w:val="single" w:sz="2" w:space="0" w:color="auto"/>
              <w:bottom w:val="single" w:sz="2" w:space="0" w:color="auto"/>
              <w:right w:val="single" w:sz="2" w:space="0" w:color="auto"/>
            </w:tcBorders>
            <w:vAlign w:val="center"/>
          </w:tcPr>
          <w:p w14:paraId="78A9192E"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30,564,867.48</w:t>
            </w:r>
          </w:p>
        </w:tc>
        <w:tc>
          <w:tcPr>
            <w:tcW w:w="742" w:type="dxa"/>
            <w:tcBorders>
              <w:top w:val="single" w:sz="2" w:space="0" w:color="auto"/>
              <w:left w:val="single" w:sz="2" w:space="0" w:color="auto"/>
              <w:bottom w:val="single" w:sz="2" w:space="0" w:color="auto"/>
              <w:right w:val="single" w:sz="2" w:space="0" w:color="auto"/>
            </w:tcBorders>
            <w:vAlign w:val="center"/>
          </w:tcPr>
          <w:p w14:paraId="0A37EFF4"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10,397,108.23</w:t>
            </w:r>
          </w:p>
        </w:tc>
        <w:tc>
          <w:tcPr>
            <w:tcW w:w="648" w:type="dxa"/>
            <w:tcBorders>
              <w:top w:val="single" w:sz="2" w:space="0" w:color="auto"/>
              <w:left w:val="single" w:sz="2" w:space="0" w:color="auto"/>
              <w:bottom w:val="single" w:sz="2" w:space="0" w:color="auto"/>
              <w:right w:val="single" w:sz="2" w:space="0" w:color="auto"/>
            </w:tcBorders>
            <w:vAlign w:val="center"/>
          </w:tcPr>
          <w:p w14:paraId="1EFD0908"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77,193,734.24</w:t>
            </w:r>
          </w:p>
        </w:tc>
        <w:tc>
          <w:tcPr>
            <w:tcW w:w="834" w:type="dxa"/>
            <w:tcBorders>
              <w:top w:val="single" w:sz="2" w:space="0" w:color="auto"/>
              <w:left w:val="single" w:sz="2" w:space="0" w:color="auto"/>
              <w:bottom w:val="single" w:sz="2" w:space="0" w:color="auto"/>
              <w:right w:val="single" w:sz="2" w:space="0" w:color="auto"/>
            </w:tcBorders>
            <w:vAlign w:val="center"/>
          </w:tcPr>
          <w:p w14:paraId="6C5043E2"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93.98%</w:t>
            </w:r>
          </w:p>
        </w:tc>
        <w:tc>
          <w:tcPr>
            <w:tcW w:w="741" w:type="dxa"/>
            <w:tcBorders>
              <w:top w:val="single" w:sz="2" w:space="0" w:color="auto"/>
              <w:left w:val="single" w:sz="2" w:space="0" w:color="auto"/>
              <w:bottom w:val="single" w:sz="2" w:space="0" w:color="auto"/>
              <w:right w:val="single" w:sz="2" w:space="0" w:color="auto"/>
            </w:tcBorders>
            <w:vAlign w:val="center"/>
          </w:tcPr>
          <w:p w14:paraId="5E4915FB"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94.00%</w:t>
            </w:r>
          </w:p>
        </w:tc>
        <w:tc>
          <w:tcPr>
            <w:tcW w:w="741" w:type="dxa"/>
            <w:tcBorders>
              <w:top w:val="single" w:sz="2" w:space="0" w:color="auto"/>
              <w:left w:val="single" w:sz="2" w:space="0" w:color="auto"/>
              <w:bottom w:val="single" w:sz="2" w:space="0" w:color="auto"/>
              <w:right w:val="single" w:sz="2" w:space="0" w:color="auto"/>
            </w:tcBorders>
            <w:vAlign w:val="center"/>
          </w:tcPr>
          <w:p w14:paraId="34DD3924"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25E5F6B1"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0235AB43"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5FF7DD57"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Others</w:t>
            </w:r>
          </w:p>
        </w:tc>
      </w:tr>
      <w:tr w:rsidR="00F73301" w:rsidRPr="008A539F" w14:paraId="2D68E282"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vAlign w:val="center"/>
          </w:tcPr>
          <w:p w14:paraId="06533637"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Packaging and testing project of ultra-thin micropower semiconductor chip for intelligent terminals</w:t>
            </w:r>
          </w:p>
        </w:tc>
        <w:tc>
          <w:tcPr>
            <w:tcW w:w="742" w:type="dxa"/>
            <w:tcBorders>
              <w:top w:val="single" w:sz="2" w:space="0" w:color="auto"/>
              <w:left w:val="single" w:sz="2" w:space="0" w:color="auto"/>
              <w:bottom w:val="single" w:sz="2" w:space="0" w:color="auto"/>
              <w:right w:val="single" w:sz="2" w:space="0" w:color="auto"/>
            </w:tcBorders>
            <w:vAlign w:val="center"/>
          </w:tcPr>
          <w:p w14:paraId="41537D66"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1,380,000,000.00</w:t>
            </w:r>
          </w:p>
        </w:tc>
        <w:tc>
          <w:tcPr>
            <w:tcW w:w="742" w:type="dxa"/>
            <w:tcBorders>
              <w:top w:val="single" w:sz="2" w:space="0" w:color="auto"/>
              <w:left w:val="single" w:sz="2" w:space="0" w:color="auto"/>
              <w:bottom w:val="single" w:sz="2" w:space="0" w:color="auto"/>
              <w:right w:val="single" w:sz="2" w:space="0" w:color="auto"/>
            </w:tcBorders>
            <w:vAlign w:val="center"/>
          </w:tcPr>
          <w:p w14:paraId="3AFE8C58"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44,622,624.35</w:t>
            </w:r>
          </w:p>
        </w:tc>
        <w:tc>
          <w:tcPr>
            <w:tcW w:w="742" w:type="dxa"/>
            <w:tcBorders>
              <w:top w:val="single" w:sz="2" w:space="0" w:color="auto"/>
              <w:left w:val="single" w:sz="2" w:space="0" w:color="auto"/>
              <w:bottom w:val="single" w:sz="2" w:space="0" w:color="auto"/>
              <w:right w:val="single" w:sz="2" w:space="0" w:color="auto"/>
            </w:tcBorders>
            <w:vAlign w:val="center"/>
          </w:tcPr>
          <w:p w14:paraId="525AE116"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0.00</w:t>
            </w:r>
          </w:p>
        </w:tc>
        <w:tc>
          <w:tcPr>
            <w:tcW w:w="742" w:type="dxa"/>
            <w:tcBorders>
              <w:top w:val="single" w:sz="2" w:space="0" w:color="auto"/>
              <w:left w:val="single" w:sz="2" w:space="0" w:color="auto"/>
              <w:bottom w:val="single" w:sz="2" w:space="0" w:color="auto"/>
              <w:right w:val="single" w:sz="2" w:space="0" w:color="auto"/>
            </w:tcBorders>
            <w:vAlign w:val="center"/>
          </w:tcPr>
          <w:p w14:paraId="0379F006"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41,535,765.12</w:t>
            </w:r>
          </w:p>
        </w:tc>
        <w:tc>
          <w:tcPr>
            <w:tcW w:w="742" w:type="dxa"/>
            <w:tcBorders>
              <w:top w:val="single" w:sz="2" w:space="0" w:color="auto"/>
              <w:left w:val="single" w:sz="2" w:space="0" w:color="auto"/>
              <w:bottom w:val="single" w:sz="2" w:space="0" w:color="auto"/>
              <w:right w:val="single" w:sz="2" w:space="0" w:color="auto"/>
            </w:tcBorders>
            <w:vAlign w:val="center"/>
          </w:tcPr>
          <w:p w14:paraId="77F9C049"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3,086,859.23</w:t>
            </w:r>
          </w:p>
        </w:tc>
        <w:tc>
          <w:tcPr>
            <w:tcW w:w="648" w:type="dxa"/>
            <w:tcBorders>
              <w:top w:val="single" w:sz="2" w:space="0" w:color="auto"/>
              <w:left w:val="single" w:sz="2" w:space="0" w:color="auto"/>
              <w:bottom w:val="single" w:sz="2" w:space="0" w:color="auto"/>
              <w:right w:val="single" w:sz="2" w:space="0" w:color="auto"/>
            </w:tcBorders>
            <w:vAlign w:val="center"/>
          </w:tcPr>
          <w:p w14:paraId="4352B3DE" w14:textId="77777777" w:rsidR="00F73301" w:rsidRPr="008A539F" w:rsidRDefault="00F73301" w:rsidP="008C49B7">
            <w:pPr>
              <w:snapToGrid w:val="0"/>
              <w:jc w:val="right"/>
              <w:rPr>
                <w:rFonts w:ascii="Times New Roman" w:eastAsia="宋体" w:hAnsi="Times New Roman" w:cs="Times New Roman"/>
                <w:sz w:val="13"/>
                <w:szCs w:val="13"/>
              </w:rPr>
            </w:pPr>
          </w:p>
        </w:tc>
        <w:tc>
          <w:tcPr>
            <w:tcW w:w="834" w:type="dxa"/>
            <w:tcBorders>
              <w:top w:val="single" w:sz="2" w:space="0" w:color="auto"/>
              <w:left w:val="single" w:sz="2" w:space="0" w:color="auto"/>
              <w:bottom w:val="single" w:sz="2" w:space="0" w:color="auto"/>
              <w:right w:val="single" w:sz="2" w:space="0" w:color="auto"/>
            </w:tcBorders>
            <w:vAlign w:val="center"/>
          </w:tcPr>
          <w:p w14:paraId="56CB3585"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98.21%</w:t>
            </w:r>
          </w:p>
        </w:tc>
        <w:tc>
          <w:tcPr>
            <w:tcW w:w="741" w:type="dxa"/>
            <w:tcBorders>
              <w:top w:val="single" w:sz="2" w:space="0" w:color="auto"/>
              <w:left w:val="single" w:sz="2" w:space="0" w:color="auto"/>
              <w:bottom w:val="single" w:sz="2" w:space="0" w:color="auto"/>
              <w:right w:val="single" w:sz="2" w:space="0" w:color="auto"/>
            </w:tcBorders>
            <w:vAlign w:val="center"/>
          </w:tcPr>
          <w:p w14:paraId="4CD12268"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98.00%</w:t>
            </w:r>
          </w:p>
        </w:tc>
        <w:tc>
          <w:tcPr>
            <w:tcW w:w="741" w:type="dxa"/>
            <w:tcBorders>
              <w:top w:val="single" w:sz="2" w:space="0" w:color="auto"/>
              <w:left w:val="single" w:sz="2" w:space="0" w:color="auto"/>
              <w:bottom w:val="single" w:sz="2" w:space="0" w:color="auto"/>
              <w:right w:val="single" w:sz="2" w:space="0" w:color="auto"/>
            </w:tcBorders>
            <w:vAlign w:val="center"/>
          </w:tcPr>
          <w:p w14:paraId="0E21C9A0"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4140AA6F"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68D73DB6"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246763B5"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Raised through equity offering</w:t>
            </w:r>
          </w:p>
        </w:tc>
      </w:tr>
      <w:tr w:rsidR="00F73301" w:rsidRPr="008A539F" w14:paraId="41593F38"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vAlign w:val="center"/>
          </w:tcPr>
          <w:p w14:paraId="2BC66135"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Wafer project phase II</w:t>
            </w:r>
          </w:p>
        </w:tc>
        <w:tc>
          <w:tcPr>
            <w:tcW w:w="742" w:type="dxa"/>
            <w:tcBorders>
              <w:top w:val="single" w:sz="2" w:space="0" w:color="auto"/>
              <w:left w:val="single" w:sz="2" w:space="0" w:color="auto"/>
              <w:bottom w:val="single" w:sz="2" w:space="0" w:color="auto"/>
              <w:right w:val="single" w:sz="2" w:space="0" w:color="auto"/>
            </w:tcBorders>
            <w:vAlign w:val="center"/>
          </w:tcPr>
          <w:p w14:paraId="748BE8C5"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280,000,000.00</w:t>
            </w:r>
          </w:p>
        </w:tc>
        <w:tc>
          <w:tcPr>
            <w:tcW w:w="742" w:type="dxa"/>
            <w:tcBorders>
              <w:top w:val="single" w:sz="2" w:space="0" w:color="auto"/>
              <w:left w:val="single" w:sz="2" w:space="0" w:color="auto"/>
              <w:bottom w:val="single" w:sz="2" w:space="0" w:color="auto"/>
              <w:right w:val="single" w:sz="2" w:space="0" w:color="auto"/>
            </w:tcBorders>
            <w:vAlign w:val="center"/>
          </w:tcPr>
          <w:p w14:paraId="366DC873"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210,665,955.23</w:t>
            </w:r>
          </w:p>
        </w:tc>
        <w:tc>
          <w:tcPr>
            <w:tcW w:w="742" w:type="dxa"/>
            <w:tcBorders>
              <w:top w:val="single" w:sz="2" w:space="0" w:color="auto"/>
              <w:left w:val="single" w:sz="2" w:space="0" w:color="auto"/>
              <w:bottom w:val="single" w:sz="2" w:space="0" w:color="auto"/>
              <w:right w:val="single" w:sz="2" w:space="0" w:color="auto"/>
            </w:tcBorders>
            <w:vAlign w:val="center"/>
          </w:tcPr>
          <w:p w14:paraId="2CAFB96C"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50,417,489.26</w:t>
            </w:r>
          </w:p>
        </w:tc>
        <w:tc>
          <w:tcPr>
            <w:tcW w:w="742" w:type="dxa"/>
            <w:tcBorders>
              <w:top w:val="single" w:sz="2" w:space="0" w:color="auto"/>
              <w:left w:val="single" w:sz="2" w:space="0" w:color="auto"/>
              <w:bottom w:val="single" w:sz="2" w:space="0" w:color="auto"/>
              <w:right w:val="single" w:sz="2" w:space="0" w:color="auto"/>
            </w:tcBorders>
            <w:vAlign w:val="center"/>
          </w:tcPr>
          <w:p w14:paraId="6C692F4F"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15,741,981.06</w:t>
            </w:r>
          </w:p>
        </w:tc>
        <w:tc>
          <w:tcPr>
            <w:tcW w:w="742" w:type="dxa"/>
            <w:tcBorders>
              <w:top w:val="single" w:sz="2" w:space="0" w:color="auto"/>
              <w:left w:val="single" w:sz="2" w:space="0" w:color="auto"/>
              <w:bottom w:val="single" w:sz="2" w:space="0" w:color="auto"/>
              <w:right w:val="single" w:sz="2" w:space="0" w:color="auto"/>
            </w:tcBorders>
            <w:vAlign w:val="center"/>
          </w:tcPr>
          <w:p w14:paraId="1A48EA0E"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121,997.53</w:t>
            </w:r>
          </w:p>
        </w:tc>
        <w:tc>
          <w:tcPr>
            <w:tcW w:w="648" w:type="dxa"/>
            <w:tcBorders>
              <w:top w:val="single" w:sz="2" w:space="0" w:color="auto"/>
              <w:left w:val="single" w:sz="2" w:space="0" w:color="auto"/>
              <w:bottom w:val="single" w:sz="2" w:space="0" w:color="auto"/>
              <w:right w:val="single" w:sz="2" w:space="0" w:color="auto"/>
            </w:tcBorders>
            <w:vAlign w:val="center"/>
          </w:tcPr>
          <w:p w14:paraId="7A47D467"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245,219,465.90</w:t>
            </w:r>
          </w:p>
        </w:tc>
        <w:tc>
          <w:tcPr>
            <w:tcW w:w="834" w:type="dxa"/>
            <w:tcBorders>
              <w:top w:val="single" w:sz="2" w:space="0" w:color="auto"/>
              <w:left w:val="single" w:sz="2" w:space="0" w:color="auto"/>
              <w:bottom w:val="single" w:sz="2" w:space="0" w:color="auto"/>
              <w:right w:val="single" w:sz="2" w:space="0" w:color="auto"/>
            </w:tcBorders>
            <w:vAlign w:val="center"/>
          </w:tcPr>
          <w:p w14:paraId="30AC71E6"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101.12%</w:t>
            </w:r>
          </w:p>
        </w:tc>
        <w:tc>
          <w:tcPr>
            <w:tcW w:w="741" w:type="dxa"/>
            <w:tcBorders>
              <w:top w:val="single" w:sz="2" w:space="0" w:color="auto"/>
              <w:left w:val="single" w:sz="2" w:space="0" w:color="auto"/>
              <w:bottom w:val="single" w:sz="2" w:space="0" w:color="auto"/>
              <w:right w:val="single" w:sz="2" w:space="0" w:color="auto"/>
            </w:tcBorders>
            <w:vAlign w:val="center"/>
          </w:tcPr>
          <w:p w14:paraId="629A4F68"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100.00%</w:t>
            </w:r>
          </w:p>
        </w:tc>
        <w:tc>
          <w:tcPr>
            <w:tcW w:w="741" w:type="dxa"/>
            <w:tcBorders>
              <w:top w:val="single" w:sz="2" w:space="0" w:color="auto"/>
              <w:left w:val="single" w:sz="2" w:space="0" w:color="auto"/>
              <w:bottom w:val="single" w:sz="2" w:space="0" w:color="auto"/>
              <w:right w:val="single" w:sz="2" w:space="0" w:color="auto"/>
            </w:tcBorders>
            <w:vAlign w:val="center"/>
          </w:tcPr>
          <w:p w14:paraId="54E5343A"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7811810A"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52905305"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05CDC05C"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Others</w:t>
            </w:r>
          </w:p>
        </w:tc>
      </w:tr>
      <w:tr w:rsidR="00F73301" w:rsidRPr="008A539F" w14:paraId="68C85E71"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vAlign w:val="center"/>
          </w:tcPr>
          <w:p w14:paraId="17DB3138"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Semiconductor monocrystalline material capacity expansion project phase I</w:t>
            </w:r>
          </w:p>
        </w:tc>
        <w:tc>
          <w:tcPr>
            <w:tcW w:w="742" w:type="dxa"/>
            <w:tcBorders>
              <w:top w:val="single" w:sz="2" w:space="0" w:color="auto"/>
              <w:left w:val="single" w:sz="2" w:space="0" w:color="auto"/>
              <w:bottom w:val="single" w:sz="2" w:space="0" w:color="auto"/>
              <w:right w:val="single" w:sz="2" w:space="0" w:color="auto"/>
            </w:tcBorders>
            <w:vAlign w:val="center"/>
          </w:tcPr>
          <w:p w14:paraId="4EFBFE12"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365,000,000.00</w:t>
            </w:r>
          </w:p>
        </w:tc>
        <w:tc>
          <w:tcPr>
            <w:tcW w:w="742" w:type="dxa"/>
            <w:tcBorders>
              <w:top w:val="single" w:sz="2" w:space="0" w:color="auto"/>
              <w:left w:val="single" w:sz="2" w:space="0" w:color="auto"/>
              <w:bottom w:val="single" w:sz="2" w:space="0" w:color="auto"/>
              <w:right w:val="single" w:sz="2" w:space="0" w:color="auto"/>
            </w:tcBorders>
            <w:vAlign w:val="center"/>
          </w:tcPr>
          <w:p w14:paraId="344ED261"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2,940,887.56</w:t>
            </w:r>
          </w:p>
        </w:tc>
        <w:tc>
          <w:tcPr>
            <w:tcW w:w="742" w:type="dxa"/>
            <w:tcBorders>
              <w:top w:val="single" w:sz="2" w:space="0" w:color="auto"/>
              <w:left w:val="single" w:sz="2" w:space="0" w:color="auto"/>
              <w:bottom w:val="single" w:sz="2" w:space="0" w:color="auto"/>
              <w:right w:val="single" w:sz="2" w:space="0" w:color="auto"/>
            </w:tcBorders>
            <w:vAlign w:val="center"/>
          </w:tcPr>
          <w:p w14:paraId="4EE9A4E9"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9,689,497.62</w:t>
            </w:r>
          </w:p>
        </w:tc>
        <w:tc>
          <w:tcPr>
            <w:tcW w:w="742" w:type="dxa"/>
            <w:tcBorders>
              <w:top w:val="single" w:sz="2" w:space="0" w:color="auto"/>
              <w:left w:val="single" w:sz="2" w:space="0" w:color="auto"/>
              <w:bottom w:val="single" w:sz="2" w:space="0" w:color="auto"/>
              <w:right w:val="single" w:sz="2" w:space="0" w:color="auto"/>
            </w:tcBorders>
            <w:vAlign w:val="center"/>
          </w:tcPr>
          <w:p w14:paraId="74685808"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4,141,531.44</w:t>
            </w:r>
          </w:p>
        </w:tc>
        <w:tc>
          <w:tcPr>
            <w:tcW w:w="742" w:type="dxa"/>
            <w:tcBorders>
              <w:top w:val="single" w:sz="2" w:space="0" w:color="auto"/>
              <w:left w:val="single" w:sz="2" w:space="0" w:color="auto"/>
              <w:bottom w:val="single" w:sz="2" w:space="0" w:color="auto"/>
              <w:right w:val="single" w:sz="2" w:space="0" w:color="auto"/>
            </w:tcBorders>
            <w:vAlign w:val="center"/>
          </w:tcPr>
          <w:p w14:paraId="62061F7E"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6,593,918.67</w:t>
            </w:r>
          </w:p>
        </w:tc>
        <w:tc>
          <w:tcPr>
            <w:tcW w:w="648" w:type="dxa"/>
            <w:tcBorders>
              <w:top w:val="single" w:sz="2" w:space="0" w:color="auto"/>
              <w:left w:val="single" w:sz="2" w:space="0" w:color="auto"/>
              <w:bottom w:val="single" w:sz="2" w:space="0" w:color="auto"/>
              <w:right w:val="single" w:sz="2" w:space="0" w:color="auto"/>
            </w:tcBorders>
            <w:vAlign w:val="center"/>
          </w:tcPr>
          <w:p w14:paraId="1FF316E4"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1,894,935.07</w:t>
            </w:r>
          </w:p>
        </w:tc>
        <w:tc>
          <w:tcPr>
            <w:tcW w:w="834" w:type="dxa"/>
            <w:tcBorders>
              <w:top w:val="single" w:sz="2" w:space="0" w:color="auto"/>
              <w:left w:val="single" w:sz="2" w:space="0" w:color="auto"/>
              <w:bottom w:val="single" w:sz="2" w:space="0" w:color="auto"/>
              <w:right w:val="single" w:sz="2" w:space="0" w:color="auto"/>
            </w:tcBorders>
            <w:vAlign w:val="center"/>
          </w:tcPr>
          <w:p w14:paraId="4BC1F4CE"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41.92%</w:t>
            </w:r>
          </w:p>
        </w:tc>
        <w:tc>
          <w:tcPr>
            <w:tcW w:w="741" w:type="dxa"/>
            <w:tcBorders>
              <w:top w:val="single" w:sz="2" w:space="0" w:color="auto"/>
              <w:left w:val="single" w:sz="2" w:space="0" w:color="auto"/>
              <w:bottom w:val="single" w:sz="2" w:space="0" w:color="auto"/>
              <w:right w:val="single" w:sz="2" w:space="0" w:color="auto"/>
            </w:tcBorders>
            <w:vAlign w:val="center"/>
          </w:tcPr>
          <w:p w14:paraId="6AD963B7"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42.00%</w:t>
            </w:r>
          </w:p>
        </w:tc>
        <w:tc>
          <w:tcPr>
            <w:tcW w:w="741" w:type="dxa"/>
            <w:tcBorders>
              <w:top w:val="single" w:sz="2" w:space="0" w:color="auto"/>
              <w:left w:val="single" w:sz="2" w:space="0" w:color="auto"/>
              <w:bottom w:val="single" w:sz="2" w:space="0" w:color="auto"/>
              <w:right w:val="single" w:sz="2" w:space="0" w:color="auto"/>
            </w:tcBorders>
            <w:vAlign w:val="center"/>
          </w:tcPr>
          <w:p w14:paraId="30D35E5D"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37D7EB6E"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716FA609"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6341A79F"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Others</w:t>
            </w:r>
          </w:p>
        </w:tc>
      </w:tr>
      <w:tr w:rsidR="00F73301" w:rsidRPr="008A539F" w14:paraId="45E476B9"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vAlign w:val="center"/>
          </w:tcPr>
          <w:p w14:paraId="69DC1387"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SKY and MOS production expansion projects</w:t>
            </w:r>
          </w:p>
        </w:tc>
        <w:tc>
          <w:tcPr>
            <w:tcW w:w="742" w:type="dxa"/>
            <w:tcBorders>
              <w:top w:val="single" w:sz="2" w:space="0" w:color="auto"/>
              <w:left w:val="single" w:sz="2" w:space="0" w:color="auto"/>
              <w:bottom w:val="single" w:sz="2" w:space="0" w:color="auto"/>
              <w:right w:val="single" w:sz="2" w:space="0" w:color="auto"/>
            </w:tcBorders>
            <w:vAlign w:val="center"/>
          </w:tcPr>
          <w:p w14:paraId="3AE61343"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509,000,000.00</w:t>
            </w:r>
          </w:p>
        </w:tc>
        <w:tc>
          <w:tcPr>
            <w:tcW w:w="742" w:type="dxa"/>
            <w:tcBorders>
              <w:top w:val="single" w:sz="2" w:space="0" w:color="auto"/>
              <w:left w:val="single" w:sz="2" w:space="0" w:color="auto"/>
              <w:bottom w:val="single" w:sz="2" w:space="0" w:color="auto"/>
              <w:right w:val="single" w:sz="2" w:space="0" w:color="auto"/>
            </w:tcBorders>
            <w:vAlign w:val="center"/>
          </w:tcPr>
          <w:p w14:paraId="277DB66D"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63,745,290.43</w:t>
            </w:r>
          </w:p>
        </w:tc>
        <w:tc>
          <w:tcPr>
            <w:tcW w:w="742" w:type="dxa"/>
            <w:tcBorders>
              <w:top w:val="single" w:sz="2" w:space="0" w:color="auto"/>
              <w:left w:val="single" w:sz="2" w:space="0" w:color="auto"/>
              <w:bottom w:val="single" w:sz="2" w:space="0" w:color="auto"/>
              <w:right w:val="single" w:sz="2" w:space="0" w:color="auto"/>
            </w:tcBorders>
            <w:vAlign w:val="center"/>
          </w:tcPr>
          <w:p w14:paraId="1CCC3935"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11,138,757.19</w:t>
            </w:r>
          </w:p>
        </w:tc>
        <w:tc>
          <w:tcPr>
            <w:tcW w:w="742" w:type="dxa"/>
            <w:tcBorders>
              <w:top w:val="single" w:sz="2" w:space="0" w:color="auto"/>
              <w:left w:val="single" w:sz="2" w:space="0" w:color="auto"/>
              <w:bottom w:val="single" w:sz="2" w:space="0" w:color="auto"/>
              <w:right w:val="single" w:sz="2" w:space="0" w:color="auto"/>
            </w:tcBorders>
            <w:vAlign w:val="center"/>
          </w:tcPr>
          <w:p w14:paraId="61BB7647"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43,133,149.94</w:t>
            </w:r>
          </w:p>
        </w:tc>
        <w:tc>
          <w:tcPr>
            <w:tcW w:w="742" w:type="dxa"/>
            <w:tcBorders>
              <w:top w:val="single" w:sz="2" w:space="0" w:color="auto"/>
              <w:left w:val="single" w:sz="2" w:space="0" w:color="auto"/>
              <w:bottom w:val="single" w:sz="2" w:space="0" w:color="auto"/>
              <w:right w:val="single" w:sz="2" w:space="0" w:color="auto"/>
            </w:tcBorders>
            <w:vAlign w:val="center"/>
          </w:tcPr>
          <w:p w14:paraId="6FB55B54"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646,465.68</w:t>
            </w:r>
          </w:p>
        </w:tc>
        <w:tc>
          <w:tcPr>
            <w:tcW w:w="648" w:type="dxa"/>
            <w:tcBorders>
              <w:top w:val="single" w:sz="2" w:space="0" w:color="auto"/>
              <w:left w:val="single" w:sz="2" w:space="0" w:color="auto"/>
              <w:bottom w:val="single" w:sz="2" w:space="0" w:color="auto"/>
              <w:right w:val="single" w:sz="2" w:space="0" w:color="auto"/>
            </w:tcBorders>
            <w:vAlign w:val="center"/>
          </w:tcPr>
          <w:p w14:paraId="1B7DA80B"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31,104,432.00</w:t>
            </w:r>
          </w:p>
        </w:tc>
        <w:tc>
          <w:tcPr>
            <w:tcW w:w="834" w:type="dxa"/>
            <w:tcBorders>
              <w:top w:val="single" w:sz="2" w:space="0" w:color="auto"/>
              <w:left w:val="single" w:sz="2" w:space="0" w:color="auto"/>
              <w:bottom w:val="single" w:sz="2" w:space="0" w:color="auto"/>
              <w:right w:val="single" w:sz="2" w:space="0" w:color="auto"/>
            </w:tcBorders>
            <w:vAlign w:val="center"/>
          </w:tcPr>
          <w:p w14:paraId="3EA471A8"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79.50%</w:t>
            </w:r>
          </w:p>
        </w:tc>
        <w:tc>
          <w:tcPr>
            <w:tcW w:w="741" w:type="dxa"/>
            <w:tcBorders>
              <w:top w:val="single" w:sz="2" w:space="0" w:color="auto"/>
              <w:left w:val="single" w:sz="2" w:space="0" w:color="auto"/>
              <w:bottom w:val="single" w:sz="2" w:space="0" w:color="auto"/>
              <w:right w:val="single" w:sz="2" w:space="0" w:color="auto"/>
            </w:tcBorders>
            <w:vAlign w:val="center"/>
          </w:tcPr>
          <w:p w14:paraId="45A914B2"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80.00%</w:t>
            </w:r>
          </w:p>
        </w:tc>
        <w:tc>
          <w:tcPr>
            <w:tcW w:w="741" w:type="dxa"/>
            <w:tcBorders>
              <w:top w:val="single" w:sz="2" w:space="0" w:color="auto"/>
              <w:left w:val="single" w:sz="2" w:space="0" w:color="auto"/>
              <w:bottom w:val="single" w:sz="2" w:space="0" w:color="auto"/>
              <w:right w:val="single" w:sz="2" w:space="0" w:color="auto"/>
            </w:tcBorders>
            <w:vAlign w:val="center"/>
          </w:tcPr>
          <w:p w14:paraId="028BC244"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46A856C3"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43154930"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22A598D2"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Others</w:t>
            </w:r>
          </w:p>
        </w:tc>
      </w:tr>
      <w:tr w:rsidR="00F73301" w:rsidRPr="008A539F" w14:paraId="21DE64ED"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vAlign w:val="center"/>
          </w:tcPr>
          <w:p w14:paraId="68AB6727"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8" wafter project</w:t>
            </w:r>
          </w:p>
        </w:tc>
        <w:tc>
          <w:tcPr>
            <w:tcW w:w="742" w:type="dxa"/>
            <w:tcBorders>
              <w:top w:val="single" w:sz="2" w:space="0" w:color="auto"/>
              <w:left w:val="single" w:sz="2" w:space="0" w:color="auto"/>
              <w:bottom w:val="single" w:sz="2" w:space="0" w:color="auto"/>
              <w:right w:val="single" w:sz="2" w:space="0" w:color="auto"/>
            </w:tcBorders>
            <w:vAlign w:val="center"/>
          </w:tcPr>
          <w:p w14:paraId="12A13C1B"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590,000,000.00</w:t>
            </w:r>
          </w:p>
        </w:tc>
        <w:tc>
          <w:tcPr>
            <w:tcW w:w="742" w:type="dxa"/>
            <w:tcBorders>
              <w:top w:val="single" w:sz="2" w:space="0" w:color="auto"/>
              <w:left w:val="single" w:sz="2" w:space="0" w:color="auto"/>
              <w:bottom w:val="single" w:sz="2" w:space="0" w:color="auto"/>
              <w:right w:val="single" w:sz="2" w:space="0" w:color="auto"/>
            </w:tcBorders>
            <w:vAlign w:val="center"/>
          </w:tcPr>
          <w:p w14:paraId="4E8B91BA" w14:textId="77777777" w:rsidR="00F73301" w:rsidRPr="008A539F" w:rsidRDefault="00F73301" w:rsidP="008C49B7">
            <w:pPr>
              <w:snapToGrid w:val="0"/>
              <w:jc w:val="right"/>
              <w:rPr>
                <w:rFonts w:ascii="Times New Roman" w:eastAsia="宋体" w:hAnsi="Times New Roman" w:cs="Times New Roman"/>
                <w:sz w:val="13"/>
                <w:szCs w:val="13"/>
              </w:rPr>
            </w:pPr>
          </w:p>
        </w:tc>
        <w:tc>
          <w:tcPr>
            <w:tcW w:w="742" w:type="dxa"/>
            <w:tcBorders>
              <w:top w:val="single" w:sz="2" w:space="0" w:color="auto"/>
              <w:left w:val="single" w:sz="2" w:space="0" w:color="auto"/>
              <w:bottom w:val="single" w:sz="2" w:space="0" w:color="auto"/>
              <w:right w:val="single" w:sz="2" w:space="0" w:color="auto"/>
            </w:tcBorders>
            <w:vAlign w:val="center"/>
          </w:tcPr>
          <w:p w14:paraId="5B627611"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202,421,048.35</w:t>
            </w:r>
          </w:p>
        </w:tc>
        <w:tc>
          <w:tcPr>
            <w:tcW w:w="742" w:type="dxa"/>
            <w:tcBorders>
              <w:top w:val="single" w:sz="2" w:space="0" w:color="auto"/>
              <w:left w:val="single" w:sz="2" w:space="0" w:color="auto"/>
              <w:bottom w:val="single" w:sz="2" w:space="0" w:color="auto"/>
              <w:right w:val="single" w:sz="2" w:space="0" w:color="auto"/>
            </w:tcBorders>
            <w:vAlign w:val="center"/>
          </w:tcPr>
          <w:p w14:paraId="6B5860C9"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5,126,536.61</w:t>
            </w:r>
          </w:p>
        </w:tc>
        <w:tc>
          <w:tcPr>
            <w:tcW w:w="742" w:type="dxa"/>
            <w:tcBorders>
              <w:top w:val="single" w:sz="2" w:space="0" w:color="auto"/>
              <w:left w:val="single" w:sz="2" w:space="0" w:color="auto"/>
              <w:bottom w:val="single" w:sz="2" w:space="0" w:color="auto"/>
              <w:right w:val="single" w:sz="2" w:space="0" w:color="auto"/>
            </w:tcBorders>
            <w:vAlign w:val="center"/>
          </w:tcPr>
          <w:p w14:paraId="3885ED77"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8,042,123.00</w:t>
            </w:r>
          </w:p>
        </w:tc>
        <w:tc>
          <w:tcPr>
            <w:tcW w:w="648" w:type="dxa"/>
            <w:tcBorders>
              <w:top w:val="single" w:sz="2" w:space="0" w:color="auto"/>
              <w:left w:val="single" w:sz="2" w:space="0" w:color="auto"/>
              <w:bottom w:val="single" w:sz="2" w:space="0" w:color="auto"/>
              <w:right w:val="single" w:sz="2" w:space="0" w:color="auto"/>
            </w:tcBorders>
            <w:vAlign w:val="center"/>
          </w:tcPr>
          <w:p w14:paraId="04F3BE2F"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189,252,388.74</w:t>
            </w:r>
          </w:p>
        </w:tc>
        <w:tc>
          <w:tcPr>
            <w:tcW w:w="834" w:type="dxa"/>
            <w:tcBorders>
              <w:top w:val="single" w:sz="2" w:space="0" w:color="auto"/>
              <w:left w:val="single" w:sz="2" w:space="0" w:color="auto"/>
              <w:bottom w:val="single" w:sz="2" w:space="0" w:color="auto"/>
              <w:right w:val="single" w:sz="2" w:space="0" w:color="auto"/>
            </w:tcBorders>
            <w:vAlign w:val="center"/>
          </w:tcPr>
          <w:p w14:paraId="15D3BD49"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34.31%</w:t>
            </w:r>
          </w:p>
        </w:tc>
        <w:tc>
          <w:tcPr>
            <w:tcW w:w="741" w:type="dxa"/>
            <w:tcBorders>
              <w:top w:val="single" w:sz="2" w:space="0" w:color="auto"/>
              <w:left w:val="single" w:sz="2" w:space="0" w:color="auto"/>
              <w:bottom w:val="single" w:sz="2" w:space="0" w:color="auto"/>
              <w:right w:val="single" w:sz="2" w:space="0" w:color="auto"/>
            </w:tcBorders>
            <w:vAlign w:val="center"/>
          </w:tcPr>
          <w:p w14:paraId="77115370"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34.00%</w:t>
            </w:r>
          </w:p>
        </w:tc>
        <w:tc>
          <w:tcPr>
            <w:tcW w:w="741" w:type="dxa"/>
            <w:tcBorders>
              <w:top w:val="single" w:sz="2" w:space="0" w:color="auto"/>
              <w:left w:val="single" w:sz="2" w:space="0" w:color="auto"/>
              <w:bottom w:val="single" w:sz="2" w:space="0" w:color="auto"/>
              <w:right w:val="single" w:sz="2" w:space="0" w:color="auto"/>
            </w:tcBorders>
            <w:vAlign w:val="center"/>
          </w:tcPr>
          <w:p w14:paraId="6EBAD92F"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112AD6B0"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337AE618"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0CD9FD7D"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Others</w:t>
            </w:r>
          </w:p>
        </w:tc>
      </w:tr>
      <w:tr w:rsidR="00F73301" w:rsidRPr="008A539F" w14:paraId="0FDF75C7"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vAlign w:val="center"/>
          </w:tcPr>
          <w:p w14:paraId="6BD29AA2"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 fragmentary projects</w:t>
            </w:r>
          </w:p>
        </w:tc>
        <w:tc>
          <w:tcPr>
            <w:tcW w:w="742" w:type="dxa"/>
            <w:tcBorders>
              <w:top w:val="single" w:sz="2" w:space="0" w:color="auto"/>
              <w:left w:val="single" w:sz="2" w:space="0" w:color="auto"/>
              <w:bottom w:val="single" w:sz="2" w:space="0" w:color="auto"/>
              <w:right w:val="single" w:sz="2" w:space="0" w:color="auto"/>
            </w:tcBorders>
            <w:vAlign w:val="center"/>
          </w:tcPr>
          <w:p w14:paraId="09831E15" w14:textId="77777777" w:rsidR="00F73301" w:rsidRPr="008A539F" w:rsidRDefault="00F73301" w:rsidP="008C49B7">
            <w:pPr>
              <w:snapToGrid w:val="0"/>
              <w:jc w:val="right"/>
              <w:rPr>
                <w:rFonts w:ascii="Times New Roman" w:eastAsia="宋体" w:hAnsi="Times New Roman" w:cs="Times New Roman"/>
                <w:sz w:val="13"/>
                <w:szCs w:val="13"/>
              </w:rPr>
            </w:pPr>
          </w:p>
        </w:tc>
        <w:tc>
          <w:tcPr>
            <w:tcW w:w="742" w:type="dxa"/>
            <w:tcBorders>
              <w:top w:val="single" w:sz="2" w:space="0" w:color="auto"/>
              <w:left w:val="single" w:sz="2" w:space="0" w:color="auto"/>
              <w:bottom w:val="single" w:sz="2" w:space="0" w:color="auto"/>
              <w:right w:val="single" w:sz="2" w:space="0" w:color="auto"/>
            </w:tcBorders>
            <w:vAlign w:val="center"/>
          </w:tcPr>
          <w:p w14:paraId="0625CE65"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30,226,985.52</w:t>
            </w:r>
          </w:p>
        </w:tc>
        <w:tc>
          <w:tcPr>
            <w:tcW w:w="742" w:type="dxa"/>
            <w:tcBorders>
              <w:top w:val="single" w:sz="2" w:space="0" w:color="auto"/>
              <w:left w:val="single" w:sz="2" w:space="0" w:color="auto"/>
              <w:bottom w:val="single" w:sz="2" w:space="0" w:color="auto"/>
              <w:right w:val="single" w:sz="2" w:space="0" w:color="auto"/>
            </w:tcBorders>
            <w:vAlign w:val="center"/>
          </w:tcPr>
          <w:p w14:paraId="736BA618"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17,205,992.12</w:t>
            </w:r>
          </w:p>
        </w:tc>
        <w:tc>
          <w:tcPr>
            <w:tcW w:w="742" w:type="dxa"/>
            <w:tcBorders>
              <w:top w:val="single" w:sz="2" w:space="0" w:color="auto"/>
              <w:left w:val="single" w:sz="2" w:space="0" w:color="auto"/>
              <w:bottom w:val="single" w:sz="2" w:space="0" w:color="auto"/>
              <w:right w:val="single" w:sz="2" w:space="0" w:color="auto"/>
            </w:tcBorders>
            <w:vAlign w:val="center"/>
          </w:tcPr>
          <w:p w14:paraId="03CFE9C6"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8,908,577.78</w:t>
            </w:r>
          </w:p>
        </w:tc>
        <w:tc>
          <w:tcPr>
            <w:tcW w:w="742" w:type="dxa"/>
            <w:tcBorders>
              <w:top w:val="single" w:sz="2" w:space="0" w:color="auto"/>
              <w:left w:val="single" w:sz="2" w:space="0" w:color="auto"/>
              <w:bottom w:val="single" w:sz="2" w:space="0" w:color="auto"/>
              <w:right w:val="single" w:sz="2" w:space="0" w:color="auto"/>
            </w:tcBorders>
            <w:vAlign w:val="center"/>
          </w:tcPr>
          <w:p w14:paraId="5A47F891"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4,698,264.27</w:t>
            </w:r>
          </w:p>
        </w:tc>
        <w:tc>
          <w:tcPr>
            <w:tcW w:w="648" w:type="dxa"/>
            <w:tcBorders>
              <w:top w:val="single" w:sz="2" w:space="0" w:color="auto"/>
              <w:left w:val="single" w:sz="2" w:space="0" w:color="auto"/>
              <w:bottom w:val="single" w:sz="2" w:space="0" w:color="auto"/>
              <w:right w:val="single" w:sz="2" w:space="0" w:color="auto"/>
            </w:tcBorders>
            <w:vAlign w:val="center"/>
          </w:tcPr>
          <w:p w14:paraId="1617AFE4"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33,826,135.59</w:t>
            </w:r>
          </w:p>
        </w:tc>
        <w:tc>
          <w:tcPr>
            <w:tcW w:w="834" w:type="dxa"/>
            <w:tcBorders>
              <w:top w:val="single" w:sz="2" w:space="0" w:color="auto"/>
              <w:left w:val="single" w:sz="2" w:space="0" w:color="auto"/>
              <w:bottom w:val="single" w:sz="2" w:space="0" w:color="auto"/>
              <w:right w:val="single" w:sz="2" w:space="0" w:color="auto"/>
            </w:tcBorders>
            <w:vAlign w:val="center"/>
          </w:tcPr>
          <w:p w14:paraId="25C36FCF"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55A51198" w14:textId="77777777" w:rsidR="00F73301" w:rsidRPr="008A539F" w:rsidRDefault="00F73301" w:rsidP="008C49B7">
            <w:pPr>
              <w:snapToGrid w:val="0"/>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38A0D34E"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0CD71E12"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33A95E00"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0387E817"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Others</w:t>
            </w:r>
          </w:p>
        </w:tc>
      </w:tr>
      <w:tr w:rsidR="00F73301" w:rsidRPr="008A539F" w14:paraId="0F6E2963"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vAlign w:val="center"/>
          </w:tcPr>
          <w:p w14:paraId="0AB60859"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 equipment installation projects</w:t>
            </w:r>
          </w:p>
        </w:tc>
        <w:tc>
          <w:tcPr>
            <w:tcW w:w="742" w:type="dxa"/>
            <w:tcBorders>
              <w:top w:val="single" w:sz="2" w:space="0" w:color="auto"/>
              <w:left w:val="single" w:sz="2" w:space="0" w:color="auto"/>
              <w:bottom w:val="single" w:sz="2" w:space="0" w:color="auto"/>
              <w:right w:val="single" w:sz="2" w:space="0" w:color="auto"/>
            </w:tcBorders>
            <w:vAlign w:val="center"/>
          </w:tcPr>
          <w:p w14:paraId="046AE287" w14:textId="77777777" w:rsidR="00F73301" w:rsidRPr="008A539F" w:rsidRDefault="00F73301" w:rsidP="008C49B7">
            <w:pPr>
              <w:snapToGrid w:val="0"/>
              <w:jc w:val="right"/>
              <w:rPr>
                <w:rFonts w:ascii="Times New Roman" w:eastAsia="宋体" w:hAnsi="Times New Roman" w:cs="Times New Roman"/>
                <w:sz w:val="13"/>
                <w:szCs w:val="13"/>
              </w:rPr>
            </w:pPr>
          </w:p>
        </w:tc>
        <w:tc>
          <w:tcPr>
            <w:tcW w:w="742" w:type="dxa"/>
            <w:tcBorders>
              <w:top w:val="single" w:sz="2" w:space="0" w:color="auto"/>
              <w:left w:val="single" w:sz="2" w:space="0" w:color="auto"/>
              <w:bottom w:val="single" w:sz="2" w:space="0" w:color="auto"/>
              <w:right w:val="single" w:sz="2" w:space="0" w:color="auto"/>
            </w:tcBorders>
            <w:vAlign w:val="center"/>
          </w:tcPr>
          <w:p w14:paraId="1380FE42"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2,869,707.60</w:t>
            </w:r>
          </w:p>
        </w:tc>
        <w:tc>
          <w:tcPr>
            <w:tcW w:w="742" w:type="dxa"/>
            <w:tcBorders>
              <w:top w:val="single" w:sz="2" w:space="0" w:color="auto"/>
              <w:left w:val="single" w:sz="2" w:space="0" w:color="auto"/>
              <w:bottom w:val="single" w:sz="2" w:space="0" w:color="auto"/>
              <w:right w:val="single" w:sz="2" w:space="0" w:color="auto"/>
            </w:tcBorders>
            <w:vAlign w:val="center"/>
          </w:tcPr>
          <w:p w14:paraId="56A6D9B4"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20,467,365.74</w:t>
            </w:r>
          </w:p>
        </w:tc>
        <w:tc>
          <w:tcPr>
            <w:tcW w:w="742" w:type="dxa"/>
            <w:tcBorders>
              <w:top w:val="single" w:sz="2" w:space="0" w:color="auto"/>
              <w:left w:val="single" w:sz="2" w:space="0" w:color="auto"/>
              <w:bottom w:val="single" w:sz="2" w:space="0" w:color="auto"/>
              <w:right w:val="single" w:sz="2" w:space="0" w:color="auto"/>
            </w:tcBorders>
            <w:vAlign w:val="center"/>
          </w:tcPr>
          <w:p w14:paraId="59FAC347"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317,178.77</w:t>
            </w:r>
          </w:p>
        </w:tc>
        <w:tc>
          <w:tcPr>
            <w:tcW w:w="742" w:type="dxa"/>
            <w:tcBorders>
              <w:top w:val="single" w:sz="2" w:space="0" w:color="auto"/>
              <w:left w:val="single" w:sz="2" w:space="0" w:color="auto"/>
              <w:bottom w:val="single" w:sz="2" w:space="0" w:color="auto"/>
              <w:right w:val="single" w:sz="2" w:space="0" w:color="auto"/>
            </w:tcBorders>
            <w:vAlign w:val="center"/>
          </w:tcPr>
          <w:p w14:paraId="0422626C"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8,511,859.40</w:t>
            </w:r>
          </w:p>
        </w:tc>
        <w:tc>
          <w:tcPr>
            <w:tcW w:w="648" w:type="dxa"/>
            <w:tcBorders>
              <w:top w:val="single" w:sz="2" w:space="0" w:color="auto"/>
              <w:left w:val="single" w:sz="2" w:space="0" w:color="auto"/>
              <w:bottom w:val="single" w:sz="2" w:space="0" w:color="auto"/>
              <w:right w:val="single" w:sz="2" w:space="0" w:color="auto"/>
            </w:tcBorders>
            <w:vAlign w:val="center"/>
          </w:tcPr>
          <w:p w14:paraId="362684BA"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14,508,035.17</w:t>
            </w:r>
          </w:p>
        </w:tc>
        <w:tc>
          <w:tcPr>
            <w:tcW w:w="834" w:type="dxa"/>
            <w:tcBorders>
              <w:top w:val="single" w:sz="2" w:space="0" w:color="auto"/>
              <w:left w:val="single" w:sz="2" w:space="0" w:color="auto"/>
              <w:bottom w:val="single" w:sz="2" w:space="0" w:color="auto"/>
              <w:right w:val="single" w:sz="2" w:space="0" w:color="auto"/>
            </w:tcBorders>
            <w:vAlign w:val="center"/>
          </w:tcPr>
          <w:p w14:paraId="7EBEB5F3"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75571812" w14:textId="77777777" w:rsidR="00F73301" w:rsidRPr="008A539F" w:rsidRDefault="00F73301" w:rsidP="008C49B7">
            <w:pPr>
              <w:snapToGrid w:val="0"/>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294360DA"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18E75DD8"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7F07E85A"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6D69D06F"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Others</w:t>
            </w:r>
          </w:p>
        </w:tc>
      </w:tr>
      <w:tr w:rsidR="00F73301" w:rsidRPr="008A539F" w14:paraId="18874EFA" w14:textId="77777777" w:rsidTr="008A539F">
        <w:trPr>
          <w:jc w:val="center"/>
        </w:trPr>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14:paraId="10368692" w14:textId="77777777" w:rsidR="00F73301" w:rsidRPr="008A539F" w:rsidRDefault="00F73301" w:rsidP="008C49B7">
            <w:pPr>
              <w:snapToGrid w:val="0"/>
              <w:rPr>
                <w:rFonts w:ascii="Times New Roman" w:eastAsia="宋体" w:hAnsi="Times New Roman" w:cs="Times New Roman"/>
                <w:sz w:val="13"/>
                <w:szCs w:val="13"/>
              </w:rPr>
            </w:pPr>
            <w:r w:rsidRPr="008A539F">
              <w:rPr>
                <w:rFonts w:ascii="Times New Roman" w:eastAsia="宋体" w:hAnsi="Times New Roman" w:cs="Times New Roman"/>
                <w:sz w:val="13"/>
                <w:szCs w:val="13"/>
              </w:rPr>
              <w:t>Total</w:t>
            </w:r>
          </w:p>
        </w:tc>
        <w:tc>
          <w:tcPr>
            <w:tcW w:w="742" w:type="dxa"/>
            <w:tcBorders>
              <w:top w:val="single" w:sz="2" w:space="0" w:color="auto"/>
              <w:left w:val="single" w:sz="2" w:space="0" w:color="auto"/>
              <w:bottom w:val="single" w:sz="2" w:space="0" w:color="auto"/>
              <w:right w:val="single" w:sz="2" w:space="0" w:color="auto"/>
            </w:tcBorders>
            <w:vAlign w:val="center"/>
          </w:tcPr>
          <w:p w14:paraId="16D54D15"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3,864,000,000.00</w:t>
            </w:r>
          </w:p>
        </w:tc>
        <w:tc>
          <w:tcPr>
            <w:tcW w:w="742" w:type="dxa"/>
            <w:tcBorders>
              <w:top w:val="single" w:sz="2" w:space="0" w:color="auto"/>
              <w:left w:val="single" w:sz="2" w:space="0" w:color="auto"/>
              <w:bottom w:val="single" w:sz="2" w:space="0" w:color="auto"/>
              <w:right w:val="single" w:sz="2" w:space="0" w:color="auto"/>
            </w:tcBorders>
            <w:vAlign w:val="center"/>
          </w:tcPr>
          <w:p w14:paraId="0FFAE165"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461,878,389.19</w:t>
            </w:r>
          </w:p>
        </w:tc>
        <w:tc>
          <w:tcPr>
            <w:tcW w:w="742" w:type="dxa"/>
            <w:tcBorders>
              <w:top w:val="single" w:sz="2" w:space="0" w:color="auto"/>
              <w:left w:val="single" w:sz="2" w:space="0" w:color="auto"/>
              <w:bottom w:val="single" w:sz="2" w:space="0" w:color="auto"/>
              <w:right w:val="single" w:sz="2" w:space="0" w:color="auto"/>
            </w:tcBorders>
            <w:vAlign w:val="center"/>
          </w:tcPr>
          <w:p w14:paraId="26A58D1A"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367,206,024.78</w:t>
            </w:r>
          </w:p>
        </w:tc>
        <w:tc>
          <w:tcPr>
            <w:tcW w:w="742" w:type="dxa"/>
            <w:tcBorders>
              <w:top w:val="single" w:sz="2" w:space="0" w:color="auto"/>
              <w:left w:val="single" w:sz="2" w:space="0" w:color="auto"/>
              <w:bottom w:val="single" w:sz="2" w:space="0" w:color="auto"/>
              <w:right w:val="single" w:sz="2" w:space="0" w:color="auto"/>
            </w:tcBorders>
            <w:vAlign w:val="center"/>
          </w:tcPr>
          <w:p w14:paraId="3822D4C5"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174,095,394.00</w:t>
            </w:r>
          </w:p>
        </w:tc>
        <w:tc>
          <w:tcPr>
            <w:tcW w:w="742" w:type="dxa"/>
            <w:tcBorders>
              <w:top w:val="single" w:sz="2" w:space="0" w:color="auto"/>
              <w:left w:val="single" w:sz="2" w:space="0" w:color="auto"/>
              <w:bottom w:val="single" w:sz="2" w:space="0" w:color="auto"/>
              <w:right w:val="single" w:sz="2" w:space="0" w:color="auto"/>
            </w:tcBorders>
            <w:vAlign w:val="center"/>
          </w:tcPr>
          <w:p w14:paraId="2B49577E"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42,387,557.72</w:t>
            </w:r>
          </w:p>
        </w:tc>
        <w:tc>
          <w:tcPr>
            <w:tcW w:w="648" w:type="dxa"/>
            <w:tcBorders>
              <w:top w:val="single" w:sz="2" w:space="0" w:color="auto"/>
              <w:left w:val="single" w:sz="2" w:space="0" w:color="auto"/>
              <w:bottom w:val="single" w:sz="2" w:space="0" w:color="auto"/>
              <w:right w:val="single" w:sz="2" w:space="0" w:color="auto"/>
            </w:tcBorders>
            <w:vAlign w:val="center"/>
          </w:tcPr>
          <w:p w14:paraId="37AE5304" w14:textId="77777777" w:rsidR="00F73301" w:rsidRPr="008A539F" w:rsidRDefault="00F73301" w:rsidP="008C49B7">
            <w:pPr>
              <w:snapToGrid w:val="0"/>
              <w:jc w:val="right"/>
              <w:rPr>
                <w:rFonts w:ascii="Times New Roman" w:eastAsia="宋体" w:hAnsi="Times New Roman" w:cs="Times New Roman"/>
                <w:sz w:val="13"/>
                <w:szCs w:val="13"/>
              </w:rPr>
            </w:pPr>
            <w:r w:rsidRPr="008A539F">
              <w:rPr>
                <w:rFonts w:ascii="Times New Roman" w:eastAsia="宋体" w:hAnsi="Times New Roman" w:cs="Times New Roman"/>
                <w:sz w:val="13"/>
                <w:szCs w:val="13"/>
              </w:rPr>
              <w:t>612,601,462.25</w:t>
            </w:r>
          </w:p>
        </w:tc>
        <w:tc>
          <w:tcPr>
            <w:tcW w:w="834" w:type="dxa"/>
            <w:tcBorders>
              <w:top w:val="single" w:sz="2" w:space="0" w:color="auto"/>
              <w:left w:val="single" w:sz="2" w:space="0" w:color="auto"/>
              <w:bottom w:val="single" w:sz="2" w:space="0" w:color="auto"/>
              <w:right w:val="single" w:sz="2" w:space="0" w:color="auto"/>
            </w:tcBorders>
            <w:shd w:val="clear" w:color="auto" w:fill="D3D3D3"/>
            <w:vAlign w:val="center"/>
          </w:tcPr>
          <w:p w14:paraId="35B39CEA" w14:textId="77777777" w:rsidR="00F73301" w:rsidRPr="008A539F" w:rsidRDefault="00F73301" w:rsidP="008C49B7">
            <w:pPr>
              <w:snapToGrid w:val="0"/>
              <w:rPr>
                <w:rFonts w:ascii="Times New Roman" w:eastAsia="等线"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6979C64" w14:textId="77777777" w:rsidR="00F73301" w:rsidRPr="008A539F" w:rsidRDefault="00F73301" w:rsidP="008C49B7">
            <w:pPr>
              <w:snapToGrid w:val="0"/>
              <w:rPr>
                <w:rFonts w:ascii="Times New Roman" w:eastAsia="等线"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41578AEF"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5679CE29"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vAlign w:val="center"/>
          </w:tcPr>
          <w:p w14:paraId="19E6E4D9" w14:textId="77777777" w:rsidR="00F73301" w:rsidRPr="008A539F" w:rsidRDefault="00F73301" w:rsidP="008C49B7">
            <w:pPr>
              <w:snapToGrid w:val="0"/>
              <w:jc w:val="right"/>
              <w:rPr>
                <w:rFonts w:ascii="Times New Roman" w:eastAsia="宋体" w:hAnsi="Times New Roman" w:cs="Times New Roman"/>
                <w:sz w:val="13"/>
                <w:szCs w:val="13"/>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9E6062A" w14:textId="77777777" w:rsidR="00F73301" w:rsidRPr="008A539F" w:rsidRDefault="00F73301" w:rsidP="008C49B7">
            <w:pPr>
              <w:snapToGrid w:val="0"/>
              <w:rPr>
                <w:rFonts w:ascii="Times New Roman" w:eastAsia="等线" w:hAnsi="Times New Roman" w:cs="Times New Roman"/>
                <w:sz w:val="13"/>
                <w:szCs w:val="13"/>
              </w:rPr>
            </w:pPr>
          </w:p>
        </w:tc>
      </w:tr>
    </w:tbl>
    <w:p w14:paraId="19ED9EDF"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07" w:name="_Toc989095"/>
      <w:r w:rsidRPr="00F73301">
        <w:rPr>
          <w:rFonts w:ascii="Times New Roman" w:eastAsia="宋体" w:hAnsi="Times New Roman" w:cs="Times New Roman"/>
          <w:b/>
          <w:bCs/>
          <w:sz w:val="24"/>
          <w:szCs w:val="24"/>
        </w:rPr>
        <w:t>(3) List of the accrual of the impairment allowance for construction in progress</w:t>
      </w:r>
      <w:bookmarkEnd w:id="207"/>
    </w:p>
    <w:p w14:paraId="4BF4808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B162D4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F327E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4FEFC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accrued for the current period</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AFDF4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 for accrual</w:t>
            </w:r>
          </w:p>
        </w:tc>
      </w:tr>
    </w:tbl>
    <w:p w14:paraId="0CD36E8F"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26452A29"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466F21F0"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08" w:name="_Toc989096"/>
      <w:r w:rsidRPr="00F73301">
        <w:rPr>
          <w:rFonts w:ascii="Times New Roman" w:eastAsia="宋体" w:hAnsi="Times New Roman" w:cs="Times New Roman"/>
          <w:b/>
          <w:bCs/>
          <w:sz w:val="24"/>
          <w:szCs w:val="24"/>
        </w:rPr>
        <w:lastRenderedPageBreak/>
        <w:t>(4) Engineering materials</w:t>
      </w:r>
      <w:bookmarkEnd w:id="208"/>
    </w:p>
    <w:p w14:paraId="3075D31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457F8881"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312B6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05B9BF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57A078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639CF212"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A4A982"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07C89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A796C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94F700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788ED5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06230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7AD07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r>
    </w:tbl>
    <w:p w14:paraId="16FF9241"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659A88CD"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747EFB5C"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09" w:name="_Toc989097"/>
      <w:r w:rsidRPr="00F73301">
        <w:rPr>
          <w:rFonts w:ascii="Times New Roman" w:eastAsia="宋体" w:hAnsi="Times New Roman" w:cs="Times New Roman"/>
          <w:b/>
          <w:bCs/>
          <w:sz w:val="24"/>
          <w:szCs w:val="24"/>
        </w:rPr>
        <w:t>14. Right-of-use assets</w:t>
      </w:r>
      <w:bookmarkEnd w:id="209"/>
    </w:p>
    <w:p w14:paraId="467DDEE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EB419C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DDF02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vAlign w:val="center"/>
          </w:tcPr>
          <w:p w14:paraId="0E53020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Buildings and structures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80A12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r>
      <w:tr w:rsidR="00F73301" w:rsidRPr="00F73301" w14:paraId="38333C6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4CFC3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 Original Carrying Amount</w:t>
            </w:r>
          </w:p>
        </w:tc>
        <w:tc>
          <w:tcPr>
            <w:tcW w:w="3213" w:type="dxa"/>
            <w:tcBorders>
              <w:top w:val="single" w:sz="2" w:space="0" w:color="auto"/>
              <w:left w:val="single" w:sz="2" w:space="0" w:color="auto"/>
              <w:bottom w:val="single" w:sz="2" w:space="0" w:color="auto"/>
              <w:right w:val="single" w:sz="2" w:space="0" w:color="auto"/>
            </w:tcBorders>
            <w:vAlign w:val="center"/>
          </w:tcPr>
          <w:p w14:paraId="2A74DAE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FE41E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AFF594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A0C3BD"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Opening balance</w:t>
            </w:r>
          </w:p>
        </w:tc>
        <w:tc>
          <w:tcPr>
            <w:tcW w:w="3213" w:type="dxa"/>
            <w:tcBorders>
              <w:top w:val="single" w:sz="2" w:space="0" w:color="auto"/>
              <w:left w:val="single" w:sz="2" w:space="0" w:color="auto"/>
              <w:bottom w:val="single" w:sz="2" w:space="0" w:color="auto"/>
              <w:right w:val="single" w:sz="2" w:space="0" w:color="auto"/>
            </w:tcBorders>
            <w:vAlign w:val="center"/>
          </w:tcPr>
          <w:p w14:paraId="5281E3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10,411,104.67</w:t>
            </w:r>
          </w:p>
        </w:tc>
        <w:tc>
          <w:tcPr>
            <w:tcW w:w="3213" w:type="dxa"/>
            <w:tcBorders>
              <w:top w:val="single" w:sz="2" w:space="0" w:color="auto"/>
              <w:left w:val="single" w:sz="2" w:space="0" w:color="auto"/>
              <w:bottom w:val="single" w:sz="2" w:space="0" w:color="auto"/>
              <w:right w:val="single" w:sz="2" w:space="0" w:color="auto"/>
            </w:tcBorders>
            <w:vAlign w:val="center"/>
          </w:tcPr>
          <w:p w14:paraId="5BFBEE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10,411,104.67</w:t>
            </w:r>
          </w:p>
        </w:tc>
      </w:tr>
      <w:tr w:rsidR="00F73301" w:rsidRPr="00F73301" w14:paraId="5B5DC75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10E61D"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Increased amount for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6058C0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138,803,652.91</w:t>
            </w:r>
          </w:p>
        </w:tc>
        <w:tc>
          <w:tcPr>
            <w:tcW w:w="3213" w:type="dxa"/>
            <w:tcBorders>
              <w:top w:val="single" w:sz="2" w:space="0" w:color="auto"/>
              <w:left w:val="single" w:sz="2" w:space="0" w:color="auto"/>
              <w:bottom w:val="single" w:sz="2" w:space="0" w:color="auto"/>
              <w:right w:val="single" w:sz="2" w:space="0" w:color="auto"/>
            </w:tcBorders>
            <w:vAlign w:val="center"/>
          </w:tcPr>
          <w:p w14:paraId="47EFF38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138,803,652.91</w:t>
            </w:r>
          </w:p>
        </w:tc>
      </w:tr>
      <w:tr w:rsidR="00F73301" w:rsidRPr="00F73301" w14:paraId="7B51D30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7B67F1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 Increase from business combination</w:t>
            </w:r>
          </w:p>
        </w:tc>
        <w:tc>
          <w:tcPr>
            <w:tcW w:w="3213" w:type="dxa"/>
            <w:tcBorders>
              <w:top w:val="single" w:sz="2" w:space="0" w:color="auto"/>
              <w:left w:val="single" w:sz="2" w:space="0" w:color="auto"/>
              <w:bottom w:val="single" w:sz="2" w:space="0" w:color="auto"/>
              <w:right w:val="single" w:sz="2" w:space="0" w:color="auto"/>
            </w:tcBorders>
            <w:vAlign w:val="center"/>
          </w:tcPr>
          <w:p w14:paraId="6F36B8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138,525,545.88</w:t>
            </w:r>
          </w:p>
        </w:tc>
        <w:tc>
          <w:tcPr>
            <w:tcW w:w="3213" w:type="dxa"/>
            <w:tcBorders>
              <w:top w:val="single" w:sz="2" w:space="0" w:color="auto"/>
              <w:left w:val="single" w:sz="2" w:space="0" w:color="auto"/>
              <w:bottom w:val="single" w:sz="2" w:space="0" w:color="auto"/>
              <w:right w:val="single" w:sz="2" w:space="0" w:color="auto"/>
            </w:tcBorders>
            <w:vAlign w:val="center"/>
          </w:tcPr>
          <w:p w14:paraId="213EA5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138,525,545.88</w:t>
            </w:r>
          </w:p>
        </w:tc>
      </w:tr>
      <w:tr w:rsidR="00F73301" w:rsidRPr="00F73301" w14:paraId="1C0E9CC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D18BC6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 Exchange rate changes</w:t>
            </w:r>
          </w:p>
        </w:tc>
        <w:tc>
          <w:tcPr>
            <w:tcW w:w="3213" w:type="dxa"/>
            <w:tcBorders>
              <w:top w:val="single" w:sz="2" w:space="0" w:color="auto"/>
              <w:left w:val="single" w:sz="2" w:space="0" w:color="auto"/>
              <w:bottom w:val="single" w:sz="2" w:space="0" w:color="auto"/>
              <w:right w:val="single" w:sz="2" w:space="0" w:color="auto"/>
            </w:tcBorders>
            <w:vAlign w:val="center"/>
          </w:tcPr>
          <w:p w14:paraId="0900C31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278,107.03</w:t>
            </w:r>
          </w:p>
        </w:tc>
        <w:tc>
          <w:tcPr>
            <w:tcW w:w="3213" w:type="dxa"/>
            <w:tcBorders>
              <w:top w:val="single" w:sz="2" w:space="0" w:color="auto"/>
              <w:left w:val="single" w:sz="2" w:space="0" w:color="auto"/>
              <w:bottom w:val="single" w:sz="2" w:space="0" w:color="auto"/>
              <w:right w:val="single" w:sz="2" w:space="0" w:color="auto"/>
            </w:tcBorders>
            <w:vAlign w:val="center"/>
          </w:tcPr>
          <w:p w14:paraId="7D4A07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278,107.03</w:t>
            </w:r>
          </w:p>
        </w:tc>
      </w:tr>
      <w:tr w:rsidR="00F73301" w:rsidRPr="00F73301" w14:paraId="6A58EA6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A1720E"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3. Decreased amount for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07A1754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1CF7B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A8E9DA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0260620" w14:textId="77777777" w:rsidR="00F73301" w:rsidRPr="00F73301" w:rsidRDefault="00F73301" w:rsidP="008C49B7">
            <w:pPr>
              <w:snapToGrid w:val="0"/>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C5F21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E5F90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B93154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4357B9"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4. Closing balance</w:t>
            </w:r>
          </w:p>
        </w:tc>
        <w:tc>
          <w:tcPr>
            <w:tcW w:w="3213" w:type="dxa"/>
            <w:tcBorders>
              <w:top w:val="single" w:sz="2" w:space="0" w:color="auto"/>
              <w:left w:val="single" w:sz="2" w:space="0" w:color="auto"/>
              <w:bottom w:val="single" w:sz="2" w:space="0" w:color="auto"/>
              <w:right w:val="single" w:sz="2" w:space="0" w:color="auto"/>
            </w:tcBorders>
            <w:vAlign w:val="center"/>
          </w:tcPr>
          <w:p w14:paraId="3E8953A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149,214,757.58</w:t>
            </w:r>
          </w:p>
        </w:tc>
        <w:tc>
          <w:tcPr>
            <w:tcW w:w="3213" w:type="dxa"/>
            <w:tcBorders>
              <w:top w:val="single" w:sz="2" w:space="0" w:color="auto"/>
              <w:left w:val="single" w:sz="2" w:space="0" w:color="auto"/>
              <w:bottom w:val="single" w:sz="2" w:space="0" w:color="auto"/>
              <w:right w:val="single" w:sz="2" w:space="0" w:color="auto"/>
            </w:tcBorders>
            <w:vAlign w:val="center"/>
          </w:tcPr>
          <w:p w14:paraId="355B53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149,214,757.58</w:t>
            </w:r>
          </w:p>
        </w:tc>
      </w:tr>
      <w:tr w:rsidR="00F73301" w:rsidRPr="00F73301" w14:paraId="5BF557D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A4318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Accumulated Depreciation</w:t>
            </w:r>
          </w:p>
        </w:tc>
        <w:tc>
          <w:tcPr>
            <w:tcW w:w="3213" w:type="dxa"/>
            <w:tcBorders>
              <w:top w:val="single" w:sz="2" w:space="0" w:color="auto"/>
              <w:left w:val="single" w:sz="2" w:space="0" w:color="auto"/>
              <w:bottom w:val="single" w:sz="2" w:space="0" w:color="auto"/>
              <w:right w:val="single" w:sz="2" w:space="0" w:color="auto"/>
            </w:tcBorders>
            <w:vAlign w:val="center"/>
          </w:tcPr>
          <w:p w14:paraId="4A0C5DEF"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7C708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74EA70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387FF1"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Opening balance</w:t>
            </w:r>
          </w:p>
        </w:tc>
        <w:tc>
          <w:tcPr>
            <w:tcW w:w="3213" w:type="dxa"/>
            <w:tcBorders>
              <w:top w:val="single" w:sz="2" w:space="0" w:color="auto"/>
              <w:left w:val="single" w:sz="2" w:space="0" w:color="auto"/>
              <w:bottom w:val="single" w:sz="2" w:space="0" w:color="auto"/>
              <w:right w:val="single" w:sz="2" w:space="0" w:color="auto"/>
            </w:tcBorders>
            <w:vAlign w:val="center"/>
          </w:tcPr>
          <w:p w14:paraId="0891256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2,976,351.73</w:t>
            </w:r>
          </w:p>
        </w:tc>
        <w:tc>
          <w:tcPr>
            <w:tcW w:w="3213" w:type="dxa"/>
            <w:tcBorders>
              <w:top w:val="single" w:sz="2" w:space="0" w:color="auto"/>
              <w:left w:val="single" w:sz="2" w:space="0" w:color="auto"/>
              <w:bottom w:val="single" w:sz="2" w:space="0" w:color="auto"/>
              <w:right w:val="single" w:sz="2" w:space="0" w:color="auto"/>
            </w:tcBorders>
            <w:vAlign w:val="center"/>
          </w:tcPr>
          <w:p w14:paraId="4354CD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2,976,351.73</w:t>
            </w:r>
          </w:p>
        </w:tc>
      </w:tr>
      <w:tr w:rsidR="00F73301" w:rsidRPr="00F73301" w14:paraId="0B1AB88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6BC125"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Increased amount for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33DD61F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44,588,036.82</w:t>
            </w:r>
          </w:p>
        </w:tc>
        <w:tc>
          <w:tcPr>
            <w:tcW w:w="3213" w:type="dxa"/>
            <w:tcBorders>
              <w:top w:val="single" w:sz="2" w:space="0" w:color="auto"/>
              <w:left w:val="single" w:sz="2" w:space="0" w:color="auto"/>
              <w:bottom w:val="single" w:sz="2" w:space="0" w:color="auto"/>
              <w:right w:val="single" w:sz="2" w:space="0" w:color="auto"/>
            </w:tcBorders>
            <w:vAlign w:val="center"/>
          </w:tcPr>
          <w:p w14:paraId="4F04ED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44,588,036.82</w:t>
            </w:r>
          </w:p>
        </w:tc>
      </w:tr>
      <w:tr w:rsidR="00F73301" w:rsidRPr="00F73301" w14:paraId="0DC7BEB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25FF9E"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Accrual</w:t>
            </w:r>
          </w:p>
        </w:tc>
        <w:tc>
          <w:tcPr>
            <w:tcW w:w="3213" w:type="dxa"/>
            <w:tcBorders>
              <w:top w:val="single" w:sz="2" w:space="0" w:color="auto"/>
              <w:left w:val="single" w:sz="2" w:space="0" w:color="auto"/>
              <w:bottom w:val="single" w:sz="2" w:space="0" w:color="auto"/>
              <w:right w:val="single" w:sz="2" w:space="0" w:color="auto"/>
            </w:tcBorders>
            <w:vAlign w:val="center"/>
          </w:tcPr>
          <w:p w14:paraId="1BCC0B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5,551,959.12</w:t>
            </w:r>
          </w:p>
        </w:tc>
        <w:tc>
          <w:tcPr>
            <w:tcW w:w="3213" w:type="dxa"/>
            <w:tcBorders>
              <w:top w:val="single" w:sz="2" w:space="0" w:color="auto"/>
              <w:left w:val="single" w:sz="2" w:space="0" w:color="auto"/>
              <w:bottom w:val="single" w:sz="2" w:space="0" w:color="auto"/>
              <w:right w:val="single" w:sz="2" w:space="0" w:color="auto"/>
            </w:tcBorders>
            <w:vAlign w:val="center"/>
          </w:tcPr>
          <w:p w14:paraId="7DDFCC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5,551,959.12</w:t>
            </w:r>
          </w:p>
        </w:tc>
      </w:tr>
      <w:tr w:rsidR="00F73301" w:rsidRPr="00F73301" w14:paraId="3F0DD93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2EBF39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 from business combination</w:t>
            </w:r>
          </w:p>
        </w:tc>
        <w:tc>
          <w:tcPr>
            <w:tcW w:w="3213" w:type="dxa"/>
            <w:tcBorders>
              <w:top w:val="single" w:sz="2" w:space="0" w:color="auto"/>
              <w:left w:val="single" w:sz="2" w:space="0" w:color="auto"/>
              <w:bottom w:val="single" w:sz="2" w:space="0" w:color="auto"/>
              <w:right w:val="single" w:sz="2" w:space="0" w:color="auto"/>
            </w:tcBorders>
            <w:vAlign w:val="center"/>
          </w:tcPr>
          <w:p w14:paraId="70ED509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38,960,309.81</w:t>
            </w:r>
          </w:p>
        </w:tc>
        <w:tc>
          <w:tcPr>
            <w:tcW w:w="3213" w:type="dxa"/>
            <w:tcBorders>
              <w:top w:val="single" w:sz="2" w:space="0" w:color="auto"/>
              <w:left w:val="single" w:sz="2" w:space="0" w:color="auto"/>
              <w:bottom w:val="single" w:sz="2" w:space="0" w:color="auto"/>
              <w:right w:val="single" w:sz="2" w:space="0" w:color="auto"/>
            </w:tcBorders>
            <w:vAlign w:val="center"/>
          </w:tcPr>
          <w:p w14:paraId="5B3944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38,960,309.81</w:t>
            </w:r>
          </w:p>
        </w:tc>
      </w:tr>
      <w:tr w:rsidR="00F73301" w:rsidRPr="00F73301" w14:paraId="6C00D08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15266A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(3) Exchange rate changes</w:t>
            </w:r>
          </w:p>
        </w:tc>
        <w:tc>
          <w:tcPr>
            <w:tcW w:w="3213" w:type="dxa"/>
            <w:tcBorders>
              <w:top w:val="single" w:sz="2" w:space="0" w:color="auto"/>
              <w:left w:val="single" w:sz="2" w:space="0" w:color="auto"/>
              <w:bottom w:val="single" w:sz="2" w:space="0" w:color="auto"/>
              <w:right w:val="single" w:sz="2" w:space="0" w:color="auto"/>
            </w:tcBorders>
            <w:vAlign w:val="center"/>
          </w:tcPr>
          <w:p w14:paraId="2137CD9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75,767.89</w:t>
            </w:r>
          </w:p>
        </w:tc>
        <w:tc>
          <w:tcPr>
            <w:tcW w:w="3213" w:type="dxa"/>
            <w:tcBorders>
              <w:top w:val="single" w:sz="2" w:space="0" w:color="auto"/>
              <w:left w:val="single" w:sz="2" w:space="0" w:color="auto"/>
              <w:bottom w:val="single" w:sz="2" w:space="0" w:color="auto"/>
              <w:right w:val="single" w:sz="2" w:space="0" w:color="auto"/>
            </w:tcBorders>
            <w:vAlign w:val="center"/>
          </w:tcPr>
          <w:p w14:paraId="74D6B59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75,767.89</w:t>
            </w:r>
          </w:p>
        </w:tc>
      </w:tr>
      <w:tr w:rsidR="00F73301" w:rsidRPr="00F73301" w14:paraId="36BD395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4D6658"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3. Decreased amount for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125C35EF"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8DBDF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BB08C7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4CC60D"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Disposal</w:t>
            </w:r>
          </w:p>
        </w:tc>
        <w:tc>
          <w:tcPr>
            <w:tcW w:w="3213" w:type="dxa"/>
            <w:tcBorders>
              <w:top w:val="single" w:sz="2" w:space="0" w:color="auto"/>
              <w:left w:val="single" w:sz="2" w:space="0" w:color="auto"/>
              <w:bottom w:val="single" w:sz="2" w:space="0" w:color="auto"/>
              <w:right w:val="single" w:sz="2" w:space="0" w:color="auto"/>
            </w:tcBorders>
            <w:vAlign w:val="center"/>
          </w:tcPr>
          <w:p w14:paraId="60568A3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01EB6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D681CB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F094DA1" w14:textId="77777777" w:rsidR="00F73301" w:rsidRPr="00F73301" w:rsidRDefault="00F73301" w:rsidP="008C49B7">
            <w:pPr>
              <w:snapToGrid w:val="0"/>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F3ED4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E1D9A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46D3EF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213BD1"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4. Closing balance</w:t>
            </w:r>
          </w:p>
        </w:tc>
        <w:tc>
          <w:tcPr>
            <w:tcW w:w="3213" w:type="dxa"/>
            <w:tcBorders>
              <w:top w:val="single" w:sz="2" w:space="0" w:color="auto"/>
              <w:left w:val="single" w:sz="2" w:space="0" w:color="auto"/>
              <w:bottom w:val="single" w:sz="2" w:space="0" w:color="auto"/>
              <w:right w:val="single" w:sz="2" w:space="0" w:color="auto"/>
            </w:tcBorders>
            <w:vAlign w:val="center"/>
          </w:tcPr>
          <w:p w14:paraId="1C009D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47,564,388.55</w:t>
            </w:r>
          </w:p>
        </w:tc>
        <w:tc>
          <w:tcPr>
            <w:tcW w:w="3213" w:type="dxa"/>
            <w:tcBorders>
              <w:top w:val="single" w:sz="2" w:space="0" w:color="auto"/>
              <w:left w:val="single" w:sz="2" w:space="0" w:color="auto"/>
              <w:bottom w:val="single" w:sz="2" w:space="0" w:color="auto"/>
              <w:right w:val="single" w:sz="2" w:space="0" w:color="auto"/>
            </w:tcBorders>
            <w:vAlign w:val="center"/>
          </w:tcPr>
          <w:p w14:paraId="5EA2BE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47,564,388.55</w:t>
            </w:r>
          </w:p>
        </w:tc>
      </w:tr>
      <w:tr w:rsidR="00F73301" w:rsidRPr="00F73301" w14:paraId="514BAAC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14588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III. Allowance for Impairment</w:t>
            </w:r>
          </w:p>
        </w:tc>
        <w:tc>
          <w:tcPr>
            <w:tcW w:w="3213" w:type="dxa"/>
            <w:tcBorders>
              <w:top w:val="single" w:sz="2" w:space="0" w:color="auto"/>
              <w:left w:val="single" w:sz="2" w:space="0" w:color="auto"/>
              <w:bottom w:val="single" w:sz="2" w:space="0" w:color="auto"/>
              <w:right w:val="single" w:sz="2" w:space="0" w:color="auto"/>
            </w:tcBorders>
            <w:vAlign w:val="center"/>
          </w:tcPr>
          <w:p w14:paraId="3D94F6A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C6523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82FFC8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E3FFCA"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Opening balance</w:t>
            </w:r>
          </w:p>
        </w:tc>
        <w:tc>
          <w:tcPr>
            <w:tcW w:w="3213" w:type="dxa"/>
            <w:tcBorders>
              <w:top w:val="single" w:sz="2" w:space="0" w:color="auto"/>
              <w:left w:val="single" w:sz="2" w:space="0" w:color="auto"/>
              <w:bottom w:val="single" w:sz="2" w:space="0" w:color="auto"/>
              <w:right w:val="single" w:sz="2" w:space="0" w:color="auto"/>
            </w:tcBorders>
            <w:vAlign w:val="center"/>
          </w:tcPr>
          <w:p w14:paraId="6BD8E49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C73B0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D8AFE5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F73BBA"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Increased amount for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6EBB3E5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544FE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CDD0F2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4CB8EF"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Accrual</w:t>
            </w:r>
          </w:p>
        </w:tc>
        <w:tc>
          <w:tcPr>
            <w:tcW w:w="3213" w:type="dxa"/>
            <w:tcBorders>
              <w:top w:val="single" w:sz="2" w:space="0" w:color="auto"/>
              <w:left w:val="single" w:sz="2" w:space="0" w:color="auto"/>
              <w:bottom w:val="single" w:sz="2" w:space="0" w:color="auto"/>
              <w:right w:val="single" w:sz="2" w:space="0" w:color="auto"/>
            </w:tcBorders>
            <w:vAlign w:val="center"/>
          </w:tcPr>
          <w:p w14:paraId="725F746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025E0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23C4D7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79A1265" w14:textId="77777777" w:rsidR="00F73301" w:rsidRPr="00F73301" w:rsidRDefault="00F73301" w:rsidP="008C49B7">
            <w:pPr>
              <w:snapToGrid w:val="0"/>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C0896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631C2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E38052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7603F7"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3. Decreased amount for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6082D3E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080F1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7D6472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2B7A0B"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Disposal</w:t>
            </w:r>
          </w:p>
        </w:tc>
        <w:tc>
          <w:tcPr>
            <w:tcW w:w="3213" w:type="dxa"/>
            <w:tcBorders>
              <w:top w:val="single" w:sz="2" w:space="0" w:color="auto"/>
              <w:left w:val="single" w:sz="2" w:space="0" w:color="auto"/>
              <w:bottom w:val="single" w:sz="2" w:space="0" w:color="auto"/>
              <w:right w:val="single" w:sz="2" w:space="0" w:color="auto"/>
            </w:tcBorders>
            <w:vAlign w:val="center"/>
          </w:tcPr>
          <w:p w14:paraId="5CF5EB0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45A4F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1BCB10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274C8EA" w14:textId="77777777" w:rsidR="00F73301" w:rsidRPr="00F73301" w:rsidRDefault="00F73301" w:rsidP="008C49B7">
            <w:pPr>
              <w:snapToGrid w:val="0"/>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4C646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B430B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AFB95F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E0DC6C"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4. Closing balance</w:t>
            </w:r>
          </w:p>
        </w:tc>
        <w:tc>
          <w:tcPr>
            <w:tcW w:w="3213" w:type="dxa"/>
            <w:tcBorders>
              <w:top w:val="single" w:sz="2" w:space="0" w:color="auto"/>
              <w:left w:val="single" w:sz="2" w:space="0" w:color="auto"/>
              <w:bottom w:val="single" w:sz="2" w:space="0" w:color="auto"/>
              <w:right w:val="single" w:sz="2" w:space="0" w:color="auto"/>
            </w:tcBorders>
            <w:vAlign w:val="center"/>
          </w:tcPr>
          <w:p w14:paraId="6374E48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6F682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F5384F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B4A02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IV. Carrying Amount</w:t>
            </w:r>
          </w:p>
        </w:tc>
        <w:tc>
          <w:tcPr>
            <w:tcW w:w="3213" w:type="dxa"/>
            <w:tcBorders>
              <w:top w:val="single" w:sz="2" w:space="0" w:color="auto"/>
              <w:left w:val="single" w:sz="2" w:space="0" w:color="auto"/>
              <w:bottom w:val="single" w:sz="2" w:space="0" w:color="auto"/>
              <w:right w:val="single" w:sz="2" w:space="0" w:color="auto"/>
            </w:tcBorders>
            <w:vAlign w:val="center"/>
          </w:tcPr>
          <w:p w14:paraId="1C711BA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3F094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D31024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20DCF5"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Closing carrying amount</w:t>
            </w:r>
          </w:p>
        </w:tc>
        <w:tc>
          <w:tcPr>
            <w:tcW w:w="3213" w:type="dxa"/>
            <w:tcBorders>
              <w:top w:val="single" w:sz="2" w:space="0" w:color="auto"/>
              <w:left w:val="single" w:sz="2" w:space="0" w:color="auto"/>
              <w:bottom w:val="single" w:sz="2" w:space="0" w:color="auto"/>
              <w:right w:val="single" w:sz="2" w:space="0" w:color="auto"/>
            </w:tcBorders>
            <w:vAlign w:val="center"/>
          </w:tcPr>
          <w:p w14:paraId="21C98C0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101,650,369.03</w:t>
            </w:r>
          </w:p>
        </w:tc>
        <w:tc>
          <w:tcPr>
            <w:tcW w:w="3213" w:type="dxa"/>
            <w:tcBorders>
              <w:top w:val="single" w:sz="2" w:space="0" w:color="auto"/>
              <w:left w:val="single" w:sz="2" w:space="0" w:color="auto"/>
              <w:bottom w:val="single" w:sz="2" w:space="0" w:color="auto"/>
              <w:right w:val="single" w:sz="2" w:space="0" w:color="auto"/>
            </w:tcBorders>
            <w:vAlign w:val="center"/>
          </w:tcPr>
          <w:p w14:paraId="4C0EC1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101,650,369.03</w:t>
            </w:r>
          </w:p>
        </w:tc>
      </w:tr>
      <w:tr w:rsidR="00F73301" w:rsidRPr="00F73301" w14:paraId="31E2829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3104FC"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Opening carrying amount</w:t>
            </w:r>
          </w:p>
        </w:tc>
        <w:tc>
          <w:tcPr>
            <w:tcW w:w="3213" w:type="dxa"/>
            <w:tcBorders>
              <w:top w:val="single" w:sz="2" w:space="0" w:color="auto"/>
              <w:left w:val="single" w:sz="2" w:space="0" w:color="auto"/>
              <w:bottom w:val="single" w:sz="2" w:space="0" w:color="auto"/>
              <w:right w:val="single" w:sz="2" w:space="0" w:color="auto"/>
            </w:tcBorders>
            <w:vAlign w:val="center"/>
          </w:tcPr>
          <w:p w14:paraId="4F98EB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7,434,752.94</w:t>
            </w:r>
          </w:p>
        </w:tc>
        <w:tc>
          <w:tcPr>
            <w:tcW w:w="3213" w:type="dxa"/>
            <w:tcBorders>
              <w:top w:val="single" w:sz="2" w:space="0" w:color="auto"/>
              <w:left w:val="single" w:sz="2" w:space="0" w:color="auto"/>
              <w:bottom w:val="single" w:sz="2" w:space="0" w:color="auto"/>
              <w:right w:val="single" w:sz="2" w:space="0" w:color="auto"/>
            </w:tcBorders>
            <w:vAlign w:val="center"/>
          </w:tcPr>
          <w:p w14:paraId="387D16D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7,434,752.94</w:t>
            </w:r>
          </w:p>
        </w:tc>
      </w:tr>
    </w:tbl>
    <w:p w14:paraId="59B882B7"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67B9899"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1E99F190"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10" w:name="_Toc989098"/>
      <w:r w:rsidRPr="00F73301">
        <w:rPr>
          <w:rFonts w:ascii="Times New Roman" w:eastAsia="宋体" w:hAnsi="Times New Roman" w:cs="Times New Roman"/>
          <w:b/>
          <w:bCs/>
          <w:sz w:val="24"/>
          <w:szCs w:val="24"/>
        </w:rPr>
        <w:t>15. Intangible assets</w:t>
      </w:r>
      <w:bookmarkEnd w:id="210"/>
    </w:p>
    <w:p w14:paraId="12D4DBD6"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11" w:name="_Toc989099"/>
      <w:r w:rsidRPr="00F73301">
        <w:rPr>
          <w:rFonts w:ascii="Times New Roman" w:eastAsia="宋体" w:hAnsi="Times New Roman" w:cs="Times New Roman"/>
          <w:b/>
          <w:bCs/>
          <w:sz w:val="24"/>
          <w:szCs w:val="24"/>
        </w:rPr>
        <w:t>(1) List of intangible assets</w:t>
      </w:r>
      <w:bookmarkEnd w:id="211"/>
    </w:p>
    <w:p w14:paraId="0B024EE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36AA7D3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299A33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B16A69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Land use right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02627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Patent right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9879CF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Non-patent technologies</w:t>
            </w:r>
          </w:p>
        </w:tc>
        <w:tc>
          <w:tcPr>
            <w:tcW w:w="1377" w:type="dxa"/>
            <w:tcBorders>
              <w:top w:val="single" w:sz="2" w:space="0" w:color="auto"/>
              <w:left w:val="single" w:sz="2" w:space="0" w:color="auto"/>
              <w:bottom w:val="single" w:sz="2" w:space="0" w:color="auto"/>
              <w:right w:val="single" w:sz="2" w:space="0" w:color="auto"/>
            </w:tcBorders>
            <w:vAlign w:val="center"/>
          </w:tcPr>
          <w:p w14:paraId="029D526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Software</w:t>
            </w:r>
          </w:p>
        </w:tc>
        <w:tc>
          <w:tcPr>
            <w:tcW w:w="1377" w:type="dxa"/>
            <w:tcBorders>
              <w:top w:val="single" w:sz="2" w:space="0" w:color="auto"/>
              <w:left w:val="single" w:sz="2" w:space="0" w:color="auto"/>
              <w:bottom w:val="single" w:sz="2" w:space="0" w:color="auto"/>
              <w:right w:val="single" w:sz="2" w:space="0" w:color="auto"/>
            </w:tcBorders>
            <w:vAlign w:val="center"/>
          </w:tcPr>
          <w:p w14:paraId="686FD6E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Proprietary technology</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593EAF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r>
      <w:tr w:rsidR="00F73301" w:rsidRPr="00F73301" w14:paraId="235309A9"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592A59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I. Original Carrying Amount</w:t>
            </w:r>
          </w:p>
        </w:tc>
        <w:tc>
          <w:tcPr>
            <w:tcW w:w="1377" w:type="dxa"/>
            <w:tcBorders>
              <w:top w:val="single" w:sz="2" w:space="0" w:color="auto"/>
              <w:left w:val="single" w:sz="2" w:space="0" w:color="auto"/>
              <w:bottom w:val="single" w:sz="2" w:space="0" w:color="auto"/>
              <w:right w:val="single" w:sz="2" w:space="0" w:color="auto"/>
            </w:tcBorders>
            <w:vAlign w:val="center"/>
          </w:tcPr>
          <w:p w14:paraId="25E82A7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B1D41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21A34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810A5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75C2A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B8885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71B44A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3A657A2"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Opening balance</w:t>
            </w:r>
          </w:p>
        </w:tc>
        <w:tc>
          <w:tcPr>
            <w:tcW w:w="1377" w:type="dxa"/>
            <w:tcBorders>
              <w:top w:val="single" w:sz="2" w:space="0" w:color="auto"/>
              <w:left w:val="single" w:sz="2" w:space="0" w:color="auto"/>
              <w:bottom w:val="single" w:sz="2" w:space="0" w:color="auto"/>
              <w:right w:val="single" w:sz="2" w:space="0" w:color="auto"/>
            </w:tcBorders>
            <w:vAlign w:val="center"/>
          </w:tcPr>
          <w:p w14:paraId="5F7CC76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110,723,627.18</w:t>
            </w:r>
          </w:p>
        </w:tc>
        <w:tc>
          <w:tcPr>
            <w:tcW w:w="1377" w:type="dxa"/>
            <w:tcBorders>
              <w:top w:val="single" w:sz="2" w:space="0" w:color="auto"/>
              <w:left w:val="single" w:sz="2" w:space="0" w:color="auto"/>
              <w:bottom w:val="single" w:sz="2" w:space="0" w:color="auto"/>
              <w:right w:val="single" w:sz="2" w:space="0" w:color="auto"/>
            </w:tcBorders>
            <w:vAlign w:val="center"/>
          </w:tcPr>
          <w:p w14:paraId="50F9B2C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4D1EC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A30D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42,855,166.43</w:t>
            </w:r>
          </w:p>
        </w:tc>
        <w:tc>
          <w:tcPr>
            <w:tcW w:w="1377" w:type="dxa"/>
            <w:tcBorders>
              <w:top w:val="single" w:sz="2" w:space="0" w:color="auto"/>
              <w:left w:val="single" w:sz="2" w:space="0" w:color="auto"/>
              <w:bottom w:val="single" w:sz="2" w:space="0" w:color="auto"/>
              <w:right w:val="single" w:sz="2" w:space="0" w:color="auto"/>
            </w:tcBorders>
            <w:vAlign w:val="center"/>
          </w:tcPr>
          <w:p w14:paraId="3550FEC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15,900,000.00</w:t>
            </w:r>
          </w:p>
        </w:tc>
        <w:tc>
          <w:tcPr>
            <w:tcW w:w="1377" w:type="dxa"/>
            <w:tcBorders>
              <w:top w:val="single" w:sz="2" w:space="0" w:color="auto"/>
              <w:left w:val="single" w:sz="2" w:space="0" w:color="auto"/>
              <w:bottom w:val="single" w:sz="2" w:space="0" w:color="auto"/>
              <w:right w:val="single" w:sz="2" w:space="0" w:color="auto"/>
            </w:tcBorders>
            <w:vAlign w:val="center"/>
          </w:tcPr>
          <w:p w14:paraId="7F4A79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169,478,793.61</w:t>
            </w:r>
          </w:p>
        </w:tc>
      </w:tr>
      <w:tr w:rsidR="00F73301" w:rsidRPr="00F73301" w14:paraId="4399115D"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C249202"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Increased amount for the current period</w:t>
            </w:r>
          </w:p>
        </w:tc>
        <w:tc>
          <w:tcPr>
            <w:tcW w:w="1377" w:type="dxa"/>
            <w:tcBorders>
              <w:top w:val="single" w:sz="2" w:space="0" w:color="auto"/>
              <w:left w:val="single" w:sz="2" w:space="0" w:color="auto"/>
              <w:bottom w:val="single" w:sz="2" w:space="0" w:color="auto"/>
              <w:right w:val="single" w:sz="2" w:space="0" w:color="auto"/>
            </w:tcBorders>
            <w:vAlign w:val="center"/>
          </w:tcPr>
          <w:p w14:paraId="42020F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544,848.92</w:t>
            </w:r>
          </w:p>
        </w:tc>
        <w:tc>
          <w:tcPr>
            <w:tcW w:w="1377" w:type="dxa"/>
            <w:tcBorders>
              <w:top w:val="single" w:sz="2" w:space="0" w:color="auto"/>
              <w:left w:val="single" w:sz="2" w:space="0" w:color="auto"/>
              <w:bottom w:val="single" w:sz="2" w:space="0" w:color="auto"/>
              <w:right w:val="single" w:sz="2" w:space="0" w:color="auto"/>
            </w:tcBorders>
            <w:vAlign w:val="center"/>
          </w:tcPr>
          <w:p w14:paraId="6409162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A3D69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6C6BC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11,561,364.93</w:t>
            </w:r>
          </w:p>
        </w:tc>
        <w:tc>
          <w:tcPr>
            <w:tcW w:w="1377" w:type="dxa"/>
            <w:tcBorders>
              <w:top w:val="single" w:sz="2" w:space="0" w:color="auto"/>
              <w:left w:val="single" w:sz="2" w:space="0" w:color="auto"/>
              <w:bottom w:val="single" w:sz="2" w:space="0" w:color="auto"/>
              <w:right w:val="single" w:sz="2" w:space="0" w:color="auto"/>
            </w:tcBorders>
            <w:vAlign w:val="center"/>
          </w:tcPr>
          <w:p w14:paraId="45703E2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0C94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12,106,213.85</w:t>
            </w:r>
          </w:p>
        </w:tc>
      </w:tr>
      <w:tr w:rsidR="00F73301" w:rsidRPr="00F73301" w14:paraId="0AF1A2CE"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23BF7D2"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Purchase</w:t>
            </w:r>
          </w:p>
        </w:tc>
        <w:tc>
          <w:tcPr>
            <w:tcW w:w="1377" w:type="dxa"/>
            <w:tcBorders>
              <w:top w:val="single" w:sz="2" w:space="0" w:color="auto"/>
              <w:left w:val="single" w:sz="2" w:space="0" w:color="auto"/>
              <w:bottom w:val="single" w:sz="2" w:space="0" w:color="auto"/>
              <w:right w:val="single" w:sz="2" w:space="0" w:color="auto"/>
            </w:tcBorders>
            <w:vAlign w:val="center"/>
          </w:tcPr>
          <w:p w14:paraId="319F27B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C3EEC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AB0FF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907D3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9,343,545.38</w:t>
            </w:r>
          </w:p>
        </w:tc>
        <w:tc>
          <w:tcPr>
            <w:tcW w:w="1377" w:type="dxa"/>
            <w:tcBorders>
              <w:top w:val="single" w:sz="2" w:space="0" w:color="auto"/>
              <w:left w:val="single" w:sz="2" w:space="0" w:color="auto"/>
              <w:bottom w:val="single" w:sz="2" w:space="0" w:color="auto"/>
              <w:right w:val="single" w:sz="2" w:space="0" w:color="auto"/>
            </w:tcBorders>
            <w:vAlign w:val="center"/>
          </w:tcPr>
          <w:p w14:paraId="1F20F5A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7C205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9,343,545.38</w:t>
            </w:r>
          </w:p>
        </w:tc>
      </w:tr>
      <w:tr w:rsidR="00F73301" w:rsidRPr="00F73301" w14:paraId="4E3A75B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2FF77EC"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(2) Internal R&amp;D</w:t>
            </w:r>
          </w:p>
        </w:tc>
        <w:tc>
          <w:tcPr>
            <w:tcW w:w="1377" w:type="dxa"/>
            <w:tcBorders>
              <w:top w:val="single" w:sz="2" w:space="0" w:color="auto"/>
              <w:left w:val="single" w:sz="2" w:space="0" w:color="auto"/>
              <w:bottom w:val="single" w:sz="2" w:space="0" w:color="auto"/>
              <w:right w:val="single" w:sz="2" w:space="0" w:color="auto"/>
            </w:tcBorders>
            <w:vAlign w:val="center"/>
          </w:tcPr>
          <w:p w14:paraId="4DA896B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7A9C4D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F0487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18BC1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F4CDC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086CB8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0.00</w:t>
            </w:r>
          </w:p>
        </w:tc>
      </w:tr>
      <w:tr w:rsidR="00F73301" w:rsidRPr="00F73301" w14:paraId="3AA5355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3C21957"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(3) Increase from business combination</w:t>
            </w:r>
          </w:p>
        </w:tc>
        <w:tc>
          <w:tcPr>
            <w:tcW w:w="1377" w:type="dxa"/>
            <w:tcBorders>
              <w:top w:val="single" w:sz="2" w:space="0" w:color="auto"/>
              <w:left w:val="single" w:sz="2" w:space="0" w:color="auto"/>
              <w:bottom w:val="single" w:sz="2" w:space="0" w:color="auto"/>
              <w:right w:val="single" w:sz="2" w:space="0" w:color="auto"/>
            </w:tcBorders>
            <w:vAlign w:val="center"/>
          </w:tcPr>
          <w:p w14:paraId="3852DE3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23EC5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2F02A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D857ED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2,165,136.08</w:t>
            </w:r>
          </w:p>
        </w:tc>
        <w:tc>
          <w:tcPr>
            <w:tcW w:w="1377" w:type="dxa"/>
            <w:tcBorders>
              <w:top w:val="single" w:sz="2" w:space="0" w:color="auto"/>
              <w:left w:val="single" w:sz="2" w:space="0" w:color="auto"/>
              <w:bottom w:val="single" w:sz="2" w:space="0" w:color="auto"/>
              <w:right w:val="single" w:sz="2" w:space="0" w:color="auto"/>
            </w:tcBorders>
            <w:vAlign w:val="center"/>
          </w:tcPr>
          <w:p w14:paraId="65608E9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4C35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2,165,136.08</w:t>
            </w:r>
          </w:p>
        </w:tc>
      </w:tr>
      <w:tr w:rsidR="00F73301" w:rsidRPr="00F73301" w14:paraId="3C057B0D"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EFB51A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(4) Impact of exchange rate changes</w:t>
            </w:r>
          </w:p>
        </w:tc>
        <w:tc>
          <w:tcPr>
            <w:tcW w:w="1377" w:type="dxa"/>
            <w:tcBorders>
              <w:top w:val="single" w:sz="2" w:space="0" w:color="auto"/>
              <w:left w:val="single" w:sz="2" w:space="0" w:color="auto"/>
              <w:bottom w:val="single" w:sz="2" w:space="0" w:color="auto"/>
              <w:right w:val="single" w:sz="2" w:space="0" w:color="auto"/>
            </w:tcBorders>
            <w:vAlign w:val="center"/>
          </w:tcPr>
          <w:p w14:paraId="3A7906E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544,848.92</w:t>
            </w:r>
          </w:p>
        </w:tc>
        <w:tc>
          <w:tcPr>
            <w:tcW w:w="1377" w:type="dxa"/>
            <w:tcBorders>
              <w:top w:val="single" w:sz="2" w:space="0" w:color="auto"/>
              <w:left w:val="single" w:sz="2" w:space="0" w:color="auto"/>
              <w:bottom w:val="single" w:sz="2" w:space="0" w:color="auto"/>
              <w:right w:val="single" w:sz="2" w:space="0" w:color="auto"/>
            </w:tcBorders>
            <w:vAlign w:val="center"/>
          </w:tcPr>
          <w:p w14:paraId="5009C60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FE975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FFCE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52,683.47</w:t>
            </w:r>
          </w:p>
        </w:tc>
        <w:tc>
          <w:tcPr>
            <w:tcW w:w="1377" w:type="dxa"/>
            <w:tcBorders>
              <w:top w:val="single" w:sz="2" w:space="0" w:color="auto"/>
              <w:left w:val="single" w:sz="2" w:space="0" w:color="auto"/>
              <w:bottom w:val="single" w:sz="2" w:space="0" w:color="auto"/>
              <w:right w:val="single" w:sz="2" w:space="0" w:color="auto"/>
            </w:tcBorders>
            <w:vAlign w:val="center"/>
          </w:tcPr>
          <w:p w14:paraId="76A88AE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E69C4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597,532.39</w:t>
            </w:r>
          </w:p>
        </w:tc>
      </w:tr>
      <w:tr w:rsidR="00F73301" w:rsidRPr="00F73301" w14:paraId="3ADCFE3D"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94E6ADA"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3. Decreased amount for the current period</w:t>
            </w:r>
          </w:p>
        </w:tc>
        <w:tc>
          <w:tcPr>
            <w:tcW w:w="1377" w:type="dxa"/>
            <w:tcBorders>
              <w:top w:val="single" w:sz="2" w:space="0" w:color="auto"/>
              <w:left w:val="single" w:sz="2" w:space="0" w:color="auto"/>
              <w:bottom w:val="single" w:sz="2" w:space="0" w:color="auto"/>
              <w:right w:val="single" w:sz="2" w:space="0" w:color="auto"/>
            </w:tcBorders>
            <w:vAlign w:val="center"/>
          </w:tcPr>
          <w:p w14:paraId="106611D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C6A35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74483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0283F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88DD12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9EB6F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0C438C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1236F6"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Disposal</w:t>
            </w:r>
          </w:p>
        </w:tc>
        <w:tc>
          <w:tcPr>
            <w:tcW w:w="1377" w:type="dxa"/>
            <w:tcBorders>
              <w:top w:val="single" w:sz="2" w:space="0" w:color="auto"/>
              <w:left w:val="single" w:sz="2" w:space="0" w:color="auto"/>
              <w:bottom w:val="single" w:sz="2" w:space="0" w:color="auto"/>
              <w:right w:val="single" w:sz="2" w:space="0" w:color="auto"/>
            </w:tcBorders>
            <w:vAlign w:val="center"/>
          </w:tcPr>
          <w:p w14:paraId="14D35C2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83F7E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CA0C5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47707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B36F4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C1116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76C7E89"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22C3579B" w14:textId="77777777" w:rsidR="00F73301" w:rsidRPr="00F73301" w:rsidRDefault="00F73301" w:rsidP="008C49B7">
            <w:pPr>
              <w:snapToGrid w:val="0"/>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048DF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C6AFC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51E22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5D8D8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0AE64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A303BA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AFDEB0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83F0896"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4. Closing balance</w:t>
            </w:r>
          </w:p>
        </w:tc>
        <w:tc>
          <w:tcPr>
            <w:tcW w:w="1377" w:type="dxa"/>
            <w:tcBorders>
              <w:top w:val="single" w:sz="2" w:space="0" w:color="auto"/>
              <w:left w:val="single" w:sz="2" w:space="0" w:color="auto"/>
              <w:bottom w:val="single" w:sz="2" w:space="0" w:color="auto"/>
              <w:right w:val="single" w:sz="2" w:space="0" w:color="auto"/>
            </w:tcBorders>
            <w:vAlign w:val="center"/>
          </w:tcPr>
          <w:p w14:paraId="553952E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111,268,476.10</w:t>
            </w:r>
          </w:p>
        </w:tc>
        <w:tc>
          <w:tcPr>
            <w:tcW w:w="1377" w:type="dxa"/>
            <w:tcBorders>
              <w:top w:val="single" w:sz="2" w:space="0" w:color="auto"/>
              <w:left w:val="single" w:sz="2" w:space="0" w:color="auto"/>
              <w:bottom w:val="single" w:sz="2" w:space="0" w:color="auto"/>
              <w:right w:val="single" w:sz="2" w:space="0" w:color="auto"/>
            </w:tcBorders>
            <w:vAlign w:val="center"/>
          </w:tcPr>
          <w:p w14:paraId="132D93A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852DB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371E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54,416,531.36</w:t>
            </w:r>
          </w:p>
        </w:tc>
        <w:tc>
          <w:tcPr>
            <w:tcW w:w="1377" w:type="dxa"/>
            <w:tcBorders>
              <w:top w:val="single" w:sz="2" w:space="0" w:color="auto"/>
              <w:left w:val="single" w:sz="2" w:space="0" w:color="auto"/>
              <w:bottom w:val="single" w:sz="2" w:space="0" w:color="auto"/>
              <w:right w:val="single" w:sz="2" w:space="0" w:color="auto"/>
            </w:tcBorders>
            <w:vAlign w:val="center"/>
          </w:tcPr>
          <w:p w14:paraId="3391FD2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15,900,000.00</w:t>
            </w:r>
          </w:p>
        </w:tc>
        <w:tc>
          <w:tcPr>
            <w:tcW w:w="1377" w:type="dxa"/>
            <w:tcBorders>
              <w:top w:val="single" w:sz="2" w:space="0" w:color="auto"/>
              <w:left w:val="single" w:sz="2" w:space="0" w:color="auto"/>
              <w:bottom w:val="single" w:sz="2" w:space="0" w:color="auto"/>
              <w:right w:val="single" w:sz="2" w:space="0" w:color="auto"/>
            </w:tcBorders>
            <w:vAlign w:val="center"/>
          </w:tcPr>
          <w:p w14:paraId="02A9E68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181,585,007.46</w:t>
            </w:r>
          </w:p>
        </w:tc>
      </w:tr>
      <w:tr w:rsidR="00F73301" w:rsidRPr="00F73301" w14:paraId="56E8A327"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A2EAD3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Accumulated Amortization</w:t>
            </w:r>
          </w:p>
        </w:tc>
        <w:tc>
          <w:tcPr>
            <w:tcW w:w="1377" w:type="dxa"/>
            <w:tcBorders>
              <w:top w:val="single" w:sz="2" w:space="0" w:color="auto"/>
              <w:left w:val="single" w:sz="2" w:space="0" w:color="auto"/>
              <w:bottom w:val="single" w:sz="2" w:space="0" w:color="auto"/>
              <w:right w:val="single" w:sz="2" w:space="0" w:color="auto"/>
            </w:tcBorders>
            <w:vAlign w:val="center"/>
          </w:tcPr>
          <w:p w14:paraId="3BB8B60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2C259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AA5BF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97956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4AAB5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9C014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2010F23"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C80422"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Opening balance</w:t>
            </w:r>
          </w:p>
        </w:tc>
        <w:tc>
          <w:tcPr>
            <w:tcW w:w="1377" w:type="dxa"/>
            <w:tcBorders>
              <w:top w:val="single" w:sz="2" w:space="0" w:color="auto"/>
              <w:left w:val="single" w:sz="2" w:space="0" w:color="auto"/>
              <w:bottom w:val="single" w:sz="2" w:space="0" w:color="auto"/>
              <w:right w:val="single" w:sz="2" w:space="0" w:color="auto"/>
            </w:tcBorders>
            <w:vAlign w:val="center"/>
          </w:tcPr>
          <w:p w14:paraId="555354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16,172,901.86</w:t>
            </w:r>
          </w:p>
        </w:tc>
        <w:tc>
          <w:tcPr>
            <w:tcW w:w="1377" w:type="dxa"/>
            <w:tcBorders>
              <w:top w:val="single" w:sz="2" w:space="0" w:color="auto"/>
              <w:left w:val="single" w:sz="2" w:space="0" w:color="auto"/>
              <w:bottom w:val="single" w:sz="2" w:space="0" w:color="auto"/>
              <w:right w:val="single" w:sz="2" w:space="0" w:color="auto"/>
            </w:tcBorders>
            <w:vAlign w:val="center"/>
          </w:tcPr>
          <w:p w14:paraId="78E0B5D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ADC20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F9E3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18,870,446.62</w:t>
            </w:r>
          </w:p>
        </w:tc>
        <w:tc>
          <w:tcPr>
            <w:tcW w:w="1377" w:type="dxa"/>
            <w:tcBorders>
              <w:top w:val="single" w:sz="2" w:space="0" w:color="auto"/>
              <w:left w:val="single" w:sz="2" w:space="0" w:color="auto"/>
              <w:bottom w:val="single" w:sz="2" w:space="0" w:color="auto"/>
              <w:right w:val="single" w:sz="2" w:space="0" w:color="auto"/>
            </w:tcBorders>
            <w:vAlign w:val="center"/>
          </w:tcPr>
          <w:p w14:paraId="38887FB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4,680,000.00</w:t>
            </w:r>
          </w:p>
        </w:tc>
        <w:tc>
          <w:tcPr>
            <w:tcW w:w="1377" w:type="dxa"/>
            <w:tcBorders>
              <w:top w:val="single" w:sz="2" w:space="0" w:color="auto"/>
              <w:left w:val="single" w:sz="2" w:space="0" w:color="auto"/>
              <w:bottom w:val="single" w:sz="2" w:space="0" w:color="auto"/>
              <w:right w:val="single" w:sz="2" w:space="0" w:color="auto"/>
            </w:tcBorders>
            <w:vAlign w:val="center"/>
          </w:tcPr>
          <w:p w14:paraId="6798F5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39,723,348.48</w:t>
            </w:r>
          </w:p>
        </w:tc>
      </w:tr>
      <w:tr w:rsidR="00F73301" w:rsidRPr="00F73301" w14:paraId="634DA0F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DAEA03C"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Increased amount for the current period</w:t>
            </w:r>
          </w:p>
        </w:tc>
        <w:tc>
          <w:tcPr>
            <w:tcW w:w="1377" w:type="dxa"/>
            <w:tcBorders>
              <w:top w:val="single" w:sz="2" w:space="0" w:color="auto"/>
              <w:left w:val="single" w:sz="2" w:space="0" w:color="auto"/>
              <w:bottom w:val="single" w:sz="2" w:space="0" w:color="auto"/>
              <w:right w:val="single" w:sz="2" w:space="0" w:color="auto"/>
            </w:tcBorders>
            <w:vAlign w:val="center"/>
          </w:tcPr>
          <w:p w14:paraId="1F45F4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1,362,230.00</w:t>
            </w:r>
          </w:p>
        </w:tc>
        <w:tc>
          <w:tcPr>
            <w:tcW w:w="1377" w:type="dxa"/>
            <w:tcBorders>
              <w:top w:val="single" w:sz="2" w:space="0" w:color="auto"/>
              <w:left w:val="single" w:sz="2" w:space="0" w:color="auto"/>
              <w:bottom w:val="single" w:sz="2" w:space="0" w:color="auto"/>
              <w:right w:val="single" w:sz="2" w:space="0" w:color="auto"/>
            </w:tcBorders>
            <w:vAlign w:val="center"/>
          </w:tcPr>
          <w:p w14:paraId="59C6FF0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33C73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76EE1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3,506,499.62</w:t>
            </w:r>
          </w:p>
        </w:tc>
        <w:tc>
          <w:tcPr>
            <w:tcW w:w="1377" w:type="dxa"/>
            <w:tcBorders>
              <w:top w:val="single" w:sz="2" w:space="0" w:color="auto"/>
              <w:left w:val="single" w:sz="2" w:space="0" w:color="auto"/>
              <w:bottom w:val="single" w:sz="2" w:space="0" w:color="auto"/>
              <w:right w:val="single" w:sz="2" w:space="0" w:color="auto"/>
            </w:tcBorders>
            <w:vAlign w:val="center"/>
          </w:tcPr>
          <w:p w14:paraId="53D469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548,537.00</w:t>
            </w:r>
          </w:p>
        </w:tc>
        <w:tc>
          <w:tcPr>
            <w:tcW w:w="1377" w:type="dxa"/>
            <w:tcBorders>
              <w:top w:val="single" w:sz="2" w:space="0" w:color="auto"/>
              <w:left w:val="single" w:sz="2" w:space="0" w:color="auto"/>
              <w:bottom w:val="single" w:sz="2" w:space="0" w:color="auto"/>
              <w:right w:val="single" w:sz="2" w:space="0" w:color="auto"/>
            </w:tcBorders>
            <w:vAlign w:val="center"/>
          </w:tcPr>
          <w:p w14:paraId="16CD76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5,417,266.62</w:t>
            </w:r>
          </w:p>
        </w:tc>
      </w:tr>
      <w:tr w:rsidR="00F73301" w:rsidRPr="00F73301" w14:paraId="74E877B5"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425C5DB"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Accrual</w:t>
            </w:r>
          </w:p>
        </w:tc>
        <w:tc>
          <w:tcPr>
            <w:tcW w:w="1377" w:type="dxa"/>
            <w:tcBorders>
              <w:top w:val="single" w:sz="2" w:space="0" w:color="auto"/>
              <w:left w:val="single" w:sz="2" w:space="0" w:color="auto"/>
              <w:bottom w:val="single" w:sz="2" w:space="0" w:color="auto"/>
              <w:right w:val="single" w:sz="2" w:space="0" w:color="auto"/>
            </w:tcBorders>
            <w:vAlign w:val="center"/>
          </w:tcPr>
          <w:p w14:paraId="282422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1,362,230.00</w:t>
            </w:r>
          </w:p>
        </w:tc>
        <w:tc>
          <w:tcPr>
            <w:tcW w:w="1377" w:type="dxa"/>
            <w:tcBorders>
              <w:top w:val="single" w:sz="2" w:space="0" w:color="auto"/>
              <w:left w:val="single" w:sz="2" w:space="0" w:color="auto"/>
              <w:bottom w:val="single" w:sz="2" w:space="0" w:color="auto"/>
              <w:right w:val="single" w:sz="2" w:space="0" w:color="auto"/>
            </w:tcBorders>
            <w:vAlign w:val="center"/>
          </w:tcPr>
          <w:p w14:paraId="0D3A144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827AD7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35D23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3,240,289.12</w:t>
            </w:r>
          </w:p>
        </w:tc>
        <w:tc>
          <w:tcPr>
            <w:tcW w:w="1377" w:type="dxa"/>
            <w:tcBorders>
              <w:top w:val="single" w:sz="2" w:space="0" w:color="auto"/>
              <w:left w:val="single" w:sz="2" w:space="0" w:color="auto"/>
              <w:bottom w:val="single" w:sz="2" w:space="0" w:color="auto"/>
              <w:right w:val="single" w:sz="2" w:space="0" w:color="auto"/>
            </w:tcBorders>
            <w:vAlign w:val="center"/>
          </w:tcPr>
          <w:p w14:paraId="2CCE86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548,537.00</w:t>
            </w:r>
          </w:p>
        </w:tc>
        <w:tc>
          <w:tcPr>
            <w:tcW w:w="1377" w:type="dxa"/>
            <w:tcBorders>
              <w:top w:val="single" w:sz="2" w:space="0" w:color="auto"/>
              <w:left w:val="single" w:sz="2" w:space="0" w:color="auto"/>
              <w:bottom w:val="single" w:sz="2" w:space="0" w:color="auto"/>
              <w:right w:val="single" w:sz="2" w:space="0" w:color="auto"/>
            </w:tcBorders>
            <w:vAlign w:val="center"/>
          </w:tcPr>
          <w:p w14:paraId="09FAC8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5,151,056.12</w:t>
            </w:r>
          </w:p>
        </w:tc>
      </w:tr>
      <w:tr w:rsidR="00F73301" w:rsidRPr="00F73301" w14:paraId="12D89393"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154540B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 from business combination</w:t>
            </w:r>
          </w:p>
        </w:tc>
        <w:tc>
          <w:tcPr>
            <w:tcW w:w="1377" w:type="dxa"/>
            <w:tcBorders>
              <w:top w:val="single" w:sz="2" w:space="0" w:color="auto"/>
              <w:left w:val="single" w:sz="2" w:space="0" w:color="auto"/>
              <w:bottom w:val="single" w:sz="2" w:space="0" w:color="auto"/>
              <w:right w:val="single" w:sz="2" w:space="0" w:color="auto"/>
            </w:tcBorders>
            <w:vAlign w:val="center"/>
          </w:tcPr>
          <w:p w14:paraId="1CD1280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F8F26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F772D4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1200C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227,204.04</w:t>
            </w:r>
          </w:p>
        </w:tc>
        <w:tc>
          <w:tcPr>
            <w:tcW w:w="1377" w:type="dxa"/>
            <w:tcBorders>
              <w:top w:val="single" w:sz="2" w:space="0" w:color="auto"/>
              <w:left w:val="single" w:sz="2" w:space="0" w:color="auto"/>
              <w:bottom w:val="single" w:sz="2" w:space="0" w:color="auto"/>
              <w:right w:val="single" w:sz="2" w:space="0" w:color="auto"/>
            </w:tcBorders>
            <w:vAlign w:val="center"/>
          </w:tcPr>
          <w:p w14:paraId="0FB473F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D0870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227,204.04</w:t>
            </w:r>
          </w:p>
        </w:tc>
      </w:tr>
      <w:tr w:rsidR="00F73301" w:rsidRPr="00F73301" w14:paraId="53731BD4"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19A2303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(3) Impact of exchange rate changes</w:t>
            </w:r>
          </w:p>
        </w:tc>
        <w:tc>
          <w:tcPr>
            <w:tcW w:w="1377" w:type="dxa"/>
            <w:tcBorders>
              <w:top w:val="single" w:sz="2" w:space="0" w:color="auto"/>
              <w:left w:val="single" w:sz="2" w:space="0" w:color="auto"/>
              <w:bottom w:val="single" w:sz="2" w:space="0" w:color="auto"/>
              <w:right w:val="single" w:sz="2" w:space="0" w:color="auto"/>
            </w:tcBorders>
            <w:vAlign w:val="center"/>
          </w:tcPr>
          <w:p w14:paraId="7E1F8DB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8C44A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F3283B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F42D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39,006.46</w:t>
            </w:r>
          </w:p>
        </w:tc>
        <w:tc>
          <w:tcPr>
            <w:tcW w:w="1377" w:type="dxa"/>
            <w:tcBorders>
              <w:top w:val="single" w:sz="2" w:space="0" w:color="auto"/>
              <w:left w:val="single" w:sz="2" w:space="0" w:color="auto"/>
              <w:bottom w:val="single" w:sz="2" w:space="0" w:color="auto"/>
              <w:right w:val="single" w:sz="2" w:space="0" w:color="auto"/>
            </w:tcBorders>
            <w:vAlign w:val="center"/>
          </w:tcPr>
          <w:p w14:paraId="5590799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95448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39,006.46</w:t>
            </w:r>
          </w:p>
        </w:tc>
      </w:tr>
      <w:tr w:rsidR="00F73301" w:rsidRPr="00F73301" w14:paraId="43E6A2E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FF689D"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3. Decreased amount for the current period</w:t>
            </w:r>
          </w:p>
        </w:tc>
        <w:tc>
          <w:tcPr>
            <w:tcW w:w="1377" w:type="dxa"/>
            <w:tcBorders>
              <w:top w:val="single" w:sz="2" w:space="0" w:color="auto"/>
              <w:left w:val="single" w:sz="2" w:space="0" w:color="auto"/>
              <w:bottom w:val="single" w:sz="2" w:space="0" w:color="auto"/>
              <w:right w:val="single" w:sz="2" w:space="0" w:color="auto"/>
            </w:tcBorders>
            <w:vAlign w:val="center"/>
          </w:tcPr>
          <w:p w14:paraId="3E5D054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1A0887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A0A1B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67AFF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D62DB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A5562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0F8DDDF"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04737B"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Disposal</w:t>
            </w:r>
          </w:p>
        </w:tc>
        <w:tc>
          <w:tcPr>
            <w:tcW w:w="1377" w:type="dxa"/>
            <w:tcBorders>
              <w:top w:val="single" w:sz="2" w:space="0" w:color="auto"/>
              <w:left w:val="single" w:sz="2" w:space="0" w:color="auto"/>
              <w:bottom w:val="single" w:sz="2" w:space="0" w:color="auto"/>
              <w:right w:val="single" w:sz="2" w:space="0" w:color="auto"/>
            </w:tcBorders>
            <w:vAlign w:val="center"/>
          </w:tcPr>
          <w:p w14:paraId="7FCED6F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191AF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2D76A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2D286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74B5F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74980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093508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664769F" w14:textId="77777777" w:rsidR="00F73301" w:rsidRPr="00F73301" w:rsidRDefault="00F73301" w:rsidP="008C49B7">
            <w:pPr>
              <w:snapToGrid w:val="0"/>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279DF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E3A4E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3B320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FA077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FC1A9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94267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1C6E5CE"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8553EF"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4. Closing balance</w:t>
            </w:r>
          </w:p>
        </w:tc>
        <w:tc>
          <w:tcPr>
            <w:tcW w:w="1377" w:type="dxa"/>
            <w:tcBorders>
              <w:top w:val="single" w:sz="2" w:space="0" w:color="auto"/>
              <w:left w:val="single" w:sz="2" w:space="0" w:color="auto"/>
              <w:bottom w:val="single" w:sz="2" w:space="0" w:color="auto"/>
              <w:right w:val="single" w:sz="2" w:space="0" w:color="auto"/>
            </w:tcBorders>
            <w:vAlign w:val="center"/>
          </w:tcPr>
          <w:p w14:paraId="3BF1F2A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17,535,131.86</w:t>
            </w:r>
          </w:p>
        </w:tc>
        <w:tc>
          <w:tcPr>
            <w:tcW w:w="1377" w:type="dxa"/>
            <w:tcBorders>
              <w:top w:val="single" w:sz="2" w:space="0" w:color="auto"/>
              <w:left w:val="single" w:sz="2" w:space="0" w:color="auto"/>
              <w:bottom w:val="single" w:sz="2" w:space="0" w:color="auto"/>
              <w:right w:val="single" w:sz="2" w:space="0" w:color="auto"/>
            </w:tcBorders>
            <w:vAlign w:val="center"/>
          </w:tcPr>
          <w:p w14:paraId="4BF5FF8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58AD3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FAFD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22,376,946.24</w:t>
            </w:r>
          </w:p>
        </w:tc>
        <w:tc>
          <w:tcPr>
            <w:tcW w:w="1377" w:type="dxa"/>
            <w:tcBorders>
              <w:top w:val="single" w:sz="2" w:space="0" w:color="auto"/>
              <w:left w:val="single" w:sz="2" w:space="0" w:color="auto"/>
              <w:bottom w:val="single" w:sz="2" w:space="0" w:color="auto"/>
              <w:right w:val="single" w:sz="2" w:space="0" w:color="auto"/>
            </w:tcBorders>
            <w:vAlign w:val="center"/>
          </w:tcPr>
          <w:p w14:paraId="3ACE0AD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5,228,537.00</w:t>
            </w:r>
          </w:p>
        </w:tc>
        <w:tc>
          <w:tcPr>
            <w:tcW w:w="1377" w:type="dxa"/>
            <w:tcBorders>
              <w:top w:val="single" w:sz="2" w:space="0" w:color="auto"/>
              <w:left w:val="single" w:sz="2" w:space="0" w:color="auto"/>
              <w:bottom w:val="single" w:sz="2" w:space="0" w:color="auto"/>
              <w:right w:val="single" w:sz="2" w:space="0" w:color="auto"/>
            </w:tcBorders>
            <w:vAlign w:val="center"/>
          </w:tcPr>
          <w:p w14:paraId="0D82E6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45,140,615.10</w:t>
            </w:r>
          </w:p>
        </w:tc>
      </w:tr>
      <w:tr w:rsidR="00F73301" w:rsidRPr="00F73301" w14:paraId="3A3117BF"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66B0C8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III. Allowance for Impairment</w:t>
            </w:r>
          </w:p>
        </w:tc>
        <w:tc>
          <w:tcPr>
            <w:tcW w:w="1377" w:type="dxa"/>
            <w:tcBorders>
              <w:top w:val="single" w:sz="2" w:space="0" w:color="auto"/>
              <w:left w:val="single" w:sz="2" w:space="0" w:color="auto"/>
              <w:bottom w:val="single" w:sz="2" w:space="0" w:color="auto"/>
              <w:right w:val="single" w:sz="2" w:space="0" w:color="auto"/>
            </w:tcBorders>
            <w:vAlign w:val="center"/>
          </w:tcPr>
          <w:p w14:paraId="03CC076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4415F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0A822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2F4C6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932DD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53495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C31F971"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68DA86"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Opening balance</w:t>
            </w:r>
          </w:p>
        </w:tc>
        <w:tc>
          <w:tcPr>
            <w:tcW w:w="1377" w:type="dxa"/>
            <w:tcBorders>
              <w:top w:val="single" w:sz="2" w:space="0" w:color="auto"/>
              <w:left w:val="single" w:sz="2" w:space="0" w:color="auto"/>
              <w:bottom w:val="single" w:sz="2" w:space="0" w:color="auto"/>
              <w:right w:val="single" w:sz="2" w:space="0" w:color="auto"/>
            </w:tcBorders>
            <w:vAlign w:val="center"/>
          </w:tcPr>
          <w:p w14:paraId="3993FBE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32BF3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DF01C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53930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D3CFAD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6FEF0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825485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43B67B3"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Increased amount for the current period</w:t>
            </w:r>
          </w:p>
        </w:tc>
        <w:tc>
          <w:tcPr>
            <w:tcW w:w="1377" w:type="dxa"/>
            <w:tcBorders>
              <w:top w:val="single" w:sz="2" w:space="0" w:color="auto"/>
              <w:left w:val="single" w:sz="2" w:space="0" w:color="auto"/>
              <w:bottom w:val="single" w:sz="2" w:space="0" w:color="auto"/>
              <w:right w:val="single" w:sz="2" w:space="0" w:color="auto"/>
            </w:tcBorders>
            <w:vAlign w:val="center"/>
          </w:tcPr>
          <w:p w14:paraId="06061D6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A327C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38CC1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FA51F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265E3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FA6C9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5AA8E45"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55A100"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t>(1) Accrual</w:t>
            </w:r>
          </w:p>
        </w:tc>
        <w:tc>
          <w:tcPr>
            <w:tcW w:w="1377" w:type="dxa"/>
            <w:tcBorders>
              <w:top w:val="single" w:sz="2" w:space="0" w:color="auto"/>
              <w:left w:val="single" w:sz="2" w:space="0" w:color="auto"/>
              <w:bottom w:val="single" w:sz="2" w:space="0" w:color="auto"/>
              <w:right w:val="single" w:sz="2" w:space="0" w:color="auto"/>
            </w:tcBorders>
            <w:vAlign w:val="center"/>
          </w:tcPr>
          <w:p w14:paraId="150E63F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1D512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BED98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ACB94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4CEEC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71FAA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4FD455F"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2B20DB96" w14:textId="77777777" w:rsidR="00F73301" w:rsidRPr="00F73301" w:rsidRDefault="00F73301" w:rsidP="008C49B7">
            <w:pPr>
              <w:snapToGrid w:val="0"/>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94E05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6F0AB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FB3FF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D28C2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57735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4F0627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991A5E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35B0975"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3. Decreased amount for the current period</w:t>
            </w:r>
          </w:p>
        </w:tc>
        <w:tc>
          <w:tcPr>
            <w:tcW w:w="1377" w:type="dxa"/>
            <w:tcBorders>
              <w:top w:val="single" w:sz="2" w:space="0" w:color="auto"/>
              <w:left w:val="single" w:sz="2" w:space="0" w:color="auto"/>
              <w:bottom w:val="single" w:sz="2" w:space="0" w:color="auto"/>
              <w:right w:val="single" w:sz="2" w:space="0" w:color="auto"/>
            </w:tcBorders>
            <w:vAlign w:val="center"/>
          </w:tcPr>
          <w:p w14:paraId="56868CF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DADA2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F04F7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24F8F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6F4AA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8FFAB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7D48AB6"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39678F2" w14:textId="77777777" w:rsidR="00F73301" w:rsidRPr="00F73301" w:rsidRDefault="00F73301" w:rsidP="008C49B7">
            <w:pPr>
              <w:snapToGrid w:val="0"/>
              <w:ind w:firstLineChars="400" w:firstLine="72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(1) Disposal</w:t>
            </w:r>
          </w:p>
        </w:tc>
        <w:tc>
          <w:tcPr>
            <w:tcW w:w="1377" w:type="dxa"/>
            <w:tcBorders>
              <w:top w:val="single" w:sz="2" w:space="0" w:color="auto"/>
              <w:left w:val="single" w:sz="2" w:space="0" w:color="auto"/>
              <w:bottom w:val="single" w:sz="2" w:space="0" w:color="auto"/>
              <w:right w:val="single" w:sz="2" w:space="0" w:color="auto"/>
            </w:tcBorders>
            <w:vAlign w:val="center"/>
          </w:tcPr>
          <w:p w14:paraId="3EAA903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6B5F9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3E833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3B9AC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ADDC6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ED048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2D158E3"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0FDA3AC4" w14:textId="77777777" w:rsidR="00F73301" w:rsidRPr="00F73301" w:rsidRDefault="00F73301" w:rsidP="008C49B7">
            <w:pPr>
              <w:snapToGrid w:val="0"/>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0D321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4781B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48D9E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DCF74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07D9C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3B7A5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10D0FB3"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44BCAEB"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4. Closing balance</w:t>
            </w:r>
          </w:p>
        </w:tc>
        <w:tc>
          <w:tcPr>
            <w:tcW w:w="1377" w:type="dxa"/>
            <w:tcBorders>
              <w:top w:val="single" w:sz="2" w:space="0" w:color="auto"/>
              <w:left w:val="single" w:sz="2" w:space="0" w:color="auto"/>
              <w:bottom w:val="single" w:sz="2" w:space="0" w:color="auto"/>
              <w:right w:val="single" w:sz="2" w:space="0" w:color="auto"/>
            </w:tcBorders>
            <w:vAlign w:val="center"/>
          </w:tcPr>
          <w:p w14:paraId="6AB453A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FA86B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00FBC4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B7C64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3EE97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F8E4C2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7B1223E"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201D1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IV. Carrying Amount</w:t>
            </w:r>
          </w:p>
        </w:tc>
        <w:tc>
          <w:tcPr>
            <w:tcW w:w="1377" w:type="dxa"/>
            <w:tcBorders>
              <w:top w:val="single" w:sz="2" w:space="0" w:color="auto"/>
              <w:left w:val="single" w:sz="2" w:space="0" w:color="auto"/>
              <w:bottom w:val="single" w:sz="2" w:space="0" w:color="auto"/>
              <w:right w:val="single" w:sz="2" w:space="0" w:color="auto"/>
            </w:tcBorders>
            <w:vAlign w:val="center"/>
          </w:tcPr>
          <w:p w14:paraId="3408FE1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092A3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A5B36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9E1844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9CD22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367EF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0355C1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17B88EE"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1. Closing carrying amount</w:t>
            </w:r>
          </w:p>
        </w:tc>
        <w:tc>
          <w:tcPr>
            <w:tcW w:w="1377" w:type="dxa"/>
            <w:tcBorders>
              <w:top w:val="single" w:sz="2" w:space="0" w:color="auto"/>
              <w:left w:val="single" w:sz="2" w:space="0" w:color="auto"/>
              <w:bottom w:val="single" w:sz="2" w:space="0" w:color="auto"/>
              <w:right w:val="single" w:sz="2" w:space="0" w:color="auto"/>
            </w:tcBorders>
            <w:vAlign w:val="center"/>
          </w:tcPr>
          <w:p w14:paraId="4B40D5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93,733,344.24</w:t>
            </w:r>
          </w:p>
        </w:tc>
        <w:tc>
          <w:tcPr>
            <w:tcW w:w="1377" w:type="dxa"/>
            <w:tcBorders>
              <w:top w:val="single" w:sz="2" w:space="0" w:color="auto"/>
              <w:left w:val="single" w:sz="2" w:space="0" w:color="auto"/>
              <w:bottom w:val="single" w:sz="2" w:space="0" w:color="auto"/>
              <w:right w:val="single" w:sz="2" w:space="0" w:color="auto"/>
            </w:tcBorders>
            <w:vAlign w:val="center"/>
          </w:tcPr>
          <w:p w14:paraId="1140BF7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FE880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B482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32,039,585.12</w:t>
            </w:r>
          </w:p>
        </w:tc>
        <w:tc>
          <w:tcPr>
            <w:tcW w:w="1377" w:type="dxa"/>
            <w:tcBorders>
              <w:top w:val="single" w:sz="2" w:space="0" w:color="auto"/>
              <w:left w:val="single" w:sz="2" w:space="0" w:color="auto"/>
              <w:bottom w:val="single" w:sz="2" w:space="0" w:color="auto"/>
              <w:right w:val="single" w:sz="2" w:space="0" w:color="auto"/>
            </w:tcBorders>
            <w:vAlign w:val="center"/>
          </w:tcPr>
          <w:p w14:paraId="1E0516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10,671,463.00</w:t>
            </w:r>
          </w:p>
        </w:tc>
        <w:tc>
          <w:tcPr>
            <w:tcW w:w="1377" w:type="dxa"/>
            <w:tcBorders>
              <w:top w:val="single" w:sz="2" w:space="0" w:color="auto"/>
              <w:left w:val="single" w:sz="2" w:space="0" w:color="auto"/>
              <w:bottom w:val="single" w:sz="2" w:space="0" w:color="auto"/>
              <w:right w:val="single" w:sz="2" w:space="0" w:color="auto"/>
            </w:tcBorders>
            <w:vAlign w:val="center"/>
          </w:tcPr>
          <w:p w14:paraId="444CC52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136,444,392.36</w:t>
            </w:r>
          </w:p>
        </w:tc>
      </w:tr>
      <w:tr w:rsidR="00F73301" w:rsidRPr="00F73301" w14:paraId="7A4FAC56"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A19B04C"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2. Opening carrying amount</w:t>
            </w:r>
          </w:p>
        </w:tc>
        <w:tc>
          <w:tcPr>
            <w:tcW w:w="1377" w:type="dxa"/>
            <w:tcBorders>
              <w:top w:val="single" w:sz="2" w:space="0" w:color="auto"/>
              <w:left w:val="single" w:sz="2" w:space="0" w:color="auto"/>
              <w:bottom w:val="single" w:sz="2" w:space="0" w:color="auto"/>
              <w:right w:val="single" w:sz="2" w:space="0" w:color="auto"/>
            </w:tcBorders>
            <w:vAlign w:val="center"/>
          </w:tcPr>
          <w:p w14:paraId="368D2F5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94,550,725.32</w:t>
            </w:r>
          </w:p>
        </w:tc>
        <w:tc>
          <w:tcPr>
            <w:tcW w:w="1377" w:type="dxa"/>
            <w:tcBorders>
              <w:top w:val="single" w:sz="2" w:space="0" w:color="auto"/>
              <w:left w:val="single" w:sz="2" w:space="0" w:color="auto"/>
              <w:bottom w:val="single" w:sz="2" w:space="0" w:color="auto"/>
              <w:right w:val="single" w:sz="2" w:space="0" w:color="auto"/>
            </w:tcBorders>
            <w:vAlign w:val="center"/>
          </w:tcPr>
          <w:p w14:paraId="615D433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E87A6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ADCB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23,984,719.81</w:t>
            </w:r>
          </w:p>
        </w:tc>
        <w:tc>
          <w:tcPr>
            <w:tcW w:w="1377" w:type="dxa"/>
            <w:tcBorders>
              <w:top w:val="single" w:sz="2" w:space="0" w:color="auto"/>
              <w:left w:val="single" w:sz="2" w:space="0" w:color="auto"/>
              <w:bottom w:val="single" w:sz="2" w:space="0" w:color="auto"/>
              <w:right w:val="single" w:sz="2" w:space="0" w:color="auto"/>
            </w:tcBorders>
            <w:vAlign w:val="center"/>
          </w:tcPr>
          <w:p w14:paraId="4C74B6C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11,220,000.00</w:t>
            </w:r>
          </w:p>
        </w:tc>
        <w:tc>
          <w:tcPr>
            <w:tcW w:w="1377" w:type="dxa"/>
            <w:tcBorders>
              <w:top w:val="single" w:sz="2" w:space="0" w:color="auto"/>
              <w:left w:val="single" w:sz="2" w:space="0" w:color="auto"/>
              <w:bottom w:val="single" w:sz="2" w:space="0" w:color="auto"/>
              <w:right w:val="single" w:sz="2" w:space="0" w:color="auto"/>
            </w:tcBorders>
            <w:vAlign w:val="center"/>
          </w:tcPr>
          <w:p w14:paraId="349605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129,755,445.13</w:t>
            </w:r>
          </w:p>
        </w:tc>
      </w:tr>
    </w:tbl>
    <w:p w14:paraId="5D9347EA"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proportion of intangible assets formed from the internal R&amp;D of the Company at the end of the period to the closing balance of intangible assets</w:t>
      </w:r>
    </w:p>
    <w:p w14:paraId="763AD2C4"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12" w:name="_Toc989100"/>
      <w:r w:rsidRPr="00F73301">
        <w:rPr>
          <w:rFonts w:ascii="Times New Roman" w:eastAsia="宋体" w:hAnsi="Times New Roman" w:cs="Times New Roman"/>
          <w:b/>
          <w:bCs/>
          <w:sz w:val="24"/>
          <w:szCs w:val="24"/>
        </w:rPr>
        <w:t>(2) Land use right failed to accomplish certification of property</w:t>
      </w:r>
      <w:bookmarkEnd w:id="212"/>
    </w:p>
    <w:p w14:paraId="49B4A59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4BF08CC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41330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503F1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91D04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w:t>
            </w:r>
          </w:p>
        </w:tc>
      </w:tr>
    </w:tbl>
    <w:p w14:paraId="6655D60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0601CB87"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DE9B7DD"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13" w:name="_Toc989101"/>
      <w:r w:rsidRPr="00F73301">
        <w:rPr>
          <w:rFonts w:ascii="Times New Roman" w:eastAsia="宋体" w:hAnsi="Times New Roman" w:cs="Times New Roman"/>
          <w:b/>
          <w:bCs/>
          <w:sz w:val="24"/>
          <w:szCs w:val="24"/>
        </w:rPr>
        <w:t>16. Goodwill</w:t>
      </w:r>
      <w:bookmarkEnd w:id="213"/>
    </w:p>
    <w:p w14:paraId="5A3F4724"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14" w:name="_Toc989102"/>
      <w:r w:rsidRPr="00F73301">
        <w:rPr>
          <w:rFonts w:ascii="Times New Roman" w:eastAsia="宋体" w:hAnsi="Times New Roman" w:cs="Times New Roman"/>
          <w:b/>
          <w:bCs/>
          <w:sz w:val="24"/>
          <w:szCs w:val="24"/>
        </w:rPr>
        <w:t>(1) Original carrying value of goodwill</w:t>
      </w:r>
      <w:bookmarkEnd w:id="214"/>
    </w:p>
    <w:p w14:paraId="4899103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68B9FD2B"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0FC32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Investees or events resulting in goodwill</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EBF943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6A5563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 for the current period</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FE99F8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Decrease for the current period</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9AABB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73284236"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vAlign w:val="center"/>
          </w:tcPr>
          <w:p w14:paraId="42324039"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CD6B03D"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333CC5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Formed by business combination</w:t>
            </w:r>
          </w:p>
        </w:tc>
        <w:tc>
          <w:tcPr>
            <w:tcW w:w="1377" w:type="dxa"/>
            <w:tcBorders>
              <w:top w:val="single" w:sz="2" w:space="0" w:color="auto"/>
              <w:left w:val="single" w:sz="2" w:space="0" w:color="auto"/>
              <w:bottom w:val="single" w:sz="2" w:space="0" w:color="auto"/>
              <w:right w:val="single" w:sz="2" w:space="0" w:color="auto"/>
            </w:tcBorders>
            <w:vAlign w:val="center"/>
          </w:tcPr>
          <w:p w14:paraId="2533A1BE" w14:textId="77777777" w:rsidR="00F73301" w:rsidRPr="00F73301" w:rsidRDefault="00F73301" w:rsidP="008C49B7">
            <w:pPr>
              <w:snapToGrid w:val="0"/>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D0B20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Disposal</w:t>
            </w:r>
          </w:p>
        </w:tc>
        <w:tc>
          <w:tcPr>
            <w:tcW w:w="1377" w:type="dxa"/>
            <w:tcBorders>
              <w:top w:val="single" w:sz="2" w:space="0" w:color="auto"/>
              <w:left w:val="single" w:sz="2" w:space="0" w:color="auto"/>
              <w:bottom w:val="single" w:sz="2" w:space="0" w:color="auto"/>
              <w:right w:val="single" w:sz="2" w:space="0" w:color="auto"/>
            </w:tcBorders>
            <w:vAlign w:val="center"/>
          </w:tcPr>
          <w:p w14:paraId="094B166F" w14:textId="77777777" w:rsidR="00F73301" w:rsidRPr="00F73301" w:rsidRDefault="00F73301" w:rsidP="008C49B7">
            <w:pPr>
              <w:snapToGrid w:val="0"/>
              <w:jc w:val="center"/>
              <w:rPr>
                <w:rFonts w:ascii="Times New Roman" w:eastAsia="宋体"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A849E9"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85F492D"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A811843" w14:textId="52167A08" w:rsidR="00F73301" w:rsidRPr="00F73301" w:rsidRDefault="00F87479" w:rsidP="00F87479">
            <w:pPr>
              <w:snapToGrid w:val="0"/>
              <w:rPr>
                <w:rFonts w:ascii="Times New Roman" w:eastAsia="宋体" w:hAnsi="Times New Roman" w:cs="Times New Roman"/>
                <w:sz w:val="18"/>
                <w:szCs w:val="18"/>
              </w:rPr>
            </w:pPr>
            <w:r>
              <w:rPr>
                <w:rFonts w:ascii="Times New Roman" w:eastAsia="宋体" w:hAnsi="Times New Roman" w:cs="Times New Roman"/>
                <w:sz w:val="18"/>
                <w:szCs w:val="18"/>
              </w:rPr>
              <w:t>Caswell</w:t>
            </w:r>
          </w:p>
        </w:tc>
        <w:tc>
          <w:tcPr>
            <w:tcW w:w="1377" w:type="dxa"/>
            <w:tcBorders>
              <w:top w:val="single" w:sz="2" w:space="0" w:color="auto"/>
              <w:left w:val="single" w:sz="2" w:space="0" w:color="auto"/>
              <w:bottom w:val="single" w:sz="2" w:space="0" w:color="auto"/>
              <w:right w:val="single" w:sz="2" w:space="0" w:color="auto"/>
            </w:tcBorders>
            <w:vAlign w:val="center"/>
          </w:tcPr>
          <w:p w14:paraId="758CAB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102,553,622.99</w:t>
            </w:r>
          </w:p>
        </w:tc>
        <w:tc>
          <w:tcPr>
            <w:tcW w:w="1377" w:type="dxa"/>
            <w:tcBorders>
              <w:top w:val="single" w:sz="2" w:space="0" w:color="auto"/>
              <w:left w:val="single" w:sz="2" w:space="0" w:color="auto"/>
              <w:bottom w:val="single" w:sz="2" w:space="0" w:color="auto"/>
              <w:right w:val="single" w:sz="2" w:space="0" w:color="auto"/>
            </w:tcBorders>
            <w:vAlign w:val="center"/>
          </w:tcPr>
          <w:p w14:paraId="30AC073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9E000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74031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A6FDB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6135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102,553,622.99</w:t>
            </w:r>
          </w:p>
        </w:tc>
      </w:tr>
      <w:tr w:rsidR="00F73301" w:rsidRPr="00F73301" w14:paraId="318EAE0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A87090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MCC Shenzhen</w:t>
            </w:r>
          </w:p>
        </w:tc>
        <w:tc>
          <w:tcPr>
            <w:tcW w:w="1377" w:type="dxa"/>
            <w:tcBorders>
              <w:top w:val="single" w:sz="2" w:space="0" w:color="auto"/>
              <w:left w:val="single" w:sz="2" w:space="0" w:color="auto"/>
              <w:bottom w:val="single" w:sz="2" w:space="0" w:color="auto"/>
              <w:right w:val="single" w:sz="2" w:space="0" w:color="auto"/>
            </w:tcBorders>
            <w:vAlign w:val="center"/>
          </w:tcPr>
          <w:p w14:paraId="59724EE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343,177.48</w:t>
            </w:r>
          </w:p>
        </w:tc>
        <w:tc>
          <w:tcPr>
            <w:tcW w:w="1377" w:type="dxa"/>
            <w:tcBorders>
              <w:top w:val="single" w:sz="2" w:space="0" w:color="auto"/>
              <w:left w:val="single" w:sz="2" w:space="0" w:color="auto"/>
              <w:bottom w:val="single" w:sz="2" w:space="0" w:color="auto"/>
              <w:right w:val="single" w:sz="2" w:space="0" w:color="auto"/>
            </w:tcBorders>
            <w:vAlign w:val="center"/>
          </w:tcPr>
          <w:p w14:paraId="1149A2F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0FE06F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5F24A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90CEC9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FDDF86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343,177.48</w:t>
            </w:r>
          </w:p>
        </w:tc>
      </w:tr>
      <w:tr w:rsidR="00F73301" w:rsidRPr="00F73301" w14:paraId="084ADF3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49B72812" w14:textId="14B289B0" w:rsidR="00F73301" w:rsidRPr="00F73301" w:rsidRDefault="00F87479" w:rsidP="00F87479">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Shanghai </w:t>
            </w:r>
            <w:proofErr w:type="spellStart"/>
            <w:r>
              <w:rPr>
                <w:rFonts w:ascii="Times New Roman" w:eastAsia="宋体" w:hAnsi="Times New Roman" w:cs="Times New Roman"/>
                <w:sz w:val="18"/>
                <w:szCs w:val="18"/>
              </w:rPr>
              <w:t>Paiqi</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1289191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1,944,739.19</w:t>
            </w:r>
          </w:p>
        </w:tc>
        <w:tc>
          <w:tcPr>
            <w:tcW w:w="1377" w:type="dxa"/>
            <w:tcBorders>
              <w:top w:val="single" w:sz="2" w:space="0" w:color="auto"/>
              <w:left w:val="single" w:sz="2" w:space="0" w:color="auto"/>
              <w:bottom w:val="single" w:sz="2" w:space="0" w:color="auto"/>
              <w:right w:val="single" w:sz="2" w:space="0" w:color="auto"/>
            </w:tcBorders>
            <w:vAlign w:val="center"/>
          </w:tcPr>
          <w:p w14:paraId="3094B6C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34392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812644"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A5F92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5386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1,944,739.19</w:t>
            </w:r>
          </w:p>
        </w:tc>
      </w:tr>
      <w:tr w:rsidR="00F73301" w:rsidRPr="00F73301" w14:paraId="6DD9FD0E"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3B612A73" w14:textId="277DC706" w:rsidR="00F73301" w:rsidRPr="00F73301" w:rsidRDefault="0066314B" w:rsidP="0066314B">
            <w:pPr>
              <w:snapToGrid w:val="0"/>
              <w:rPr>
                <w:rFonts w:ascii="Times New Roman" w:eastAsia="宋体" w:hAnsi="Times New Roman" w:cs="Times New Roman"/>
                <w:sz w:val="18"/>
                <w:szCs w:val="18"/>
              </w:rPr>
            </w:pPr>
            <w:r>
              <w:rPr>
                <w:rFonts w:ascii="Times New Roman" w:eastAsia="宋体" w:hAnsi="Times New Roman" w:cs="Times New Roman"/>
                <w:sz w:val="18"/>
                <w:szCs w:val="18"/>
              </w:rPr>
              <w:t>Chengdu Qingyang</w:t>
            </w:r>
          </w:p>
        </w:tc>
        <w:tc>
          <w:tcPr>
            <w:tcW w:w="1377" w:type="dxa"/>
            <w:tcBorders>
              <w:top w:val="single" w:sz="2" w:space="0" w:color="auto"/>
              <w:left w:val="single" w:sz="2" w:space="0" w:color="auto"/>
              <w:bottom w:val="single" w:sz="2" w:space="0" w:color="auto"/>
              <w:right w:val="single" w:sz="2" w:space="0" w:color="auto"/>
            </w:tcBorders>
            <w:vAlign w:val="center"/>
          </w:tcPr>
          <w:p w14:paraId="19A65A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37,844,782.13</w:t>
            </w:r>
          </w:p>
        </w:tc>
        <w:tc>
          <w:tcPr>
            <w:tcW w:w="1377" w:type="dxa"/>
            <w:tcBorders>
              <w:top w:val="single" w:sz="2" w:space="0" w:color="auto"/>
              <w:left w:val="single" w:sz="2" w:space="0" w:color="auto"/>
              <w:bottom w:val="single" w:sz="2" w:space="0" w:color="auto"/>
              <w:right w:val="single" w:sz="2" w:space="0" w:color="auto"/>
            </w:tcBorders>
            <w:vAlign w:val="center"/>
          </w:tcPr>
          <w:p w14:paraId="1DF7B48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D4C73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EBDA6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26958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44576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37,844,782.13</w:t>
            </w:r>
          </w:p>
        </w:tc>
      </w:tr>
      <w:tr w:rsidR="00F73301" w:rsidRPr="00F73301" w14:paraId="30CEE12B"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ECDFED7" w14:textId="02276F7F" w:rsidR="00F73301" w:rsidRPr="00F73301" w:rsidRDefault="00F73301" w:rsidP="00F87479">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Shanghai </w:t>
            </w:r>
            <w:proofErr w:type="spellStart"/>
            <w:r w:rsidRPr="00F73301">
              <w:rPr>
                <w:rFonts w:ascii="Times New Roman" w:eastAsia="宋体" w:hAnsi="Times New Roman" w:cs="Times New Roman"/>
                <w:sz w:val="18"/>
                <w:szCs w:val="18"/>
              </w:rPr>
              <w:t>Lingxin</w:t>
            </w:r>
            <w:proofErr w:type="spellEnd"/>
            <w:r w:rsidRPr="00F73301">
              <w:rPr>
                <w:rFonts w:ascii="Times New Roman" w:eastAsia="宋体" w:hAnsi="Times New Roman" w:cs="Times New Roman"/>
                <w:sz w:val="18"/>
                <w:szCs w:val="18"/>
              </w:rPr>
              <w:t xml:space="preserve"> </w:t>
            </w:r>
          </w:p>
        </w:tc>
        <w:tc>
          <w:tcPr>
            <w:tcW w:w="1377" w:type="dxa"/>
            <w:tcBorders>
              <w:top w:val="single" w:sz="2" w:space="0" w:color="auto"/>
              <w:left w:val="single" w:sz="2" w:space="0" w:color="auto"/>
              <w:bottom w:val="single" w:sz="2" w:space="0" w:color="auto"/>
              <w:right w:val="single" w:sz="2" w:space="0" w:color="auto"/>
            </w:tcBorders>
            <w:vAlign w:val="center"/>
          </w:tcPr>
          <w:p w14:paraId="1FB668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1,292,281.31</w:t>
            </w:r>
          </w:p>
        </w:tc>
        <w:tc>
          <w:tcPr>
            <w:tcW w:w="1377" w:type="dxa"/>
            <w:tcBorders>
              <w:top w:val="single" w:sz="2" w:space="0" w:color="auto"/>
              <w:left w:val="single" w:sz="2" w:space="0" w:color="auto"/>
              <w:bottom w:val="single" w:sz="2" w:space="0" w:color="auto"/>
              <w:right w:val="single" w:sz="2" w:space="0" w:color="auto"/>
            </w:tcBorders>
            <w:vAlign w:val="center"/>
          </w:tcPr>
          <w:p w14:paraId="33D6D3E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8B179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159058"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4F3D2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EB1D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1,292,281.31</w:t>
            </w:r>
          </w:p>
        </w:tc>
      </w:tr>
      <w:tr w:rsidR="00F73301" w:rsidRPr="00F73301" w14:paraId="24B7CD65"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0BA10731" w14:textId="58EFF68C" w:rsidR="00F73301" w:rsidRPr="00F73301" w:rsidRDefault="00F73301" w:rsidP="00F87479">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Jiangsu </w:t>
            </w:r>
            <w:proofErr w:type="spellStart"/>
            <w:r w:rsidRPr="00F73301">
              <w:rPr>
                <w:rFonts w:ascii="Times New Roman" w:eastAsia="宋体" w:hAnsi="Times New Roman" w:cs="Times New Roman"/>
                <w:sz w:val="18"/>
                <w:szCs w:val="18"/>
              </w:rPr>
              <w:t>Runau</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3B9D8AB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4,462,624.51</w:t>
            </w:r>
          </w:p>
        </w:tc>
        <w:tc>
          <w:tcPr>
            <w:tcW w:w="1377" w:type="dxa"/>
            <w:tcBorders>
              <w:top w:val="single" w:sz="2" w:space="0" w:color="auto"/>
              <w:left w:val="single" w:sz="2" w:space="0" w:color="auto"/>
              <w:bottom w:val="single" w:sz="2" w:space="0" w:color="auto"/>
              <w:right w:val="single" w:sz="2" w:space="0" w:color="auto"/>
            </w:tcBorders>
            <w:vAlign w:val="center"/>
          </w:tcPr>
          <w:p w14:paraId="25E0476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1F427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4563C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1100D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59F9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4,462,624.51</w:t>
            </w:r>
          </w:p>
        </w:tc>
      </w:tr>
      <w:tr w:rsidR="00F73301" w:rsidRPr="00F73301" w14:paraId="6275667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3A4F6413" w14:textId="35FE91AD" w:rsidR="00F73301" w:rsidRPr="00F73301" w:rsidRDefault="00F87479" w:rsidP="00F87479">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Sichuan </w:t>
            </w:r>
            <w:proofErr w:type="spellStart"/>
            <w:r>
              <w:rPr>
                <w:rFonts w:ascii="Times New Roman" w:eastAsia="宋体" w:hAnsi="Times New Roman" w:cs="Times New Roman"/>
                <w:sz w:val="18"/>
                <w:szCs w:val="18"/>
              </w:rPr>
              <w:t>Yajixin</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12BEF23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20,352,886.90</w:t>
            </w:r>
          </w:p>
        </w:tc>
        <w:tc>
          <w:tcPr>
            <w:tcW w:w="1377" w:type="dxa"/>
            <w:tcBorders>
              <w:top w:val="single" w:sz="2" w:space="0" w:color="auto"/>
              <w:left w:val="single" w:sz="2" w:space="0" w:color="auto"/>
              <w:bottom w:val="single" w:sz="2" w:space="0" w:color="auto"/>
              <w:right w:val="single" w:sz="2" w:space="0" w:color="auto"/>
            </w:tcBorders>
            <w:vAlign w:val="center"/>
          </w:tcPr>
          <w:p w14:paraId="425EDC2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2FC80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18F5C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98BEB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D91E8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20,352,886.90</w:t>
            </w:r>
          </w:p>
        </w:tc>
      </w:tr>
      <w:tr w:rsidR="00F73301" w:rsidRPr="00F73301" w14:paraId="4CF9221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4CE9481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2C7E5D5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CE953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140,996,997.87</w:t>
            </w:r>
          </w:p>
        </w:tc>
        <w:tc>
          <w:tcPr>
            <w:tcW w:w="1377" w:type="dxa"/>
            <w:tcBorders>
              <w:top w:val="single" w:sz="2" w:space="0" w:color="auto"/>
              <w:left w:val="single" w:sz="2" w:space="0" w:color="auto"/>
              <w:bottom w:val="single" w:sz="2" w:space="0" w:color="auto"/>
              <w:right w:val="single" w:sz="2" w:space="0" w:color="auto"/>
            </w:tcBorders>
            <w:vAlign w:val="center"/>
          </w:tcPr>
          <w:p w14:paraId="3E3E251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217DE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E7061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E27D9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140,996,997.87</w:t>
            </w:r>
          </w:p>
        </w:tc>
      </w:tr>
      <w:tr w:rsidR="00F73301" w:rsidRPr="00F73301" w14:paraId="53DFA4B4"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C9E699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34464C8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168,794,114.51</w:t>
            </w:r>
          </w:p>
        </w:tc>
        <w:tc>
          <w:tcPr>
            <w:tcW w:w="1377" w:type="dxa"/>
            <w:tcBorders>
              <w:top w:val="single" w:sz="2" w:space="0" w:color="auto"/>
              <w:left w:val="single" w:sz="2" w:space="0" w:color="auto"/>
              <w:bottom w:val="single" w:sz="2" w:space="0" w:color="auto"/>
              <w:right w:val="single" w:sz="2" w:space="0" w:color="auto"/>
            </w:tcBorders>
            <w:vAlign w:val="center"/>
          </w:tcPr>
          <w:p w14:paraId="07F3B6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140,996,997.87</w:t>
            </w:r>
          </w:p>
        </w:tc>
        <w:tc>
          <w:tcPr>
            <w:tcW w:w="1377" w:type="dxa"/>
            <w:tcBorders>
              <w:top w:val="single" w:sz="2" w:space="0" w:color="auto"/>
              <w:left w:val="single" w:sz="2" w:space="0" w:color="auto"/>
              <w:bottom w:val="single" w:sz="2" w:space="0" w:color="auto"/>
              <w:right w:val="single" w:sz="2" w:space="0" w:color="auto"/>
            </w:tcBorders>
            <w:vAlign w:val="center"/>
          </w:tcPr>
          <w:p w14:paraId="2BBF9B6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B92DD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21254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1A076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309,791,112.38</w:t>
            </w:r>
          </w:p>
        </w:tc>
      </w:tr>
    </w:tbl>
    <w:p w14:paraId="45BE5E63" w14:textId="77777777" w:rsidR="00F73301" w:rsidRPr="00F73301" w:rsidRDefault="00F73301" w:rsidP="008A539F">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215" w:name="_Toc989103"/>
      <w:r w:rsidRPr="00F73301">
        <w:rPr>
          <w:rFonts w:ascii="Times New Roman" w:eastAsia="宋体" w:hAnsi="Times New Roman" w:cs="Times New Roman"/>
          <w:b/>
          <w:bCs/>
          <w:sz w:val="24"/>
          <w:szCs w:val="24"/>
        </w:rPr>
        <w:t>(2) Allowance for impairment of goodwill</w:t>
      </w:r>
      <w:bookmarkEnd w:id="215"/>
    </w:p>
    <w:p w14:paraId="3337E35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0A2121C2"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21A5A1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Investees or events resulting in goodwill</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FF5FD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B0C0D5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 for the current period</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8681AA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Decrease for the current period</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D3F31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49A1CD29"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vAlign w:val="center"/>
          </w:tcPr>
          <w:p w14:paraId="3418BAA3"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3BCCAAB"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B7D89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Withdrawal</w:t>
            </w:r>
          </w:p>
        </w:tc>
        <w:tc>
          <w:tcPr>
            <w:tcW w:w="1377" w:type="dxa"/>
            <w:tcBorders>
              <w:top w:val="single" w:sz="2" w:space="0" w:color="auto"/>
              <w:left w:val="single" w:sz="2" w:space="0" w:color="auto"/>
              <w:bottom w:val="single" w:sz="2" w:space="0" w:color="auto"/>
              <w:right w:val="single" w:sz="2" w:space="0" w:color="auto"/>
            </w:tcBorders>
            <w:vAlign w:val="center"/>
          </w:tcPr>
          <w:p w14:paraId="63FCE3DB" w14:textId="77777777" w:rsidR="00F73301" w:rsidRPr="00F73301" w:rsidRDefault="00F73301" w:rsidP="008C49B7">
            <w:pPr>
              <w:snapToGrid w:val="0"/>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7BE420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Disposal</w:t>
            </w:r>
          </w:p>
        </w:tc>
        <w:tc>
          <w:tcPr>
            <w:tcW w:w="1377" w:type="dxa"/>
            <w:tcBorders>
              <w:top w:val="single" w:sz="2" w:space="0" w:color="auto"/>
              <w:left w:val="single" w:sz="2" w:space="0" w:color="auto"/>
              <w:bottom w:val="single" w:sz="2" w:space="0" w:color="auto"/>
              <w:right w:val="single" w:sz="2" w:space="0" w:color="auto"/>
            </w:tcBorders>
            <w:vAlign w:val="center"/>
          </w:tcPr>
          <w:p w14:paraId="58F77E26" w14:textId="77777777" w:rsidR="00F73301" w:rsidRPr="00F73301" w:rsidRDefault="00F73301" w:rsidP="008C49B7">
            <w:pPr>
              <w:snapToGrid w:val="0"/>
              <w:jc w:val="center"/>
              <w:rPr>
                <w:rFonts w:ascii="Times New Roman" w:eastAsia="宋体"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AF6AD2"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3327615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F4873B0" w14:textId="5AB3ED58" w:rsidR="00F73301" w:rsidRPr="00F73301" w:rsidRDefault="00F87479" w:rsidP="00F87479">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Shanghai </w:t>
            </w:r>
            <w:proofErr w:type="spellStart"/>
            <w:r>
              <w:rPr>
                <w:rFonts w:ascii="Times New Roman" w:eastAsia="宋体" w:hAnsi="Times New Roman" w:cs="Times New Roman"/>
                <w:sz w:val="18"/>
                <w:szCs w:val="18"/>
              </w:rPr>
              <w:t>Paiqi</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798AFFF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1,944,739.19</w:t>
            </w:r>
          </w:p>
        </w:tc>
        <w:tc>
          <w:tcPr>
            <w:tcW w:w="1377" w:type="dxa"/>
            <w:tcBorders>
              <w:top w:val="single" w:sz="2" w:space="0" w:color="auto"/>
              <w:left w:val="single" w:sz="2" w:space="0" w:color="auto"/>
              <w:bottom w:val="single" w:sz="2" w:space="0" w:color="auto"/>
              <w:right w:val="single" w:sz="2" w:space="0" w:color="auto"/>
            </w:tcBorders>
            <w:vAlign w:val="center"/>
          </w:tcPr>
          <w:p w14:paraId="648A0563"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FD876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40252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1DD2AF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C7417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1,944,739.19</w:t>
            </w:r>
          </w:p>
        </w:tc>
      </w:tr>
      <w:tr w:rsidR="00F73301" w:rsidRPr="00F73301" w14:paraId="3AF23E9F"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08CE7B90" w14:textId="15F3E166" w:rsidR="00F73301" w:rsidRPr="00F73301" w:rsidRDefault="0066314B" w:rsidP="0066314B">
            <w:pPr>
              <w:snapToGrid w:val="0"/>
              <w:rPr>
                <w:rFonts w:ascii="Times New Roman" w:eastAsia="宋体" w:hAnsi="Times New Roman" w:cs="Times New Roman"/>
                <w:sz w:val="18"/>
                <w:szCs w:val="18"/>
              </w:rPr>
            </w:pPr>
            <w:r>
              <w:rPr>
                <w:rFonts w:ascii="Times New Roman" w:eastAsia="宋体" w:hAnsi="Times New Roman" w:cs="Times New Roman"/>
                <w:sz w:val="18"/>
                <w:szCs w:val="18"/>
              </w:rPr>
              <w:t>Chengdu Qingyang</w:t>
            </w:r>
          </w:p>
        </w:tc>
        <w:tc>
          <w:tcPr>
            <w:tcW w:w="1377" w:type="dxa"/>
            <w:tcBorders>
              <w:top w:val="single" w:sz="2" w:space="0" w:color="auto"/>
              <w:left w:val="single" w:sz="2" w:space="0" w:color="auto"/>
              <w:bottom w:val="single" w:sz="2" w:space="0" w:color="auto"/>
              <w:right w:val="single" w:sz="2" w:space="0" w:color="auto"/>
            </w:tcBorders>
            <w:vAlign w:val="center"/>
          </w:tcPr>
          <w:p w14:paraId="7466E9D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2,727,831.48</w:t>
            </w:r>
          </w:p>
        </w:tc>
        <w:tc>
          <w:tcPr>
            <w:tcW w:w="1377" w:type="dxa"/>
            <w:tcBorders>
              <w:top w:val="single" w:sz="2" w:space="0" w:color="auto"/>
              <w:left w:val="single" w:sz="2" w:space="0" w:color="auto"/>
              <w:bottom w:val="single" w:sz="2" w:space="0" w:color="auto"/>
              <w:right w:val="single" w:sz="2" w:space="0" w:color="auto"/>
            </w:tcBorders>
            <w:vAlign w:val="center"/>
          </w:tcPr>
          <w:p w14:paraId="2B252B6E"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FFE47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EC8A57"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83EEA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67DF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2,727,831.48</w:t>
            </w:r>
          </w:p>
        </w:tc>
      </w:tr>
      <w:tr w:rsidR="00F73301" w:rsidRPr="00F73301" w14:paraId="68114DA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7A59292F" w14:textId="4AEDA627" w:rsidR="00F73301" w:rsidRPr="00F73301" w:rsidRDefault="00F87479" w:rsidP="00F87479">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Jiangsu </w:t>
            </w:r>
            <w:proofErr w:type="spellStart"/>
            <w:r>
              <w:rPr>
                <w:rFonts w:ascii="Times New Roman" w:eastAsia="宋体" w:hAnsi="Times New Roman" w:cs="Times New Roman"/>
                <w:sz w:val="18"/>
                <w:szCs w:val="18"/>
              </w:rPr>
              <w:t>Runau</w:t>
            </w:r>
            <w:proofErr w:type="spellEnd"/>
            <w:r w:rsidR="00F73301" w:rsidRPr="00F73301">
              <w:rPr>
                <w:rFonts w:ascii="Times New Roman" w:eastAsia="宋体" w:hAnsi="Times New Roman" w:cs="Times New Roman"/>
                <w:sz w:val="18"/>
                <w:szCs w:val="18"/>
              </w:rPr>
              <w:t xml:space="preserve"> [Note]</w:t>
            </w:r>
          </w:p>
        </w:tc>
        <w:tc>
          <w:tcPr>
            <w:tcW w:w="1377" w:type="dxa"/>
            <w:tcBorders>
              <w:top w:val="single" w:sz="2" w:space="0" w:color="auto"/>
              <w:left w:val="single" w:sz="2" w:space="0" w:color="auto"/>
              <w:bottom w:val="single" w:sz="2" w:space="0" w:color="auto"/>
              <w:right w:val="single" w:sz="2" w:space="0" w:color="auto"/>
            </w:tcBorders>
            <w:vAlign w:val="center"/>
          </w:tcPr>
          <w:p w14:paraId="498DDE9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457,208.41</w:t>
            </w:r>
          </w:p>
        </w:tc>
        <w:tc>
          <w:tcPr>
            <w:tcW w:w="1377" w:type="dxa"/>
            <w:tcBorders>
              <w:top w:val="single" w:sz="2" w:space="0" w:color="auto"/>
              <w:left w:val="single" w:sz="2" w:space="0" w:color="auto"/>
              <w:bottom w:val="single" w:sz="2" w:space="0" w:color="auto"/>
              <w:right w:val="single" w:sz="2" w:space="0" w:color="auto"/>
            </w:tcBorders>
            <w:vAlign w:val="center"/>
          </w:tcPr>
          <w:p w14:paraId="62A1440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BCE14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1BDF0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47CEC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D4B4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457,208.41</w:t>
            </w:r>
          </w:p>
        </w:tc>
      </w:tr>
      <w:tr w:rsidR="00F73301" w:rsidRPr="00F73301" w14:paraId="24A59CDB"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ADC228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6A259D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5,129,779.08</w:t>
            </w:r>
          </w:p>
        </w:tc>
        <w:tc>
          <w:tcPr>
            <w:tcW w:w="1377" w:type="dxa"/>
            <w:tcBorders>
              <w:top w:val="single" w:sz="2" w:space="0" w:color="auto"/>
              <w:left w:val="single" w:sz="2" w:space="0" w:color="auto"/>
              <w:bottom w:val="single" w:sz="2" w:space="0" w:color="auto"/>
              <w:right w:val="single" w:sz="2" w:space="0" w:color="auto"/>
            </w:tcBorders>
            <w:vAlign w:val="center"/>
          </w:tcPr>
          <w:p w14:paraId="402034F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9BFBFC"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1EC4B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6E90D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B6EC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5,129,779.08</w:t>
            </w:r>
          </w:p>
        </w:tc>
      </w:tr>
    </w:tbl>
    <w:p w14:paraId="007F30E4"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Related information of asset group or asset group portfolios which include goodwill</w:t>
      </w:r>
    </w:p>
    <w:p w14:paraId="2A833834"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[Note] The deferred tax liabilities are recognized based on the future income tax consequences arising from the assets appraisal appreciation due to business combination involving entities not under </w:t>
      </w:r>
      <w:r w:rsidRPr="00F73301">
        <w:rPr>
          <w:rFonts w:ascii="Times New Roman" w:eastAsia="宋体" w:hAnsi="Times New Roman" w:cs="Times New Roman"/>
          <w:kern w:val="0"/>
          <w:sz w:val="24"/>
          <w:szCs w:val="24"/>
        </w:rPr>
        <w:lastRenderedPageBreak/>
        <w:t>common control. In the meantime, pursuant to the relevant regulations of Accounting Standards for Business Enterprises, the recognized amount of goodwill has been adjusted.</w:t>
      </w:r>
    </w:p>
    <w:p w14:paraId="070FDE2A"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Related information of asset group or asset group portfolios which include goodwill</w:t>
      </w:r>
    </w:p>
    <w:tbl>
      <w:tblPr>
        <w:tblW w:w="4991" w:type="pct"/>
        <w:jc w:val="center"/>
        <w:tblCellMar>
          <w:left w:w="57" w:type="dxa"/>
          <w:right w:w="57" w:type="dxa"/>
        </w:tblCellMar>
        <w:tblLook w:val="04A0" w:firstRow="1" w:lastRow="0" w:firstColumn="1" w:lastColumn="0" w:noHBand="0" w:noVBand="1"/>
      </w:tblPr>
      <w:tblGrid>
        <w:gridCol w:w="3842"/>
        <w:gridCol w:w="3041"/>
        <w:gridCol w:w="2717"/>
      </w:tblGrid>
      <w:tr w:rsidR="00F73301" w:rsidRPr="00F73301" w14:paraId="79DBB8F0" w14:textId="77777777" w:rsidTr="0001208F">
        <w:trPr>
          <w:tblHeader/>
          <w:jc w:val="center"/>
        </w:trPr>
        <w:tc>
          <w:tcPr>
            <w:tcW w:w="20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AA3E0" w14:textId="77777777" w:rsidR="00F73301" w:rsidRPr="00F73301" w:rsidRDefault="00F73301" w:rsidP="008A539F">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Composition of asset group or asset group portfolios</w:t>
            </w:r>
          </w:p>
        </w:tc>
        <w:tc>
          <w:tcPr>
            <w:tcW w:w="15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FD8375" w14:textId="22B2B513" w:rsidR="00F73301" w:rsidRPr="00F73301" w:rsidRDefault="00F73301" w:rsidP="00F87479">
            <w:pPr>
              <w:widowControl/>
              <w:snapToGrid w:val="0"/>
              <w:jc w:val="both"/>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MCC Hong Kong, Caswell and its subsidiaries, MCC Shenzhen</w:t>
            </w:r>
          </w:p>
        </w:tc>
        <w:tc>
          <w:tcPr>
            <w:tcW w:w="14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A8EEBD" w14:textId="56700668" w:rsidR="00F73301" w:rsidRPr="00F73301" w:rsidRDefault="0066314B" w:rsidP="00F87479">
            <w:pPr>
              <w:widowControl/>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Chengdu </w:t>
            </w:r>
            <w:proofErr w:type="spellStart"/>
            <w:r>
              <w:rPr>
                <w:rFonts w:ascii="Times New Roman" w:eastAsia="宋体" w:hAnsi="Times New Roman" w:cs="Times New Roman"/>
                <w:kern w:val="0"/>
                <w:sz w:val="18"/>
                <w:szCs w:val="18"/>
              </w:rPr>
              <w:t>Qingyang</w:t>
            </w:r>
            <w:proofErr w:type="spellEnd"/>
            <w:r w:rsidR="00F87479">
              <w:rPr>
                <w:rFonts w:ascii="Times New Roman" w:eastAsia="宋体" w:hAnsi="Times New Roman" w:cs="Times New Roman"/>
                <w:kern w:val="0"/>
                <w:sz w:val="18"/>
                <w:szCs w:val="18"/>
              </w:rPr>
              <w:t xml:space="preserve">, Sichuan </w:t>
            </w:r>
            <w:proofErr w:type="spellStart"/>
            <w:r w:rsidR="00F87479">
              <w:rPr>
                <w:rFonts w:ascii="Times New Roman" w:eastAsia="宋体" w:hAnsi="Times New Roman" w:cs="Times New Roman"/>
                <w:kern w:val="0"/>
                <w:sz w:val="18"/>
                <w:szCs w:val="18"/>
              </w:rPr>
              <w:t>Yajixin</w:t>
            </w:r>
            <w:proofErr w:type="spellEnd"/>
          </w:p>
        </w:tc>
      </w:tr>
      <w:tr w:rsidR="00F73301" w:rsidRPr="00F73301" w14:paraId="0DDA7843" w14:textId="77777777" w:rsidTr="0001208F">
        <w:trPr>
          <w:tblHeade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52C379" w14:textId="77777777" w:rsidR="00F73301" w:rsidRPr="00F73301" w:rsidRDefault="00F73301" w:rsidP="008A539F">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Carrying amount of asset group or asset group portfolios</w:t>
            </w: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1F58F"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486,288,090.74</w:t>
            </w:r>
          </w:p>
        </w:tc>
        <w:tc>
          <w:tcPr>
            <w:tcW w:w="14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671DA"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488,313,449.59</w:t>
            </w:r>
          </w:p>
        </w:tc>
      </w:tr>
      <w:tr w:rsidR="00F73301" w:rsidRPr="00F73301" w14:paraId="1605C01D" w14:textId="77777777" w:rsidTr="0001208F">
        <w:trPr>
          <w:tblHeade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4616F" w14:textId="77777777" w:rsidR="00F73301" w:rsidRPr="00F73301" w:rsidRDefault="00F73301" w:rsidP="008A539F">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Carrying amount of goodwill apportioned to the asset group or asset group portfolios and the apportionment method</w:t>
            </w: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A908E"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102,896,800.47</w:t>
            </w:r>
          </w:p>
        </w:tc>
        <w:tc>
          <w:tcPr>
            <w:tcW w:w="14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85806"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55,469,837.55</w:t>
            </w:r>
          </w:p>
        </w:tc>
      </w:tr>
      <w:tr w:rsidR="00F73301" w:rsidRPr="00F73301" w14:paraId="2F074981" w14:textId="77777777" w:rsidTr="0001208F">
        <w:trPr>
          <w:tblHeade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7DB85" w14:textId="77777777" w:rsidR="00F73301" w:rsidRPr="00F73301" w:rsidRDefault="00F73301" w:rsidP="008A539F">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Carrying amount of asset group or asset group portfolios that include goodwill</w:t>
            </w: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D65FE"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589,184,891.21</w:t>
            </w:r>
          </w:p>
        </w:tc>
        <w:tc>
          <w:tcPr>
            <w:tcW w:w="14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E91AD"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580,763,178.84</w:t>
            </w:r>
          </w:p>
        </w:tc>
      </w:tr>
      <w:tr w:rsidR="00F73301" w:rsidRPr="00F73301" w14:paraId="3F3BECB7" w14:textId="77777777" w:rsidTr="0001208F">
        <w:trPr>
          <w:tblHeade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BA16B" w14:textId="77777777" w:rsidR="00F73301" w:rsidRPr="00F73301" w:rsidRDefault="00F73301" w:rsidP="008A539F">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Whether asset group or asset group portfolios are consistent with those at acquisition date or at goodwill impairment testing date in prior periods</w:t>
            </w: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C719D"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Yes</w:t>
            </w:r>
          </w:p>
        </w:tc>
        <w:tc>
          <w:tcPr>
            <w:tcW w:w="14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F9BE1"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No</w:t>
            </w:r>
          </w:p>
        </w:tc>
      </w:tr>
      <w:tr w:rsidR="00F73301" w:rsidRPr="00F73301" w14:paraId="4926CD95" w14:textId="77777777" w:rsidTr="0001208F">
        <w:trPr>
          <w:tblHeade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F50A8F" w14:textId="77777777" w:rsidR="00F73301" w:rsidRPr="00F73301" w:rsidRDefault="00F73301" w:rsidP="008A539F">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Composition of asset group or asset group portfolios at the time when goodwill impairment test was conducted in 2021</w:t>
            </w: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3073C" w14:textId="77777777" w:rsidR="00F73301" w:rsidRPr="00F73301" w:rsidRDefault="00F73301" w:rsidP="008C49B7">
            <w:pPr>
              <w:widowControl/>
              <w:snapToGrid w:val="0"/>
              <w:jc w:val="both"/>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c>
          <w:tcPr>
            <w:tcW w:w="14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9693A" w14:textId="142EB40A" w:rsidR="00F73301" w:rsidRPr="00F73301" w:rsidRDefault="0066314B" w:rsidP="00F87479">
            <w:pPr>
              <w:widowControl/>
              <w:snapToGrid w:val="0"/>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Chengdu </w:t>
            </w:r>
            <w:proofErr w:type="spellStart"/>
            <w:r>
              <w:rPr>
                <w:rFonts w:ascii="Times New Roman" w:eastAsia="宋体" w:hAnsi="Times New Roman" w:cs="Times New Roman"/>
                <w:kern w:val="0"/>
                <w:sz w:val="18"/>
                <w:szCs w:val="18"/>
              </w:rPr>
              <w:t>Qingyang</w:t>
            </w:r>
            <w:proofErr w:type="spellEnd"/>
            <w:r w:rsidR="00F87479">
              <w:rPr>
                <w:rFonts w:ascii="Times New Roman" w:eastAsia="宋体" w:hAnsi="Times New Roman" w:cs="Times New Roman"/>
                <w:kern w:val="0"/>
                <w:sz w:val="18"/>
                <w:szCs w:val="18"/>
              </w:rPr>
              <w:t xml:space="preserve"> and Sichuan </w:t>
            </w:r>
            <w:proofErr w:type="spellStart"/>
            <w:r w:rsidR="00F87479">
              <w:rPr>
                <w:rFonts w:ascii="Times New Roman" w:eastAsia="宋体" w:hAnsi="Times New Roman" w:cs="Times New Roman"/>
                <w:kern w:val="0"/>
                <w:sz w:val="18"/>
                <w:szCs w:val="18"/>
              </w:rPr>
              <w:t>Yajixin</w:t>
            </w:r>
            <w:proofErr w:type="spellEnd"/>
            <w:r w:rsidR="00F73301" w:rsidRPr="00F73301">
              <w:rPr>
                <w:rFonts w:ascii="Times New Roman" w:eastAsia="宋体" w:hAnsi="Times New Roman" w:cs="Times New Roman"/>
                <w:kern w:val="0"/>
                <w:sz w:val="18"/>
                <w:szCs w:val="18"/>
              </w:rPr>
              <w:t xml:space="preserve"> were recognized as two asset group portfolios</w:t>
            </w:r>
          </w:p>
        </w:tc>
      </w:tr>
      <w:tr w:rsidR="00F73301" w:rsidRPr="00F73301" w14:paraId="7420B0E9" w14:textId="77777777" w:rsidTr="0001208F">
        <w:trPr>
          <w:tblHeade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99C1A" w14:textId="77777777" w:rsidR="00F73301" w:rsidRPr="00F73301" w:rsidRDefault="00F73301" w:rsidP="008A539F">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Reasons resulting in composition changes of asset group or asset group portfolios</w:t>
            </w: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67C85" w14:textId="77777777" w:rsidR="00F73301" w:rsidRPr="00F73301" w:rsidRDefault="00F73301" w:rsidP="008C49B7">
            <w:pPr>
              <w:widowControl/>
              <w:snapToGrid w:val="0"/>
              <w:jc w:val="both"/>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c>
          <w:tcPr>
            <w:tcW w:w="14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3C387" w14:textId="77777777" w:rsidR="00F73301" w:rsidRPr="00F73301" w:rsidRDefault="00F73301" w:rsidP="008C49B7">
            <w:pPr>
              <w:widowControl/>
              <w:snapToGrid w:val="0"/>
              <w:jc w:val="both"/>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r>
    </w:tbl>
    <w:p w14:paraId="36FA1EFB" w14:textId="77777777" w:rsidR="00F73301" w:rsidRPr="008A539F" w:rsidRDefault="00F73301" w:rsidP="008A539F">
      <w:pPr>
        <w:adjustRightInd w:val="0"/>
        <w:snapToGrid w:val="0"/>
        <w:spacing w:beforeLines="50" w:before="156" w:afterLines="50" w:after="156"/>
        <w:jc w:val="both"/>
        <w:rPr>
          <w:rFonts w:ascii="Times New Roman" w:eastAsia="宋体" w:hAnsi="Times New Roman" w:cs="Times New Roman"/>
          <w:sz w:val="18"/>
          <w:szCs w:val="18"/>
        </w:rPr>
      </w:pPr>
      <w:r w:rsidRPr="008A539F">
        <w:rPr>
          <w:rFonts w:ascii="Times New Roman" w:eastAsia="宋体" w:hAnsi="Times New Roman" w:cs="Times New Roman"/>
          <w:sz w:val="18"/>
          <w:szCs w:val="18"/>
        </w:rPr>
        <w:t>Notes of the testing process of goodwill impairment, parameters (such as growth rate of the forecast period, growth rate of stable period, rate of profit, discount rate, forecast period and so on for prediction of future present value of cash flows) and the recognition method of goodwill impairment losses:</w:t>
      </w:r>
    </w:p>
    <w:p w14:paraId="34836364"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Process, method and conclusion of goodwill impairment test</w:t>
      </w:r>
    </w:p>
    <w:p w14:paraId="2F88D5DC" w14:textId="352ADEE1"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In 2015, the Company acquired all equities of MCC Shenzhen and acquired all equities of Caswell and its wholly-owned subsidiaries MCC USA and MCC Taiwan through wholly-owned subsidiary MCC Hong Kong, all of which are sales companies. The Company obtained marketing channels through acquisition, and carried out collaboration and integration. The recoverable amount of goodwill is calculated based on the present value of estimated future cash flows, which is based on the five-year estimated annual cash flows approved by the Company. The discount rate used in estimating the annual cash flows is 11.92% (2022: 11.92%), and the cash flows subsequent to the estimated period is inferred by a growth rate of 0% (2021: 0%) based on the principle of prudence, which is not higher than the overall long-term average growth rate in the electronic component industry.</w:t>
      </w:r>
    </w:p>
    <w:p w14:paraId="2F812D4B"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Other key data used in the impairment test include the estimated selling price, sales amount, cost of product, and other relevant expenses.</w:t>
      </w:r>
    </w:p>
    <w:p w14:paraId="09B35DF5"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Such key data are determined by the Company based on its historical experience and its prediction towards market development. The discount rate used by the Company is the pre-tax interest rate that reveals the time value of currency under the current market situation and special risks of certain asset group.</w:t>
      </w:r>
    </w:p>
    <w:p w14:paraId="41282CF6"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aforementioned estimation of the recoverable amount of goodwill suggests that the goodwill is not impaired.</w:t>
      </w:r>
    </w:p>
    <w:p w14:paraId="3D51B29B" w14:textId="775615BA"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b. The recoverable amount of goodwill of Chengdu </w:t>
      </w:r>
      <w:proofErr w:type="spellStart"/>
      <w:r w:rsidRPr="00F73301">
        <w:rPr>
          <w:rFonts w:ascii="Times New Roman" w:eastAsia="宋体" w:hAnsi="Times New Roman" w:cs="Times New Roman"/>
          <w:kern w:val="0"/>
          <w:sz w:val="24"/>
          <w:szCs w:val="24"/>
        </w:rPr>
        <w:t>Qingyang</w:t>
      </w:r>
      <w:proofErr w:type="spellEnd"/>
      <w:r w:rsidRPr="00F73301">
        <w:rPr>
          <w:rFonts w:ascii="Times New Roman" w:eastAsia="宋体" w:hAnsi="Times New Roman" w:cs="Times New Roman"/>
          <w:kern w:val="0"/>
          <w:sz w:val="24"/>
          <w:szCs w:val="24"/>
        </w:rPr>
        <w:t xml:space="preserve"> </w:t>
      </w:r>
      <w:r w:rsidR="00F87479">
        <w:rPr>
          <w:rFonts w:ascii="Times New Roman" w:eastAsia="宋体" w:hAnsi="Times New Roman" w:cs="Times New Roman"/>
          <w:kern w:val="0"/>
          <w:sz w:val="24"/>
          <w:szCs w:val="24"/>
        </w:rPr>
        <w:t xml:space="preserve">and Sichuan </w:t>
      </w:r>
      <w:proofErr w:type="spellStart"/>
      <w:r w:rsidR="00F87479">
        <w:rPr>
          <w:rFonts w:ascii="Times New Roman" w:eastAsia="宋体" w:hAnsi="Times New Roman" w:cs="Times New Roman"/>
          <w:kern w:val="0"/>
          <w:sz w:val="24"/>
          <w:szCs w:val="24"/>
        </w:rPr>
        <w:t>Yajixin</w:t>
      </w:r>
      <w:proofErr w:type="spellEnd"/>
      <w:r w:rsidRPr="00F73301">
        <w:rPr>
          <w:rFonts w:ascii="Times New Roman" w:eastAsia="宋体" w:hAnsi="Times New Roman" w:cs="Times New Roman"/>
          <w:kern w:val="0"/>
          <w:sz w:val="24"/>
          <w:szCs w:val="24"/>
        </w:rPr>
        <w:t xml:space="preserve"> is calculated based on the present value of estimated future cash flows, which is based on the five-year estimated annual cash flows approved by the Company. The discount rate used in estimating the annual cash flows is 11.92% (2022: 11.92%), and the cash flows subsequent to the estimated period is inferred by a growth rate of 0% (2021: 0%) based on the principle of prudence, which is not higher than the overall long-term average growth rate in the electronic component industry.</w:t>
      </w:r>
    </w:p>
    <w:p w14:paraId="023DCAF7"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Other key data used in the impairment test include the estimated selling price, sales amount, cost of product, and other relevant expenses. Such key data are determined by the Company based on its historical experience and its prediction towards market development. The discount rate used by the Company is the pre-tax interest rate that reveals the time value of currency under the current market situation and special risks of certain asset group.</w:t>
      </w:r>
    </w:p>
    <w:p w14:paraId="17A0135D"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aforementioned estimation of the recoverable amount of goodwill suggests that the goodwill is not impaired.</w:t>
      </w:r>
    </w:p>
    <w:p w14:paraId="7313A203"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Impact of goodwill impairment testing</w:t>
      </w:r>
    </w:p>
    <w:p w14:paraId="533B4C04"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24E02A45"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46C2535C"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2804D667"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216" w:name="_Toc989104"/>
      <w:r w:rsidRPr="00F73301">
        <w:rPr>
          <w:rFonts w:ascii="Times New Roman" w:eastAsia="宋体" w:hAnsi="Times New Roman" w:cs="Times New Roman"/>
          <w:b/>
          <w:bCs/>
          <w:sz w:val="24"/>
          <w:szCs w:val="24"/>
        </w:rPr>
        <w:t>17. Long-term prepayments</w:t>
      </w:r>
      <w:bookmarkEnd w:id="216"/>
    </w:p>
    <w:p w14:paraId="5CA1E90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7CCAEBCE"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A76D4C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BCD47C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D46AE2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Increased amount for the current period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B94BFE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Amortization amount of the current period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491D1C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 decreased amount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92ADF7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4D0F0769"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0FC5447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Decoration and repair fees</w:t>
            </w:r>
          </w:p>
        </w:tc>
        <w:tc>
          <w:tcPr>
            <w:tcW w:w="1606" w:type="dxa"/>
            <w:tcBorders>
              <w:top w:val="single" w:sz="2" w:space="0" w:color="auto"/>
              <w:left w:val="single" w:sz="2" w:space="0" w:color="auto"/>
              <w:bottom w:val="single" w:sz="2" w:space="0" w:color="auto"/>
              <w:right w:val="single" w:sz="2" w:space="0" w:color="auto"/>
            </w:tcBorders>
            <w:vAlign w:val="center"/>
          </w:tcPr>
          <w:p w14:paraId="1DE10C4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98,598,854.20</w:t>
            </w:r>
          </w:p>
        </w:tc>
        <w:tc>
          <w:tcPr>
            <w:tcW w:w="1606" w:type="dxa"/>
            <w:tcBorders>
              <w:top w:val="single" w:sz="2" w:space="0" w:color="auto"/>
              <w:left w:val="single" w:sz="2" w:space="0" w:color="auto"/>
              <w:bottom w:val="single" w:sz="2" w:space="0" w:color="auto"/>
              <w:right w:val="single" w:sz="2" w:space="0" w:color="auto"/>
            </w:tcBorders>
            <w:vAlign w:val="center"/>
          </w:tcPr>
          <w:p w14:paraId="5DA0173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19,417,319.46</w:t>
            </w:r>
          </w:p>
        </w:tc>
        <w:tc>
          <w:tcPr>
            <w:tcW w:w="1606" w:type="dxa"/>
            <w:tcBorders>
              <w:top w:val="single" w:sz="2" w:space="0" w:color="auto"/>
              <w:left w:val="single" w:sz="2" w:space="0" w:color="auto"/>
              <w:bottom w:val="single" w:sz="2" w:space="0" w:color="auto"/>
              <w:right w:val="single" w:sz="2" w:space="0" w:color="auto"/>
            </w:tcBorders>
            <w:vAlign w:val="center"/>
          </w:tcPr>
          <w:p w14:paraId="61A69D1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20,898,633.81</w:t>
            </w:r>
          </w:p>
        </w:tc>
        <w:tc>
          <w:tcPr>
            <w:tcW w:w="1606" w:type="dxa"/>
            <w:tcBorders>
              <w:top w:val="single" w:sz="2" w:space="0" w:color="auto"/>
              <w:left w:val="single" w:sz="2" w:space="0" w:color="auto"/>
              <w:bottom w:val="single" w:sz="2" w:space="0" w:color="auto"/>
              <w:right w:val="single" w:sz="2" w:space="0" w:color="auto"/>
            </w:tcBorders>
            <w:vAlign w:val="center"/>
          </w:tcPr>
          <w:p w14:paraId="4FE6A4CC"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E4D0D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97,117,539.85</w:t>
            </w:r>
          </w:p>
        </w:tc>
      </w:tr>
      <w:tr w:rsidR="00F73301" w:rsidRPr="00F73301" w14:paraId="6EF32373"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49C31C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606" w:type="dxa"/>
            <w:tcBorders>
              <w:top w:val="single" w:sz="2" w:space="0" w:color="auto"/>
              <w:left w:val="single" w:sz="2" w:space="0" w:color="auto"/>
              <w:bottom w:val="single" w:sz="2" w:space="0" w:color="auto"/>
              <w:right w:val="single" w:sz="2" w:space="0" w:color="auto"/>
            </w:tcBorders>
            <w:vAlign w:val="center"/>
          </w:tcPr>
          <w:p w14:paraId="072E184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98,598,854.20</w:t>
            </w:r>
          </w:p>
        </w:tc>
        <w:tc>
          <w:tcPr>
            <w:tcW w:w="1606" w:type="dxa"/>
            <w:tcBorders>
              <w:top w:val="single" w:sz="2" w:space="0" w:color="auto"/>
              <w:left w:val="single" w:sz="2" w:space="0" w:color="auto"/>
              <w:bottom w:val="single" w:sz="2" w:space="0" w:color="auto"/>
              <w:right w:val="single" w:sz="2" w:space="0" w:color="auto"/>
            </w:tcBorders>
            <w:vAlign w:val="center"/>
          </w:tcPr>
          <w:p w14:paraId="0E6526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19,417,319.46</w:t>
            </w:r>
          </w:p>
        </w:tc>
        <w:tc>
          <w:tcPr>
            <w:tcW w:w="1606" w:type="dxa"/>
            <w:tcBorders>
              <w:top w:val="single" w:sz="2" w:space="0" w:color="auto"/>
              <w:left w:val="single" w:sz="2" w:space="0" w:color="auto"/>
              <w:bottom w:val="single" w:sz="2" w:space="0" w:color="auto"/>
              <w:right w:val="single" w:sz="2" w:space="0" w:color="auto"/>
            </w:tcBorders>
            <w:vAlign w:val="center"/>
          </w:tcPr>
          <w:p w14:paraId="5978EDF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20,898,633.81</w:t>
            </w:r>
          </w:p>
        </w:tc>
        <w:tc>
          <w:tcPr>
            <w:tcW w:w="1606" w:type="dxa"/>
            <w:tcBorders>
              <w:top w:val="single" w:sz="2" w:space="0" w:color="auto"/>
              <w:left w:val="single" w:sz="2" w:space="0" w:color="auto"/>
              <w:bottom w:val="single" w:sz="2" w:space="0" w:color="auto"/>
              <w:right w:val="single" w:sz="2" w:space="0" w:color="auto"/>
            </w:tcBorders>
            <w:vAlign w:val="center"/>
          </w:tcPr>
          <w:p w14:paraId="0F4D1317"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AE219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97,117,539.85</w:t>
            </w:r>
          </w:p>
        </w:tc>
      </w:tr>
    </w:tbl>
    <w:p w14:paraId="00A3F4DB"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2CF535A0"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5616FA37"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217" w:name="_Toc989105"/>
      <w:r w:rsidRPr="00F73301">
        <w:rPr>
          <w:rFonts w:ascii="Times New Roman" w:eastAsia="宋体" w:hAnsi="Times New Roman" w:cs="Times New Roman"/>
          <w:b/>
          <w:bCs/>
          <w:sz w:val="24"/>
          <w:szCs w:val="24"/>
        </w:rPr>
        <w:t>18. Deferred tax assets/deferred tax liabilities</w:t>
      </w:r>
      <w:bookmarkEnd w:id="217"/>
    </w:p>
    <w:p w14:paraId="4A89F313" w14:textId="77777777" w:rsidR="00F73301" w:rsidRPr="00F73301" w:rsidRDefault="00F73301" w:rsidP="008A539F">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218" w:name="_Toc989106"/>
      <w:r w:rsidRPr="00F73301">
        <w:rPr>
          <w:rFonts w:ascii="Times New Roman" w:eastAsia="宋体" w:hAnsi="Times New Roman" w:cs="Times New Roman"/>
          <w:b/>
          <w:bCs/>
          <w:sz w:val="24"/>
          <w:szCs w:val="24"/>
        </w:rPr>
        <w:t>(1) Deferred tax assets had not been off-set</w:t>
      </w:r>
      <w:bookmarkEnd w:id="218"/>
    </w:p>
    <w:p w14:paraId="293EEF0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562716CA" w14:textId="77777777" w:rsidTr="0001208F">
        <w:trPr>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E64B23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814C2B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F7DBF7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59C7B5BC" w14:textId="77777777" w:rsidTr="0001208F">
        <w:trPr>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4A22610"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9B161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Deductible temporary difference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AC62B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assets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544DA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Deductible temporary difference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335EC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assets</w:t>
            </w:r>
          </w:p>
        </w:tc>
      </w:tr>
      <w:tr w:rsidR="00F73301" w:rsidRPr="00F73301" w14:paraId="5703B30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93C50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 of assets</w:t>
            </w:r>
          </w:p>
        </w:tc>
        <w:tc>
          <w:tcPr>
            <w:tcW w:w="1928" w:type="dxa"/>
            <w:tcBorders>
              <w:top w:val="single" w:sz="2" w:space="0" w:color="auto"/>
              <w:left w:val="single" w:sz="2" w:space="0" w:color="auto"/>
              <w:bottom w:val="single" w:sz="2" w:space="0" w:color="auto"/>
              <w:right w:val="single" w:sz="2" w:space="0" w:color="auto"/>
            </w:tcBorders>
            <w:vAlign w:val="center"/>
          </w:tcPr>
          <w:p w14:paraId="08FADF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150,394,809.42</w:t>
            </w:r>
          </w:p>
        </w:tc>
        <w:tc>
          <w:tcPr>
            <w:tcW w:w="1928" w:type="dxa"/>
            <w:tcBorders>
              <w:top w:val="single" w:sz="2" w:space="0" w:color="auto"/>
              <w:left w:val="single" w:sz="2" w:space="0" w:color="auto"/>
              <w:bottom w:val="single" w:sz="2" w:space="0" w:color="auto"/>
              <w:right w:val="single" w:sz="2" w:space="0" w:color="auto"/>
            </w:tcBorders>
            <w:vAlign w:val="center"/>
          </w:tcPr>
          <w:p w14:paraId="1B4A296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27,398,869.85</w:t>
            </w:r>
          </w:p>
        </w:tc>
        <w:tc>
          <w:tcPr>
            <w:tcW w:w="1928" w:type="dxa"/>
            <w:tcBorders>
              <w:top w:val="single" w:sz="2" w:space="0" w:color="auto"/>
              <w:left w:val="single" w:sz="2" w:space="0" w:color="auto"/>
              <w:bottom w:val="single" w:sz="2" w:space="0" w:color="auto"/>
              <w:right w:val="single" w:sz="2" w:space="0" w:color="auto"/>
            </w:tcBorders>
            <w:vAlign w:val="center"/>
          </w:tcPr>
          <w:p w14:paraId="0723B19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122,581,176.29</w:t>
            </w:r>
          </w:p>
        </w:tc>
        <w:tc>
          <w:tcPr>
            <w:tcW w:w="1928" w:type="dxa"/>
            <w:tcBorders>
              <w:top w:val="single" w:sz="2" w:space="0" w:color="auto"/>
              <w:left w:val="single" w:sz="2" w:space="0" w:color="auto"/>
              <w:bottom w:val="single" w:sz="2" w:space="0" w:color="auto"/>
              <w:right w:val="single" w:sz="2" w:space="0" w:color="auto"/>
            </w:tcBorders>
            <w:vAlign w:val="center"/>
          </w:tcPr>
          <w:p w14:paraId="7F6168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19,029,094.05</w:t>
            </w:r>
          </w:p>
        </w:tc>
      </w:tr>
      <w:tr w:rsidR="00F73301" w:rsidRPr="00F73301" w14:paraId="1212A56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3F7E67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Internal unrealized profit</w:t>
            </w:r>
          </w:p>
        </w:tc>
        <w:tc>
          <w:tcPr>
            <w:tcW w:w="1928" w:type="dxa"/>
            <w:tcBorders>
              <w:top w:val="single" w:sz="2" w:space="0" w:color="auto"/>
              <w:left w:val="single" w:sz="2" w:space="0" w:color="auto"/>
              <w:bottom w:val="single" w:sz="2" w:space="0" w:color="auto"/>
              <w:right w:val="single" w:sz="2" w:space="0" w:color="auto"/>
            </w:tcBorders>
            <w:vAlign w:val="center"/>
          </w:tcPr>
          <w:p w14:paraId="1852262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29,416,324.43</w:t>
            </w:r>
          </w:p>
        </w:tc>
        <w:tc>
          <w:tcPr>
            <w:tcW w:w="1928" w:type="dxa"/>
            <w:tcBorders>
              <w:top w:val="single" w:sz="2" w:space="0" w:color="auto"/>
              <w:left w:val="single" w:sz="2" w:space="0" w:color="auto"/>
              <w:bottom w:val="single" w:sz="2" w:space="0" w:color="auto"/>
              <w:right w:val="single" w:sz="2" w:space="0" w:color="auto"/>
            </w:tcBorders>
            <w:vAlign w:val="center"/>
          </w:tcPr>
          <w:p w14:paraId="228F3AE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4,412,448.66</w:t>
            </w:r>
          </w:p>
        </w:tc>
        <w:tc>
          <w:tcPr>
            <w:tcW w:w="1928" w:type="dxa"/>
            <w:tcBorders>
              <w:top w:val="single" w:sz="2" w:space="0" w:color="auto"/>
              <w:left w:val="single" w:sz="2" w:space="0" w:color="auto"/>
              <w:bottom w:val="single" w:sz="2" w:space="0" w:color="auto"/>
              <w:right w:val="single" w:sz="2" w:space="0" w:color="auto"/>
            </w:tcBorders>
            <w:vAlign w:val="center"/>
          </w:tcPr>
          <w:p w14:paraId="6BD29BD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46,469,831.43</w:t>
            </w:r>
          </w:p>
        </w:tc>
        <w:tc>
          <w:tcPr>
            <w:tcW w:w="1928" w:type="dxa"/>
            <w:tcBorders>
              <w:top w:val="single" w:sz="2" w:space="0" w:color="auto"/>
              <w:left w:val="single" w:sz="2" w:space="0" w:color="auto"/>
              <w:bottom w:val="single" w:sz="2" w:space="0" w:color="auto"/>
              <w:right w:val="single" w:sz="2" w:space="0" w:color="auto"/>
            </w:tcBorders>
            <w:vAlign w:val="center"/>
          </w:tcPr>
          <w:p w14:paraId="09B223C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6,970,474.71</w:t>
            </w:r>
          </w:p>
        </w:tc>
      </w:tr>
      <w:tr w:rsidR="00F73301" w:rsidRPr="00F73301" w14:paraId="72FD1FAE"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60A87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Deductible losses</w:t>
            </w:r>
          </w:p>
        </w:tc>
        <w:tc>
          <w:tcPr>
            <w:tcW w:w="1928" w:type="dxa"/>
            <w:tcBorders>
              <w:top w:val="single" w:sz="2" w:space="0" w:color="auto"/>
              <w:left w:val="single" w:sz="2" w:space="0" w:color="auto"/>
              <w:bottom w:val="single" w:sz="2" w:space="0" w:color="auto"/>
              <w:right w:val="single" w:sz="2" w:space="0" w:color="auto"/>
            </w:tcBorders>
            <w:vAlign w:val="center"/>
          </w:tcPr>
          <w:p w14:paraId="472C296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52,285,900.60</w:t>
            </w:r>
          </w:p>
        </w:tc>
        <w:tc>
          <w:tcPr>
            <w:tcW w:w="1928" w:type="dxa"/>
            <w:tcBorders>
              <w:top w:val="single" w:sz="2" w:space="0" w:color="auto"/>
              <w:left w:val="single" w:sz="2" w:space="0" w:color="auto"/>
              <w:bottom w:val="single" w:sz="2" w:space="0" w:color="auto"/>
              <w:right w:val="single" w:sz="2" w:space="0" w:color="auto"/>
            </w:tcBorders>
            <w:vAlign w:val="center"/>
          </w:tcPr>
          <w:p w14:paraId="043D79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8,470,874.69</w:t>
            </w:r>
          </w:p>
        </w:tc>
        <w:tc>
          <w:tcPr>
            <w:tcW w:w="1928" w:type="dxa"/>
            <w:tcBorders>
              <w:top w:val="single" w:sz="2" w:space="0" w:color="auto"/>
              <w:left w:val="single" w:sz="2" w:space="0" w:color="auto"/>
              <w:bottom w:val="single" w:sz="2" w:space="0" w:color="auto"/>
              <w:right w:val="single" w:sz="2" w:space="0" w:color="auto"/>
            </w:tcBorders>
            <w:vAlign w:val="center"/>
          </w:tcPr>
          <w:p w14:paraId="457BA90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68,862,060.64</w:t>
            </w:r>
          </w:p>
        </w:tc>
        <w:tc>
          <w:tcPr>
            <w:tcW w:w="1928" w:type="dxa"/>
            <w:tcBorders>
              <w:top w:val="single" w:sz="2" w:space="0" w:color="auto"/>
              <w:left w:val="single" w:sz="2" w:space="0" w:color="auto"/>
              <w:bottom w:val="single" w:sz="2" w:space="0" w:color="auto"/>
              <w:right w:val="single" w:sz="2" w:space="0" w:color="auto"/>
            </w:tcBorders>
            <w:vAlign w:val="center"/>
          </w:tcPr>
          <w:p w14:paraId="34105E4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10,957,298.69</w:t>
            </w:r>
          </w:p>
        </w:tc>
      </w:tr>
      <w:tr w:rsidR="00F73301" w:rsidRPr="00F73301" w14:paraId="76E4FAA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73B5534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Equity incentive fees</w:t>
            </w:r>
          </w:p>
        </w:tc>
        <w:tc>
          <w:tcPr>
            <w:tcW w:w="1928" w:type="dxa"/>
            <w:tcBorders>
              <w:top w:val="single" w:sz="2" w:space="0" w:color="auto"/>
              <w:left w:val="single" w:sz="2" w:space="0" w:color="auto"/>
              <w:bottom w:val="single" w:sz="2" w:space="0" w:color="auto"/>
              <w:right w:val="single" w:sz="2" w:space="0" w:color="auto"/>
            </w:tcBorders>
            <w:vAlign w:val="center"/>
          </w:tcPr>
          <w:p w14:paraId="0E4837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39,874,454.25</w:t>
            </w:r>
          </w:p>
        </w:tc>
        <w:tc>
          <w:tcPr>
            <w:tcW w:w="1928" w:type="dxa"/>
            <w:tcBorders>
              <w:top w:val="single" w:sz="2" w:space="0" w:color="auto"/>
              <w:left w:val="single" w:sz="2" w:space="0" w:color="auto"/>
              <w:bottom w:val="single" w:sz="2" w:space="0" w:color="auto"/>
              <w:right w:val="single" w:sz="2" w:space="0" w:color="auto"/>
            </w:tcBorders>
            <w:vAlign w:val="center"/>
          </w:tcPr>
          <w:p w14:paraId="038D28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5,981,168.14</w:t>
            </w:r>
          </w:p>
        </w:tc>
        <w:tc>
          <w:tcPr>
            <w:tcW w:w="1928" w:type="dxa"/>
            <w:tcBorders>
              <w:top w:val="single" w:sz="2" w:space="0" w:color="auto"/>
              <w:left w:val="single" w:sz="2" w:space="0" w:color="auto"/>
              <w:bottom w:val="single" w:sz="2" w:space="0" w:color="auto"/>
              <w:right w:val="single" w:sz="2" w:space="0" w:color="auto"/>
            </w:tcBorders>
            <w:vAlign w:val="center"/>
          </w:tcPr>
          <w:p w14:paraId="595CDC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31,260,734.25</w:t>
            </w:r>
          </w:p>
        </w:tc>
        <w:tc>
          <w:tcPr>
            <w:tcW w:w="1928" w:type="dxa"/>
            <w:tcBorders>
              <w:top w:val="single" w:sz="2" w:space="0" w:color="auto"/>
              <w:left w:val="single" w:sz="2" w:space="0" w:color="auto"/>
              <w:bottom w:val="single" w:sz="2" w:space="0" w:color="auto"/>
              <w:right w:val="single" w:sz="2" w:space="0" w:color="auto"/>
            </w:tcBorders>
            <w:vAlign w:val="center"/>
          </w:tcPr>
          <w:p w14:paraId="5A93E5D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4,689,110.14</w:t>
            </w:r>
          </w:p>
        </w:tc>
      </w:tr>
      <w:tr w:rsidR="00F73301" w:rsidRPr="00F73301" w14:paraId="3FBDB432"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49702C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w:t>
            </w:r>
          </w:p>
        </w:tc>
        <w:tc>
          <w:tcPr>
            <w:tcW w:w="1928" w:type="dxa"/>
            <w:tcBorders>
              <w:top w:val="single" w:sz="2" w:space="0" w:color="auto"/>
              <w:left w:val="single" w:sz="2" w:space="0" w:color="auto"/>
              <w:bottom w:val="single" w:sz="2" w:space="0" w:color="auto"/>
              <w:right w:val="single" w:sz="2" w:space="0" w:color="auto"/>
            </w:tcBorders>
            <w:vAlign w:val="center"/>
          </w:tcPr>
          <w:p w14:paraId="6F639E7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3,845,485.13</w:t>
            </w:r>
          </w:p>
        </w:tc>
        <w:tc>
          <w:tcPr>
            <w:tcW w:w="1928" w:type="dxa"/>
            <w:tcBorders>
              <w:top w:val="single" w:sz="2" w:space="0" w:color="auto"/>
              <w:left w:val="single" w:sz="2" w:space="0" w:color="auto"/>
              <w:bottom w:val="single" w:sz="2" w:space="0" w:color="auto"/>
              <w:right w:val="single" w:sz="2" w:space="0" w:color="auto"/>
            </w:tcBorders>
            <w:vAlign w:val="center"/>
          </w:tcPr>
          <w:p w14:paraId="5BC3268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576,822.77</w:t>
            </w:r>
          </w:p>
        </w:tc>
        <w:tc>
          <w:tcPr>
            <w:tcW w:w="1928" w:type="dxa"/>
            <w:tcBorders>
              <w:top w:val="single" w:sz="2" w:space="0" w:color="auto"/>
              <w:left w:val="single" w:sz="2" w:space="0" w:color="auto"/>
              <w:bottom w:val="single" w:sz="2" w:space="0" w:color="auto"/>
              <w:right w:val="single" w:sz="2" w:space="0" w:color="auto"/>
            </w:tcBorders>
            <w:vAlign w:val="center"/>
          </w:tcPr>
          <w:p w14:paraId="68A9E7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4,289,334.11</w:t>
            </w:r>
          </w:p>
        </w:tc>
        <w:tc>
          <w:tcPr>
            <w:tcW w:w="1928" w:type="dxa"/>
            <w:tcBorders>
              <w:top w:val="single" w:sz="2" w:space="0" w:color="auto"/>
              <w:left w:val="single" w:sz="2" w:space="0" w:color="auto"/>
              <w:bottom w:val="single" w:sz="2" w:space="0" w:color="auto"/>
              <w:right w:val="single" w:sz="2" w:space="0" w:color="auto"/>
            </w:tcBorders>
            <w:vAlign w:val="center"/>
          </w:tcPr>
          <w:p w14:paraId="5912C28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643,400.12</w:t>
            </w:r>
          </w:p>
        </w:tc>
      </w:tr>
      <w:tr w:rsidR="00F73301" w:rsidRPr="00F73301" w14:paraId="2E87792E"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B6C55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5DBE93D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275,816,973.83</w:t>
            </w:r>
          </w:p>
        </w:tc>
        <w:tc>
          <w:tcPr>
            <w:tcW w:w="1928" w:type="dxa"/>
            <w:tcBorders>
              <w:top w:val="single" w:sz="2" w:space="0" w:color="auto"/>
              <w:left w:val="single" w:sz="2" w:space="0" w:color="auto"/>
              <w:bottom w:val="single" w:sz="2" w:space="0" w:color="auto"/>
              <w:right w:val="single" w:sz="2" w:space="0" w:color="auto"/>
            </w:tcBorders>
            <w:vAlign w:val="center"/>
          </w:tcPr>
          <w:p w14:paraId="733B9B1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46,840,184.11</w:t>
            </w:r>
          </w:p>
        </w:tc>
        <w:tc>
          <w:tcPr>
            <w:tcW w:w="1928" w:type="dxa"/>
            <w:tcBorders>
              <w:top w:val="single" w:sz="2" w:space="0" w:color="auto"/>
              <w:left w:val="single" w:sz="2" w:space="0" w:color="auto"/>
              <w:bottom w:val="single" w:sz="2" w:space="0" w:color="auto"/>
              <w:right w:val="single" w:sz="2" w:space="0" w:color="auto"/>
            </w:tcBorders>
            <w:vAlign w:val="center"/>
          </w:tcPr>
          <w:p w14:paraId="50B8B8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273,463,136.72</w:t>
            </w:r>
          </w:p>
        </w:tc>
        <w:tc>
          <w:tcPr>
            <w:tcW w:w="1928" w:type="dxa"/>
            <w:tcBorders>
              <w:top w:val="single" w:sz="2" w:space="0" w:color="auto"/>
              <w:left w:val="single" w:sz="2" w:space="0" w:color="auto"/>
              <w:bottom w:val="single" w:sz="2" w:space="0" w:color="auto"/>
              <w:right w:val="single" w:sz="2" w:space="0" w:color="auto"/>
            </w:tcBorders>
            <w:vAlign w:val="center"/>
          </w:tcPr>
          <w:p w14:paraId="5997C5A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42,289,377.71</w:t>
            </w:r>
          </w:p>
        </w:tc>
      </w:tr>
    </w:tbl>
    <w:p w14:paraId="1E40B2CE"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19" w:name="_Toc989107"/>
      <w:r w:rsidRPr="00F73301">
        <w:rPr>
          <w:rFonts w:ascii="Times New Roman" w:eastAsia="宋体" w:hAnsi="Times New Roman" w:cs="Times New Roman"/>
          <w:b/>
          <w:bCs/>
          <w:sz w:val="24"/>
          <w:szCs w:val="24"/>
        </w:rPr>
        <w:t>(2) Deferred tax liabilities had not been off-set</w:t>
      </w:r>
      <w:bookmarkEnd w:id="219"/>
    </w:p>
    <w:p w14:paraId="33183B3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65F51D8C" w14:textId="77777777" w:rsidTr="0001208F">
        <w:trPr>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A37CA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1F2C35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93C362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016680B7" w14:textId="77777777" w:rsidTr="0001208F">
        <w:trPr>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7B7F58"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D113A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Taxable temporary difference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EAFE5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liabilities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42B932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Taxable temporary difference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B88F8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liabilities</w:t>
            </w:r>
          </w:p>
        </w:tc>
      </w:tr>
      <w:tr w:rsidR="00F73301" w:rsidRPr="00F73301" w14:paraId="581645B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64A41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Estimated added value of assets not under the same control</w:t>
            </w:r>
          </w:p>
        </w:tc>
        <w:tc>
          <w:tcPr>
            <w:tcW w:w="1928" w:type="dxa"/>
            <w:tcBorders>
              <w:top w:val="single" w:sz="2" w:space="0" w:color="auto"/>
              <w:left w:val="single" w:sz="2" w:space="0" w:color="auto"/>
              <w:bottom w:val="single" w:sz="2" w:space="0" w:color="auto"/>
              <w:right w:val="single" w:sz="2" w:space="0" w:color="auto"/>
            </w:tcBorders>
            <w:vAlign w:val="center"/>
          </w:tcPr>
          <w:p w14:paraId="33F764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10,008,886.73</w:t>
            </w:r>
          </w:p>
        </w:tc>
        <w:tc>
          <w:tcPr>
            <w:tcW w:w="1928" w:type="dxa"/>
            <w:tcBorders>
              <w:top w:val="single" w:sz="2" w:space="0" w:color="auto"/>
              <w:left w:val="single" w:sz="2" w:space="0" w:color="auto"/>
              <w:bottom w:val="single" w:sz="2" w:space="0" w:color="auto"/>
              <w:right w:val="single" w:sz="2" w:space="0" w:color="auto"/>
            </w:tcBorders>
            <w:vAlign w:val="center"/>
          </w:tcPr>
          <w:p w14:paraId="34D9D0B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1,501,333.01</w:t>
            </w:r>
          </w:p>
        </w:tc>
        <w:tc>
          <w:tcPr>
            <w:tcW w:w="1928" w:type="dxa"/>
            <w:tcBorders>
              <w:top w:val="single" w:sz="2" w:space="0" w:color="auto"/>
              <w:left w:val="single" w:sz="2" w:space="0" w:color="auto"/>
              <w:bottom w:val="single" w:sz="2" w:space="0" w:color="auto"/>
              <w:right w:val="single" w:sz="2" w:space="0" w:color="auto"/>
            </w:tcBorders>
            <w:vAlign w:val="center"/>
          </w:tcPr>
          <w:p w14:paraId="2327CAC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10,008,886.73</w:t>
            </w:r>
          </w:p>
        </w:tc>
        <w:tc>
          <w:tcPr>
            <w:tcW w:w="1928" w:type="dxa"/>
            <w:tcBorders>
              <w:top w:val="single" w:sz="2" w:space="0" w:color="auto"/>
              <w:left w:val="single" w:sz="2" w:space="0" w:color="auto"/>
              <w:bottom w:val="single" w:sz="2" w:space="0" w:color="auto"/>
              <w:right w:val="single" w:sz="2" w:space="0" w:color="auto"/>
            </w:tcBorders>
            <w:vAlign w:val="center"/>
          </w:tcPr>
          <w:p w14:paraId="489A074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1,501,333.01</w:t>
            </w:r>
          </w:p>
        </w:tc>
      </w:tr>
      <w:tr w:rsidR="00F73301" w:rsidRPr="00F73301" w14:paraId="068087B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697CB71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Changes in fair value of other non-current financial assets</w:t>
            </w:r>
          </w:p>
        </w:tc>
        <w:tc>
          <w:tcPr>
            <w:tcW w:w="1928" w:type="dxa"/>
            <w:tcBorders>
              <w:top w:val="single" w:sz="2" w:space="0" w:color="auto"/>
              <w:left w:val="single" w:sz="2" w:space="0" w:color="auto"/>
              <w:bottom w:val="single" w:sz="2" w:space="0" w:color="auto"/>
              <w:right w:val="single" w:sz="2" w:space="0" w:color="auto"/>
            </w:tcBorders>
            <w:vAlign w:val="center"/>
          </w:tcPr>
          <w:p w14:paraId="708A0A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16,428,344.94</w:t>
            </w:r>
          </w:p>
        </w:tc>
        <w:tc>
          <w:tcPr>
            <w:tcW w:w="1928" w:type="dxa"/>
            <w:tcBorders>
              <w:top w:val="single" w:sz="2" w:space="0" w:color="auto"/>
              <w:left w:val="single" w:sz="2" w:space="0" w:color="auto"/>
              <w:bottom w:val="single" w:sz="2" w:space="0" w:color="auto"/>
              <w:right w:val="single" w:sz="2" w:space="0" w:color="auto"/>
            </w:tcBorders>
            <w:vAlign w:val="center"/>
          </w:tcPr>
          <w:p w14:paraId="7AD34C0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2,464,251.74</w:t>
            </w:r>
          </w:p>
        </w:tc>
        <w:tc>
          <w:tcPr>
            <w:tcW w:w="1928" w:type="dxa"/>
            <w:tcBorders>
              <w:top w:val="single" w:sz="2" w:space="0" w:color="auto"/>
              <w:left w:val="single" w:sz="2" w:space="0" w:color="auto"/>
              <w:bottom w:val="single" w:sz="2" w:space="0" w:color="auto"/>
              <w:right w:val="single" w:sz="2" w:space="0" w:color="auto"/>
            </w:tcBorders>
            <w:vAlign w:val="center"/>
          </w:tcPr>
          <w:p w14:paraId="17182EC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32,008,578.29</w:t>
            </w:r>
          </w:p>
        </w:tc>
        <w:tc>
          <w:tcPr>
            <w:tcW w:w="1928" w:type="dxa"/>
            <w:tcBorders>
              <w:top w:val="single" w:sz="2" w:space="0" w:color="auto"/>
              <w:left w:val="single" w:sz="2" w:space="0" w:color="auto"/>
              <w:bottom w:val="single" w:sz="2" w:space="0" w:color="auto"/>
              <w:right w:val="single" w:sz="2" w:space="0" w:color="auto"/>
            </w:tcBorders>
            <w:vAlign w:val="center"/>
          </w:tcPr>
          <w:p w14:paraId="15C6CBA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4,801,286.74</w:t>
            </w:r>
          </w:p>
        </w:tc>
      </w:tr>
      <w:tr w:rsidR="00F73301" w:rsidRPr="00F73301" w14:paraId="6A9F5A9A"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0BE31F1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Extra deduction of depreciation of fixed </w:t>
            </w:r>
            <w:r w:rsidRPr="00F73301">
              <w:rPr>
                <w:rFonts w:ascii="Times New Roman" w:eastAsia="宋体" w:hAnsi="Times New Roman" w:cs="Times New Roman"/>
                <w:sz w:val="18"/>
                <w:szCs w:val="18"/>
              </w:rPr>
              <w:lastRenderedPageBreak/>
              <w:t>assets</w:t>
            </w:r>
          </w:p>
        </w:tc>
        <w:tc>
          <w:tcPr>
            <w:tcW w:w="1928" w:type="dxa"/>
            <w:tcBorders>
              <w:top w:val="single" w:sz="2" w:space="0" w:color="auto"/>
              <w:left w:val="single" w:sz="2" w:space="0" w:color="auto"/>
              <w:bottom w:val="single" w:sz="2" w:space="0" w:color="auto"/>
              <w:right w:val="single" w:sz="2" w:space="0" w:color="auto"/>
            </w:tcBorders>
            <w:vAlign w:val="center"/>
          </w:tcPr>
          <w:p w14:paraId="232D9F1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1,340,163,377.08</w:t>
            </w:r>
          </w:p>
        </w:tc>
        <w:tc>
          <w:tcPr>
            <w:tcW w:w="1928" w:type="dxa"/>
            <w:tcBorders>
              <w:top w:val="single" w:sz="2" w:space="0" w:color="auto"/>
              <w:left w:val="single" w:sz="2" w:space="0" w:color="auto"/>
              <w:bottom w:val="single" w:sz="2" w:space="0" w:color="auto"/>
              <w:right w:val="single" w:sz="2" w:space="0" w:color="auto"/>
            </w:tcBorders>
            <w:vAlign w:val="center"/>
          </w:tcPr>
          <w:p w14:paraId="283DCD8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201,024,506.55</w:t>
            </w:r>
          </w:p>
        </w:tc>
        <w:tc>
          <w:tcPr>
            <w:tcW w:w="1928" w:type="dxa"/>
            <w:tcBorders>
              <w:top w:val="single" w:sz="2" w:space="0" w:color="auto"/>
              <w:left w:val="single" w:sz="2" w:space="0" w:color="auto"/>
              <w:bottom w:val="single" w:sz="2" w:space="0" w:color="auto"/>
              <w:right w:val="single" w:sz="2" w:space="0" w:color="auto"/>
            </w:tcBorders>
            <w:vAlign w:val="center"/>
          </w:tcPr>
          <w:p w14:paraId="6601FA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1,160,231,375.19</w:t>
            </w:r>
          </w:p>
        </w:tc>
        <w:tc>
          <w:tcPr>
            <w:tcW w:w="1928" w:type="dxa"/>
            <w:tcBorders>
              <w:top w:val="single" w:sz="2" w:space="0" w:color="auto"/>
              <w:left w:val="single" w:sz="2" w:space="0" w:color="auto"/>
              <w:bottom w:val="single" w:sz="2" w:space="0" w:color="auto"/>
              <w:right w:val="single" w:sz="2" w:space="0" w:color="auto"/>
            </w:tcBorders>
            <w:vAlign w:val="center"/>
          </w:tcPr>
          <w:p w14:paraId="74EE076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174,034,706.28</w:t>
            </w:r>
          </w:p>
        </w:tc>
      </w:tr>
      <w:tr w:rsidR="00F73301" w:rsidRPr="00F73301" w14:paraId="1303D80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7E63B1C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 achieved by MCC Hong Kong</w:t>
            </w:r>
          </w:p>
        </w:tc>
        <w:tc>
          <w:tcPr>
            <w:tcW w:w="1928" w:type="dxa"/>
            <w:tcBorders>
              <w:top w:val="single" w:sz="2" w:space="0" w:color="auto"/>
              <w:left w:val="single" w:sz="2" w:space="0" w:color="auto"/>
              <w:bottom w:val="single" w:sz="2" w:space="0" w:color="auto"/>
              <w:right w:val="single" w:sz="2" w:space="0" w:color="auto"/>
            </w:tcBorders>
            <w:vAlign w:val="center"/>
          </w:tcPr>
          <w:p w14:paraId="51A794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387,892,932.81</w:t>
            </w:r>
          </w:p>
        </w:tc>
        <w:tc>
          <w:tcPr>
            <w:tcW w:w="1928" w:type="dxa"/>
            <w:tcBorders>
              <w:top w:val="single" w:sz="2" w:space="0" w:color="auto"/>
              <w:left w:val="single" w:sz="2" w:space="0" w:color="auto"/>
              <w:bottom w:val="single" w:sz="2" w:space="0" w:color="auto"/>
              <w:right w:val="single" w:sz="2" w:space="0" w:color="auto"/>
            </w:tcBorders>
            <w:vAlign w:val="center"/>
          </w:tcPr>
          <w:p w14:paraId="24FEAC9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58,183,939.92</w:t>
            </w:r>
          </w:p>
        </w:tc>
        <w:tc>
          <w:tcPr>
            <w:tcW w:w="1928" w:type="dxa"/>
            <w:tcBorders>
              <w:top w:val="single" w:sz="2" w:space="0" w:color="auto"/>
              <w:left w:val="single" w:sz="2" w:space="0" w:color="auto"/>
              <w:bottom w:val="single" w:sz="2" w:space="0" w:color="auto"/>
              <w:right w:val="single" w:sz="2" w:space="0" w:color="auto"/>
            </w:tcBorders>
            <w:vAlign w:val="center"/>
          </w:tcPr>
          <w:p w14:paraId="593052E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333,549,192.73</w:t>
            </w:r>
          </w:p>
        </w:tc>
        <w:tc>
          <w:tcPr>
            <w:tcW w:w="1928" w:type="dxa"/>
            <w:tcBorders>
              <w:top w:val="single" w:sz="2" w:space="0" w:color="auto"/>
              <w:left w:val="single" w:sz="2" w:space="0" w:color="auto"/>
              <w:bottom w:val="single" w:sz="2" w:space="0" w:color="auto"/>
              <w:right w:val="single" w:sz="2" w:space="0" w:color="auto"/>
            </w:tcBorders>
            <w:vAlign w:val="center"/>
          </w:tcPr>
          <w:p w14:paraId="2DEA5D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50,032,378.91</w:t>
            </w:r>
          </w:p>
        </w:tc>
      </w:tr>
      <w:tr w:rsidR="00F73301" w:rsidRPr="00F73301" w14:paraId="6438856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83C6A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7B69F34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1,754,493,541.56</w:t>
            </w:r>
          </w:p>
        </w:tc>
        <w:tc>
          <w:tcPr>
            <w:tcW w:w="1928" w:type="dxa"/>
            <w:tcBorders>
              <w:top w:val="single" w:sz="2" w:space="0" w:color="auto"/>
              <w:left w:val="single" w:sz="2" w:space="0" w:color="auto"/>
              <w:bottom w:val="single" w:sz="2" w:space="0" w:color="auto"/>
              <w:right w:val="single" w:sz="2" w:space="0" w:color="auto"/>
            </w:tcBorders>
            <w:vAlign w:val="center"/>
          </w:tcPr>
          <w:p w14:paraId="2AA5C9A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263,174,031.22</w:t>
            </w:r>
          </w:p>
        </w:tc>
        <w:tc>
          <w:tcPr>
            <w:tcW w:w="1928" w:type="dxa"/>
            <w:tcBorders>
              <w:top w:val="single" w:sz="2" w:space="0" w:color="auto"/>
              <w:left w:val="single" w:sz="2" w:space="0" w:color="auto"/>
              <w:bottom w:val="single" w:sz="2" w:space="0" w:color="auto"/>
              <w:right w:val="single" w:sz="2" w:space="0" w:color="auto"/>
            </w:tcBorders>
            <w:vAlign w:val="center"/>
          </w:tcPr>
          <w:p w14:paraId="3534BD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1,535,798,032.94</w:t>
            </w:r>
          </w:p>
        </w:tc>
        <w:tc>
          <w:tcPr>
            <w:tcW w:w="1928" w:type="dxa"/>
            <w:tcBorders>
              <w:top w:val="single" w:sz="2" w:space="0" w:color="auto"/>
              <w:left w:val="single" w:sz="2" w:space="0" w:color="auto"/>
              <w:bottom w:val="single" w:sz="2" w:space="0" w:color="auto"/>
              <w:right w:val="single" w:sz="2" w:space="0" w:color="auto"/>
            </w:tcBorders>
            <w:vAlign w:val="center"/>
          </w:tcPr>
          <w:p w14:paraId="4363BC3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230,369,704.94</w:t>
            </w:r>
          </w:p>
        </w:tc>
      </w:tr>
    </w:tbl>
    <w:p w14:paraId="67620705"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20" w:name="_Toc989108"/>
      <w:r w:rsidRPr="00F73301">
        <w:rPr>
          <w:rFonts w:ascii="Times New Roman" w:eastAsia="宋体" w:hAnsi="Times New Roman" w:cs="Times New Roman"/>
          <w:b/>
          <w:bCs/>
          <w:sz w:val="24"/>
          <w:szCs w:val="24"/>
        </w:rPr>
        <w:t>(3) Deferred tax assets or liabilities had been off-set presented in net amount</w:t>
      </w:r>
      <w:bookmarkEnd w:id="220"/>
    </w:p>
    <w:p w14:paraId="36B445C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4E51C0C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E5998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F40307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deferred tax assets offset by deferred tax liabilities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8FAC8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of deferred tax assets or deferred tax liabilities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D9ACF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deferred tax assets offset by deferred tax liabilities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CCC94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 of deferred tax assets/liabilities after offset</w:t>
            </w:r>
          </w:p>
        </w:tc>
      </w:tr>
      <w:tr w:rsidR="00F73301" w:rsidRPr="00F73301" w14:paraId="75C4046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15E011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assets</w:t>
            </w:r>
          </w:p>
        </w:tc>
        <w:tc>
          <w:tcPr>
            <w:tcW w:w="1928" w:type="dxa"/>
            <w:tcBorders>
              <w:top w:val="single" w:sz="2" w:space="0" w:color="auto"/>
              <w:left w:val="single" w:sz="2" w:space="0" w:color="auto"/>
              <w:bottom w:val="single" w:sz="2" w:space="0" w:color="auto"/>
              <w:right w:val="single" w:sz="2" w:space="0" w:color="auto"/>
            </w:tcBorders>
            <w:vAlign w:val="center"/>
          </w:tcPr>
          <w:p w14:paraId="7E5CA4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40,233,021.25</w:t>
            </w:r>
          </w:p>
        </w:tc>
        <w:tc>
          <w:tcPr>
            <w:tcW w:w="1928" w:type="dxa"/>
            <w:tcBorders>
              <w:top w:val="single" w:sz="2" w:space="0" w:color="auto"/>
              <w:left w:val="single" w:sz="2" w:space="0" w:color="auto"/>
              <w:bottom w:val="single" w:sz="2" w:space="0" w:color="auto"/>
              <w:right w:val="single" w:sz="2" w:space="0" w:color="auto"/>
            </w:tcBorders>
            <w:vAlign w:val="center"/>
          </w:tcPr>
          <w:p w14:paraId="432FDC3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6,607,162.86</w:t>
            </w:r>
          </w:p>
        </w:tc>
        <w:tc>
          <w:tcPr>
            <w:tcW w:w="1928" w:type="dxa"/>
            <w:tcBorders>
              <w:top w:val="single" w:sz="2" w:space="0" w:color="auto"/>
              <w:left w:val="single" w:sz="2" w:space="0" w:color="auto"/>
              <w:bottom w:val="single" w:sz="2" w:space="0" w:color="auto"/>
              <w:right w:val="single" w:sz="2" w:space="0" w:color="auto"/>
            </w:tcBorders>
            <w:vAlign w:val="center"/>
          </w:tcPr>
          <w:p w14:paraId="1E1FBB7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33,620,236.37</w:t>
            </w:r>
          </w:p>
        </w:tc>
        <w:tc>
          <w:tcPr>
            <w:tcW w:w="1928" w:type="dxa"/>
            <w:tcBorders>
              <w:top w:val="single" w:sz="2" w:space="0" w:color="auto"/>
              <w:left w:val="single" w:sz="2" w:space="0" w:color="auto"/>
              <w:bottom w:val="single" w:sz="2" w:space="0" w:color="auto"/>
              <w:right w:val="single" w:sz="2" w:space="0" w:color="auto"/>
            </w:tcBorders>
            <w:vAlign w:val="center"/>
          </w:tcPr>
          <w:p w14:paraId="42669DE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8,669,141.34</w:t>
            </w:r>
          </w:p>
        </w:tc>
      </w:tr>
      <w:tr w:rsidR="00F73301" w:rsidRPr="00F73301" w14:paraId="4770F97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E8BAD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liabilities</w:t>
            </w:r>
          </w:p>
        </w:tc>
        <w:tc>
          <w:tcPr>
            <w:tcW w:w="1928" w:type="dxa"/>
            <w:tcBorders>
              <w:top w:val="single" w:sz="2" w:space="0" w:color="auto"/>
              <w:left w:val="single" w:sz="2" w:space="0" w:color="auto"/>
              <w:bottom w:val="single" w:sz="2" w:space="0" w:color="auto"/>
              <w:right w:val="single" w:sz="2" w:space="0" w:color="auto"/>
            </w:tcBorders>
            <w:vAlign w:val="center"/>
          </w:tcPr>
          <w:p w14:paraId="2A543CD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40,233,021.25</w:t>
            </w:r>
          </w:p>
        </w:tc>
        <w:tc>
          <w:tcPr>
            <w:tcW w:w="1928" w:type="dxa"/>
            <w:tcBorders>
              <w:top w:val="single" w:sz="2" w:space="0" w:color="auto"/>
              <w:left w:val="single" w:sz="2" w:space="0" w:color="auto"/>
              <w:bottom w:val="single" w:sz="2" w:space="0" w:color="auto"/>
              <w:right w:val="single" w:sz="2" w:space="0" w:color="auto"/>
            </w:tcBorders>
            <w:vAlign w:val="center"/>
          </w:tcPr>
          <w:p w14:paraId="7CAEFE9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222,941,009.97</w:t>
            </w:r>
          </w:p>
        </w:tc>
        <w:tc>
          <w:tcPr>
            <w:tcW w:w="1928" w:type="dxa"/>
            <w:tcBorders>
              <w:top w:val="single" w:sz="2" w:space="0" w:color="auto"/>
              <w:left w:val="single" w:sz="2" w:space="0" w:color="auto"/>
              <w:bottom w:val="single" w:sz="2" w:space="0" w:color="auto"/>
              <w:right w:val="single" w:sz="2" w:space="0" w:color="auto"/>
            </w:tcBorders>
            <w:vAlign w:val="center"/>
          </w:tcPr>
          <w:p w14:paraId="606AA6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33,620,236.37</w:t>
            </w:r>
          </w:p>
        </w:tc>
        <w:tc>
          <w:tcPr>
            <w:tcW w:w="1928" w:type="dxa"/>
            <w:tcBorders>
              <w:top w:val="single" w:sz="2" w:space="0" w:color="auto"/>
              <w:left w:val="single" w:sz="2" w:space="0" w:color="auto"/>
              <w:bottom w:val="single" w:sz="2" w:space="0" w:color="auto"/>
              <w:right w:val="single" w:sz="2" w:space="0" w:color="auto"/>
            </w:tcBorders>
            <w:vAlign w:val="center"/>
          </w:tcPr>
          <w:p w14:paraId="7676D25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196,749,468.57</w:t>
            </w:r>
          </w:p>
        </w:tc>
      </w:tr>
    </w:tbl>
    <w:p w14:paraId="541F8015"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21" w:name="_Toc989109"/>
      <w:r w:rsidRPr="00F73301">
        <w:rPr>
          <w:rFonts w:ascii="Times New Roman" w:eastAsia="宋体" w:hAnsi="Times New Roman" w:cs="Times New Roman"/>
          <w:b/>
          <w:bCs/>
          <w:sz w:val="24"/>
          <w:szCs w:val="24"/>
        </w:rPr>
        <w:t>(4) List of unrecognized deferred tax assets</w:t>
      </w:r>
      <w:bookmarkEnd w:id="221"/>
    </w:p>
    <w:p w14:paraId="5781796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7D7282C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1B1AB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DDB8F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0D188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4BA2E32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0FEBA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Deductible temporary difference</w:t>
            </w:r>
          </w:p>
        </w:tc>
        <w:tc>
          <w:tcPr>
            <w:tcW w:w="3213" w:type="dxa"/>
            <w:tcBorders>
              <w:top w:val="single" w:sz="2" w:space="0" w:color="auto"/>
              <w:left w:val="single" w:sz="2" w:space="0" w:color="auto"/>
              <w:bottom w:val="single" w:sz="2" w:space="0" w:color="auto"/>
              <w:right w:val="single" w:sz="2" w:space="0" w:color="auto"/>
            </w:tcBorders>
            <w:vAlign w:val="center"/>
          </w:tcPr>
          <w:p w14:paraId="56D12E8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20,728,332.12</w:t>
            </w:r>
          </w:p>
        </w:tc>
        <w:tc>
          <w:tcPr>
            <w:tcW w:w="3213" w:type="dxa"/>
            <w:tcBorders>
              <w:top w:val="single" w:sz="2" w:space="0" w:color="auto"/>
              <w:left w:val="single" w:sz="2" w:space="0" w:color="auto"/>
              <w:bottom w:val="single" w:sz="2" w:space="0" w:color="auto"/>
              <w:right w:val="single" w:sz="2" w:space="0" w:color="auto"/>
            </w:tcBorders>
            <w:vAlign w:val="center"/>
          </w:tcPr>
          <w:p w14:paraId="31F2D35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21,863,719.13</w:t>
            </w:r>
          </w:p>
        </w:tc>
      </w:tr>
      <w:tr w:rsidR="00F73301" w:rsidRPr="00F73301" w14:paraId="24DF48A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F16FF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Deductible losses</w:t>
            </w:r>
          </w:p>
        </w:tc>
        <w:tc>
          <w:tcPr>
            <w:tcW w:w="3213" w:type="dxa"/>
            <w:tcBorders>
              <w:top w:val="single" w:sz="2" w:space="0" w:color="auto"/>
              <w:left w:val="single" w:sz="2" w:space="0" w:color="auto"/>
              <w:bottom w:val="single" w:sz="2" w:space="0" w:color="auto"/>
              <w:right w:val="single" w:sz="2" w:space="0" w:color="auto"/>
            </w:tcBorders>
            <w:vAlign w:val="center"/>
          </w:tcPr>
          <w:p w14:paraId="436128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75,058,975.69</w:t>
            </w:r>
          </w:p>
        </w:tc>
        <w:tc>
          <w:tcPr>
            <w:tcW w:w="3213" w:type="dxa"/>
            <w:tcBorders>
              <w:top w:val="single" w:sz="2" w:space="0" w:color="auto"/>
              <w:left w:val="single" w:sz="2" w:space="0" w:color="auto"/>
              <w:bottom w:val="single" w:sz="2" w:space="0" w:color="auto"/>
              <w:right w:val="single" w:sz="2" w:space="0" w:color="auto"/>
            </w:tcBorders>
            <w:vAlign w:val="center"/>
          </w:tcPr>
          <w:p w14:paraId="016BEFE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64,101,245.52</w:t>
            </w:r>
          </w:p>
        </w:tc>
      </w:tr>
      <w:tr w:rsidR="00F73301" w:rsidRPr="00F73301" w14:paraId="609554F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F349C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2461EF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95,787,307.81</w:t>
            </w:r>
          </w:p>
        </w:tc>
        <w:tc>
          <w:tcPr>
            <w:tcW w:w="3213" w:type="dxa"/>
            <w:tcBorders>
              <w:top w:val="single" w:sz="2" w:space="0" w:color="auto"/>
              <w:left w:val="single" w:sz="2" w:space="0" w:color="auto"/>
              <w:bottom w:val="single" w:sz="2" w:space="0" w:color="auto"/>
              <w:right w:val="single" w:sz="2" w:space="0" w:color="auto"/>
            </w:tcBorders>
            <w:vAlign w:val="center"/>
          </w:tcPr>
          <w:p w14:paraId="5C37B7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85,964,964.65</w:t>
            </w:r>
          </w:p>
        </w:tc>
      </w:tr>
    </w:tbl>
    <w:p w14:paraId="5BE96863"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22" w:name="_Toc989110"/>
      <w:r w:rsidRPr="00F73301">
        <w:rPr>
          <w:rFonts w:ascii="Times New Roman" w:eastAsia="宋体" w:hAnsi="Times New Roman" w:cs="Times New Roman"/>
          <w:b/>
          <w:bCs/>
          <w:sz w:val="24"/>
          <w:szCs w:val="24"/>
        </w:rPr>
        <w:t>(5) Deductible losses of unrecognized deferred tax assets to be due in the following years</w:t>
      </w:r>
      <w:bookmarkEnd w:id="222"/>
    </w:p>
    <w:p w14:paraId="245683F2"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0E1E7D9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10968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Year</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56CB5E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amount</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8B437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amount</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7A849A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Remarks</w:t>
            </w:r>
          </w:p>
        </w:tc>
      </w:tr>
      <w:tr w:rsidR="00F73301" w:rsidRPr="00F73301" w14:paraId="0AA14B54"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42C3B4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2023</w:t>
            </w:r>
          </w:p>
        </w:tc>
        <w:tc>
          <w:tcPr>
            <w:tcW w:w="2410" w:type="dxa"/>
            <w:tcBorders>
              <w:top w:val="single" w:sz="2" w:space="0" w:color="auto"/>
              <w:left w:val="single" w:sz="2" w:space="0" w:color="auto"/>
              <w:bottom w:val="single" w:sz="2" w:space="0" w:color="auto"/>
              <w:right w:val="single" w:sz="2" w:space="0" w:color="auto"/>
            </w:tcBorders>
            <w:vAlign w:val="center"/>
          </w:tcPr>
          <w:p w14:paraId="68EC00D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1,624,036.53</w:t>
            </w:r>
          </w:p>
        </w:tc>
        <w:tc>
          <w:tcPr>
            <w:tcW w:w="2410" w:type="dxa"/>
            <w:tcBorders>
              <w:top w:val="single" w:sz="2" w:space="0" w:color="auto"/>
              <w:left w:val="single" w:sz="2" w:space="0" w:color="auto"/>
              <w:bottom w:val="single" w:sz="2" w:space="0" w:color="auto"/>
              <w:right w:val="single" w:sz="2" w:space="0" w:color="auto"/>
            </w:tcBorders>
            <w:vAlign w:val="center"/>
          </w:tcPr>
          <w:p w14:paraId="40E958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1,624,036.53</w:t>
            </w:r>
          </w:p>
        </w:tc>
        <w:tc>
          <w:tcPr>
            <w:tcW w:w="2410" w:type="dxa"/>
            <w:tcBorders>
              <w:top w:val="single" w:sz="2" w:space="0" w:color="auto"/>
              <w:left w:val="single" w:sz="2" w:space="0" w:color="auto"/>
              <w:bottom w:val="single" w:sz="2" w:space="0" w:color="auto"/>
              <w:right w:val="single" w:sz="2" w:space="0" w:color="auto"/>
            </w:tcBorders>
            <w:vAlign w:val="center"/>
          </w:tcPr>
          <w:p w14:paraId="52EA8947"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5C07EE2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8D3838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2024</w:t>
            </w:r>
          </w:p>
        </w:tc>
        <w:tc>
          <w:tcPr>
            <w:tcW w:w="2410" w:type="dxa"/>
            <w:tcBorders>
              <w:top w:val="single" w:sz="2" w:space="0" w:color="auto"/>
              <w:left w:val="single" w:sz="2" w:space="0" w:color="auto"/>
              <w:bottom w:val="single" w:sz="2" w:space="0" w:color="auto"/>
              <w:right w:val="single" w:sz="2" w:space="0" w:color="auto"/>
            </w:tcBorders>
            <w:vAlign w:val="center"/>
          </w:tcPr>
          <w:p w14:paraId="156973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446,993.41</w:t>
            </w:r>
          </w:p>
        </w:tc>
        <w:tc>
          <w:tcPr>
            <w:tcW w:w="2410" w:type="dxa"/>
            <w:tcBorders>
              <w:top w:val="single" w:sz="2" w:space="0" w:color="auto"/>
              <w:left w:val="single" w:sz="2" w:space="0" w:color="auto"/>
              <w:bottom w:val="single" w:sz="2" w:space="0" w:color="auto"/>
              <w:right w:val="single" w:sz="2" w:space="0" w:color="auto"/>
            </w:tcBorders>
            <w:vAlign w:val="center"/>
          </w:tcPr>
          <w:p w14:paraId="097C70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446,993.41</w:t>
            </w:r>
          </w:p>
        </w:tc>
        <w:tc>
          <w:tcPr>
            <w:tcW w:w="2410" w:type="dxa"/>
            <w:tcBorders>
              <w:top w:val="single" w:sz="2" w:space="0" w:color="auto"/>
              <w:left w:val="single" w:sz="2" w:space="0" w:color="auto"/>
              <w:bottom w:val="single" w:sz="2" w:space="0" w:color="auto"/>
              <w:right w:val="single" w:sz="2" w:space="0" w:color="auto"/>
            </w:tcBorders>
            <w:vAlign w:val="center"/>
          </w:tcPr>
          <w:p w14:paraId="05EC79C3"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6C7BB9FE"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37473BF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2025</w:t>
            </w:r>
          </w:p>
        </w:tc>
        <w:tc>
          <w:tcPr>
            <w:tcW w:w="2410" w:type="dxa"/>
            <w:tcBorders>
              <w:top w:val="single" w:sz="2" w:space="0" w:color="auto"/>
              <w:left w:val="single" w:sz="2" w:space="0" w:color="auto"/>
              <w:bottom w:val="single" w:sz="2" w:space="0" w:color="auto"/>
              <w:right w:val="single" w:sz="2" w:space="0" w:color="auto"/>
            </w:tcBorders>
            <w:vAlign w:val="center"/>
          </w:tcPr>
          <w:p w14:paraId="42D4FDC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185,436.86</w:t>
            </w:r>
          </w:p>
        </w:tc>
        <w:tc>
          <w:tcPr>
            <w:tcW w:w="2410" w:type="dxa"/>
            <w:tcBorders>
              <w:top w:val="single" w:sz="2" w:space="0" w:color="auto"/>
              <w:left w:val="single" w:sz="2" w:space="0" w:color="auto"/>
              <w:bottom w:val="single" w:sz="2" w:space="0" w:color="auto"/>
              <w:right w:val="single" w:sz="2" w:space="0" w:color="auto"/>
            </w:tcBorders>
            <w:vAlign w:val="center"/>
          </w:tcPr>
          <w:p w14:paraId="00187C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185,436.86</w:t>
            </w:r>
          </w:p>
        </w:tc>
        <w:tc>
          <w:tcPr>
            <w:tcW w:w="2410" w:type="dxa"/>
            <w:tcBorders>
              <w:top w:val="single" w:sz="2" w:space="0" w:color="auto"/>
              <w:left w:val="single" w:sz="2" w:space="0" w:color="auto"/>
              <w:bottom w:val="single" w:sz="2" w:space="0" w:color="auto"/>
              <w:right w:val="single" w:sz="2" w:space="0" w:color="auto"/>
            </w:tcBorders>
            <w:vAlign w:val="center"/>
          </w:tcPr>
          <w:p w14:paraId="467AB4ED"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3214C9AC"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19B413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2026</w:t>
            </w:r>
          </w:p>
        </w:tc>
        <w:tc>
          <w:tcPr>
            <w:tcW w:w="2410" w:type="dxa"/>
            <w:tcBorders>
              <w:top w:val="single" w:sz="2" w:space="0" w:color="auto"/>
              <w:left w:val="single" w:sz="2" w:space="0" w:color="auto"/>
              <w:bottom w:val="single" w:sz="2" w:space="0" w:color="auto"/>
              <w:right w:val="single" w:sz="2" w:space="0" w:color="auto"/>
            </w:tcBorders>
            <w:vAlign w:val="center"/>
          </w:tcPr>
          <w:p w14:paraId="1C21528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2,160,595.67</w:t>
            </w:r>
          </w:p>
        </w:tc>
        <w:tc>
          <w:tcPr>
            <w:tcW w:w="2410" w:type="dxa"/>
            <w:tcBorders>
              <w:top w:val="single" w:sz="2" w:space="0" w:color="auto"/>
              <w:left w:val="single" w:sz="2" w:space="0" w:color="auto"/>
              <w:bottom w:val="single" w:sz="2" w:space="0" w:color="auto"/>
              <w:right w:val="single" w:sz="2" w:space="0" w:color="auto"/>
            </w:tcBorders>
            <w:vAlign w:val="center"/>
          </w:tcPr>
          <w:p w14:paraId="456757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2,160,595.67</w:t>
            </w:r>
          </w:p>
        </w:tc>
        <w:tc>
          <w:tcPr>
            <w:tcW w:w="2410" w:type="dxa"/>
            <w:tcBorders>
              <w:top w:val="single" w:sz="2" w:space="0" w:color="auto"/>
              <w:left w:val="single" w:sz="2" w:space="0" w:color="auto"/>
              <w:bottom w:val="single" w:sz="2" w:space="0" w:color="auto"/>
              <w:right w:val="single" w:sz="2" w:space="0" w:color="auto"/>
            </w:tcBorders>
            <w:vAlign w:val="center"/>
          </w:tcPr>
          <w:p w14:paraId="2899DF35"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7EB6F5BD"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289A80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2027</w:t>
            </w:r>
          </w:p>
        </w:tc>
        <w:tc>
          <w:tcPr>
            <w:tcW w:w="2410" w:type="dxa"/>
            <w:tcBorders>
              <w:top w:val="single" w:sz="2" w:space="0" w:color="auto"/>
              <w:left w:val="single" w:sz="2" w:space="0" w:color="auto"/>
              <w:bottom w:val="single" w:sz="2" w:space="0" w:color="auto"/>
              <w:right w:val="single" w:sz="2" w:space="0" w:color="auto"/>
            </w:tcBorders>
            <w:vAlign w:val="center"/>
          </w:tcPr>
          <w:p w14:paraId="55FFAE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59,684,183.05</w:t>
            </w:r>
          </w:p>
        </w:tc>
        <w:tc>
          <w:tcPr>
            <w:tcW w:w="2410" w:type="dxa"/>
            <w:tcBorders>
              <w:top w:val="single" w:sz="2" w:space="0" w:color="auto"/>
              <w:left w:val="single" w:sz="2" w:space="0" w:color="auto"/>
              <w:bottom w:val="single" w:sz="2" w:space="0" w:color="auto"/>
              <w:right w:val="single" w:sz="2" w:space="0" w:color="auto"/>
            </w:tcBorders>
            <w:vAlign w:val="center"/>
          </w:tcPr>
          <w:p w14:paraId="4CC986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59,684,183.05</w:t>
            </w:r>
          </w:p>
        </w:tc>
        <w:tc>
          <w:tcPr>
            <w:tcW w:w="2410" w:type="dxa"/>
            <w:tcBorders>
              <w:top w:val="single" w:sz="2" w:space="0" w:color="auto"/>
              <w:left w:val="single" w:sz="2" w:space="0" w:color="auto"/>
              <w:bottom w:val="single" w:sz="2" w:space="0" w:color="auto"/>
              <w:right w:val="single" w:sz="2" w:space="0" w:color="auto"/>
            </w:tcBorders>
            <w:vAlign w:val="center"/>
          </w:tcPr>
          <w:p w14:paraId="6A2A9585"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2AD5778B"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4BFE5F7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2028</w:t>
            </w:r>
          </w:p>
        </w:tc>
        <w:tc>
          <w:tcPr>
            <w:tcW w:w="2410" w:type="dxa"/>
            <w:tcBorders>
              <w:top w:val="single" w:sz="2" w:space="0" w:color="auto"/>
              <w:left w:val="single" w:sz="2" w:space="0" w:color="auto"/>
              <w:bottom w:val="single" w:sz="2" w:space="0" w:color="auto"/>
              <w:right w:val="single" w:sz="2" w:space="0" w:color="auto"/>
            </w:tcBorders>
            <w:vAlign w:val="center"/>
          </w:tcPr>
          <w:p w14:paraId="78A1A3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10,957,730.17</w:t>
            </w:r>
          </w:p>
        </w:tc>
        <w:tc>
          <w:tcPr>
            <w:tcW w:w="2410" w:type="dxa"/>
            <w:tcBorders>
              <w:top w:val="single" w:sz="2" w:space="0" w:color="auto"/>
              <w:left w:val="single" w:sz="2" w:space="0" w:color="auto"/>
              <w:bottom w:val="single" w:sz="2" w:space="0" w:color="auto"/>
              <w:right w:val="single" w:sz="2" w:space="0" w:color="auto"/>
            </w:tcBorders>
            <w:vAlign w:val="center"/>
          </w:tcPr>
          <w:p w14:paraId="6BF96B2F"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A91EA46"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25B5DC16"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A57C97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2410" w:type="dxa"/>
            <w:tcBorders>
              <w:top w:val="single" w:sz="2" w:space="0" w:color="auto"/>
              <w:left w:val="single" w:sz="2" w:space="0" w:color="auto"/>
              <w:bottom w:val="single" w:sz="2" w:space="0" w:color="auto"/>
              <w:right w:val="single" w:sz="2" w:space="0" w:color="auto"/>
            </w:tcBorders>
            <w:vAlign w:val="center"/>
          </w:tcPr>
          <w:p w14:paraId="74D9B0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75,058,975.69</w:t>
            </w:r>
          </w:p>
        </w:tc>
        <w:tc>
          <w:tcPr>
            <w:tcW w:w="2410" w:type="dxa"/>
            <w:tcBorders>
              <w:top w:val="single" w:sz="2" w:space="0" w:color="auto"/>
              <w:left w:val="single" w:sz="2" w:space="0" w:color="auto"/>
              <w:bottom w:val="single" w:sz="2" w:space="0" w:color="auto"/>
              <w:right w:val="single" w:sz="2" w:space="0" w:color="auto"/>
            </w:tcBorders>
            <w:vAlign w:val="center"/>
          </w:tcPr>
          <w:p w14:paraId="5E6373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64,101,245.52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860D41B" w14:textId="77777777" w:rsidR="00F73301" w:rsidRPr="00F73301" w:rsidRDefault="00F73301" w:rsidP="008C49B7">
            <w:pPr>
              <w:snapToGrid w:val="0"/>
              <w:rPr>
                <w:rFonts w:ascii="Times New Roman" w:eastAsia="等线" w:hAnsi="Times New Roman" w:cs="Times New Roman"/>
                <w:sz w:val="18"/>
                <w:szCs w:val="18"/>
              </w:rPr>
            </w:pPr>
          </w:p>
        </w:tc>
      </w:tr>
    </w:tbl>
    <w:p w14:paraId="4CC90E62"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5839B000"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821C724"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23" w:name="_Toc989111"/>
      <w:r w:rsidRPr="00F73301">
        <w:rPr>
          <w:rFonts w:ascii="Times New Roman" w:eastAsia="宋体" w:hAnsi="Times New Roman" w:cs="Times New Roman"/>
          <w:b/>
          <w:bCs/>
          <w:sz w:val="24"/>
          <w:szCs w:val="24"/>
        </w:rPr>
        <w:t>19. Other non-current assets</w:t>
      </w:r>
      <w:bookmarkEnd w:id="223"/>
    </w:p>
    <w:p w14:paraId="02E1937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4110C4B7"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E1DD9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DFFDD8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BE165F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529807D1"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576531"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D1D1E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66F7C1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F8560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08EB9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042B74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7EEEB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r>
      <w:tr w:rsidR="00F73301" w:rsidRPr="00F73301" w14:paraId="6351F506"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2D70BF0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Capacity deposit</w:t>
            </w:r>
          </w:p>
        </w:tc>
        <w:tc>
          <w:tcPr>
            <w:tcW w:w="1377" w:type="dxa"/>
            <w:tcBorders>
              <w:top w:val="single" w:sz="2" w:space="0" w:color="auto"/>
              <w:left w:val="single" w:sz="2" w:space="0" w:color="auto"/>
              <w:bottom w:val="single" w:sz="2" w:space="0" w:color="auto"/>
              <w:right w:val="single" w:sz="2" w:space="0" w:color="auto"/>
            </w:tcBorders>
            <w:vAlign w:val="center"/>
          </w:tcPr>
          <w:p w14:paraId="595C80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354,050,938.00</w:t>
            </w:r>
          </w:p>
        </w:tc>
        <w:tc>
          <w:tcPr>
            <w:tcW w:w="1377" w:type="dxa"/>
            <w:tcBorders>
              <w:top w:val="single" w:sz="2" w:space="0" w:color="auto"/>
              <w:left w:val="single" w:sz="2" w:space="0" w:color="auto"/>
              <w:bottom w:val="single" w:sz="2" w:space="0" w:color="auto"/>
              <w:right w:val="single" w:sz="2" w:space="0" w:color="auto"/>
            </w:tcBorders>
            <w:vAlign w:val="center"/>
          </w:tcPr>
          <w:p w14:paraId="4CC040B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8063B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354,050,938.00</w:t>
            </w:r>
          </w:p>
        </w:tc>
        <w:tc>
          <w:tcPr>
            <w:tcW w:w="1377" w:type="dxa"/>
            <w:tcBorders>
              <w:top w:val="single" w:sz="2" w:space="0" w:color="auto"/>
              <w:left w:val="single" w:sz="2" w:space="0" w:color="auto"/>
              <w:bottom w:val="single" w:sz="2" w:space="0" w:color="auto"/>
              <w:right w:val="single" w:sz="2" w:space="0" w:color="auto"/>
            </w:tcBorders>
            <w:vAlign w:val="center"/>
          </w:tcPr>
          <w:p w14:paraId="067EEB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319,316,563.00</w:t>
            </w:r>
          </w:p>
        </w:tc>
        <w:tc>
          <w:tcPr>
            <w:tcW w:w="1377" w:type="dxa"/>
            <w:tcBorders>
              <w:top w:val="single" w:sz="2" w:space="0" w:color="auto"/>
              <w:left w:val="single" w:sz="2" w:space="0" w:color="auto"/>
              <w:bottom w:val="single" w:sz="2" w:space="0" w:color="auto"/>
              <w:right w:val="single" w:sz="2" w:space="0" w:color="auto"/>
            </w:tcBorders>
            <w:vAlign w:val="center"/>
          </w:tcPr>
          <w:p w14:paraId="4E15D82A"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12B26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319,316,563.00</w:t>
            </w:r>
          </w:p>
        </w:tc>
      </w:tr>
      <w:tr w:rsidR="00F73301" w:rsidRPr="00F73301" w14:paraId="0004C35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5A31D37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Prepayment for engineering equipment</w:t>
            </w:r>
          </w:p>
        </w:tc>
        <w:tc>
          <w:tcPr>
            <w:tcW w:w="1377" w:type="dxa"/>
            <w:tcBorders>
              <w:top w:val="single" w:sz="2" w:space="0" w:color="auto"/>
              <w:left w:val="single" w:sz="2" w:space="0" w:color="auto"/>
              <w:bottom w:val="single" w:sz="2" w:space="0" w:color="auto"/>
              <w:right w:val="single" w:sz="2" w:space="0" w:color="auto"/>
            </w:tcBorders>
            <w:vAlign w:val="center"/>
          </w:tcPr>
          <w:p w14:paraId="4489CE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345,109,948.35</w:t>
            </w:r>
          </w:p>
        </w:tc>
        <w:tc>
          <w:tcPr>
            <w:tcW w:w="1377" w:type="dxa"/>
            <w:tcBorders>
              <w:top w:val="single" w:sz="2" w:space="0" w:color="auto"/>
              <w:left w:val="single" w:sz="2" w:space="0" w:color="auto"/>
              <w:bottom w:val="single" w:sz="2" w:space="0" w:color="auto"/>
              <w:right w:val="single" w:sz="2" w:space="0" w:color="auto"/>
            </w:tcBorders>
            <w:vAlign w:val="center"/>
          </w:tcPr>
          <w:p w14:paraId="75CA8BE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65FA9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345,109,948.35</w:t>
            </w:r>
          </w:p>
        </w:tc>
        <w:tc>
          <w:tcPr>
            <w:tcW w:w="1377" w:type="dxa"/>
            <w:tcBorders>
              <w:top w:val="single" w:sz="2" w:space="0" w:color="auto"/>
              <w:left w:val="single" w:sz="2" w:space="0" w:color="auto"/>
              <w:bottom w:val="single" w:sz="2" w:space="0" w:color="auto"/>
              <w:right w:val="single" w:sz="2" w:space="0" w:color="auto"/>
            </w:tcBorders>
            <w:vAlign w:val="center"/>
          </w:tcPr>
          <w:p w14:paraId="414ADBB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10,237,651.72</w:t>
            </w:r>
          </w:p>
        </w:tc>
        <w:tc>
          <w:tcPr>
            <w:tcW w:w="1377" w:type="dxa"/>
            <w:tcBorders>
              <w:top w:val="single" w:sz="2" w:space="0" w:color="auto"/>
              <w:left w:val="single" w:sz="2" w:space="0" w:color="auto"/>
              <w:bottom w:val="single" w:sz="2" w:space="0" w:color="auto"/>
              <w:right w:val="single" w:sz="2" w:space="0" w:color="auto"/>
            </w:tcBorders>
            <w:vAlign w:val="center"/>
          </w:tcPr>
          <w:p w14:paraId="6FDB5D6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9C4B6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10,237,651.72</w:t>
            </w:r>
          </w:p>
        </w:tc>
      </w:tr>
      <w:tr w:rsidR="00F73301" w:rsidRPr="00F73301" w14:paraId="31AE7B0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1C6F18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582C3A0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699,160,886.35</w:t>
            </w:r>
          </w:p>
        </w:tc>
        <w:tc>
          <w:tcPr>
            <w:tcW w:w="1377" w:type="dxa"/>
            <w:tcBorders>
              <w:top w:val="single" w:sz="2" w:space="0" w:color="auto"/>
              <w:left w:val="single" w:sz="2" w:space="0" w:color="auto"/>
              <w:bottom w:val="single" w:sz="2" w:space="0" w:color="auto"/>
              <w:right w:val="single" w:sz="2" w:space="0" w:color="auto"/>
            </w:tcBorders>
            <w:vAlign w:val="center"/>
          </w:tcPr>
          <w:p w14:paraId="33BB2DE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DBFC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699,160,886.35</w:t>
            </w:r>
          </w:p>
        </w:tc>
        <w:tc>
          <w:tcPr>
            <w:tcW w:w="1377" w:type="dxa"/>
            <w:tcBorders>
              <w:top w:val="single" w:sz="2" w:space="0" w:color="auto"/>
              <w:left w:val="single" w:sz="2" w:space="0" w:color="auto"/>
              <w:bottom w:val="single" w:sz="2" w:space="0" w:color="auto"/>
              <w:right w:val="single" w:sz="2" w:space="0" w:color="auto"/>
            </w:tcBorders>
            <w:vAlign w:val="center"/>
          </w:tcPr>
          <w:p w14:paraId="488341C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329,554,214.72</w:t>
            </w:r>
          </w:p>
        </w:tc>
        <w:tc>
          <w:tcPr>
            <w:tcW w:w="1377" w:type="dxa"/>
            <w:tcBorders>
              <w:top w:val="single" w:sz="2" w:space="0" w:color="auto"/>
              <w:left w:val="single" w:sz="2" w:space="0" w:color="auto"/>
              <w:bottom w:val="single" w:sz="2" w:space="0" w:color="auto"/>
              <w:right w:val="single" w:sz="2" w:space="0" w:color="auto"/>
            </w:tcBorders>
            <w:vAlign w:val="center"/>
          </w:tcPr>
          <w:p w14:paraId="6E7E564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C1322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329,554,214.72</w:t>
            </w:r>
          </w:p>
        </w:tc>
      </w:tr>
    </w:tbl>
    <w:p w14:paraId="0DB1B80C"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75EE604D"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54F14FCD"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24" w:name="_Toc989112"/>
      <w:r w:rsidRPr="00F73301">
        <w:rPr>
          <w:rFonts w:ascii="Times New Roman" w:eastAsia="宋体" w:hAnsi="Times New Roman" w:cs="Times New Roman"/>
          <w:b/>
          <w:bCs/>
          <w:sz w:val="24"/>
          <w:szCs w:val="24"/>
        </w:rPr>
        <w:t>20. Short-term borrowings</w:t>
      </w:r>
      <w:bookmarkEnd w:id="224"/>
    </w:p>
    <w:p w14:paraId="488F3F9E"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25" w:name="_Toc989113"/>
      <w:r w:rsidRPr="00F73301">
        <w:rPr>
          <w:rFonts w:ascii="Times New Roman" w:eastAsia="宋体" w:hAnsi="Times New Roman" w:cs="Times New Roman"/>
          <w:b/>
          <w:bCs/>
          <w:sz w:val="24"/>
          <w:szCs w:val="24"/>
        </w:rPr>
        <w:t>(1) Category of short-term borrowings</w:t>
      </w:r>
      <w:bookmarkEnd w:id="225"/>
    </w:p>
    <w:p w14:paraId="3A88699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EEA032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46990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6846C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6F24F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4E69F89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88C15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Pledged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336D36D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20,017,750.00</w:t>
            </w:r>
          </w:p>
        </w:tc>
        <w:tc>
          <w:tcPr>
            <w:tcW w:w="3213" w:type="dxa"/>
            <w:tcBorders>
              <w:top w:val="single" w:sz="2" w:space="0" w:color="auto"/>
              <w:left w:val="single" w:sz="2" w:space="0" w:color="auto"/>
              <w:bottom w:val="single" w:sz="2" w:space="0" w:color="auto"/>
              <w:right w:val="single" w:sz="2" w:space="0" w:color="auto"/>
            </w:tcBorders>
            <w:vAlign w:val="center"/>
          </w:tcPr>
          <w:p w14:paraId="7FDCA31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50,000,000.00</w:t>
            </w:r>
          </w:p>
        </w:tc>
      </w:tr>
      <w:tr w:rsidR="00F73301" w:rsidRPr="00F73301" w14:paraId="60A0742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733C5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Mortgaged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29DE638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138,679,666.67</w:t>
            </w:r>
          </w:p>
        </w:tc>
        <w:tc>
          <w:tcPr>
            <w:tcW w:w="3213" w:type="dxa"/>
            <w:tcBorders>
              <w:top w:val="single" w:sz="2" w:space="0" w:color="auto"/>
              <w:left w:val="single" w:sz="2" w:space="0" w:color="auto"/>
              <w:bottom w:val="single" w:sz="2" w:space="0" w:color="auto"/>
              <w:right w:val="single" w:sz="2" w:space="0" w:color="auto"/>
            </w:tcBorders>
            <w:vAlign w:val="center"/>
          </w:tcPr>
          <w:p w14:paraId="539D9D1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29,103,444.45</w:t>
            </w:r>
          </w:p>
        </w:tc>
      </w:tr>
      <w:tr w:rsidR="00F73301" w:rsidRPr="00F73301" w14:paraId="263C6DE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945B6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Credit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04842F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599,414,723.61</w:t>
            </w:r>
          </w:p>
        </w:tc>
        <w:tc>
          <w:tcPr>
            <w:tcW w:w="3213" w:type="dxa"/>
            <w:tcBorders>
              <w:top w:val="single" w:sz="2" w:space="0" w:color="auto"/>
              <w:left w:val="single" w:sz="2" w:space="0" w:color="auto"/>
              <w:bottom w:val="single" w:sz="2" w:space="0" w:color="auto"/>
              <w:right w:val="single" w:sz="2" w:space="0" w:color="auto"/>
            </w:tcBorders>
            <w:vAlign w:val="center"/>
          </w:tcPr>
          <w:p w14:paraId="5E31595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194,018,096.55</w:t>
            </w:r>
          </w:p>
        </w:tc>
      </w:tr>
      <w:tr w:rsidR="00F73301" w:rsidRPr="00F73301" w14:paraId="7509031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517CA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0C27F9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758,112,140.28</w:t>
            </w:r>
          </w:p>
        </w:tc>
        <w:tc>
          <w:tcPr>
            <w:tcW w:w="3213" w:type="dxa"/>
            <w:tcBorders>
              <w:top w:val="single" w:sz="2" w:space="0" w:color="auto"/>
              <w:left w:val="single" w:sz="2" w:space="0" w:color="auto"/>
              <w:bottom w:val="single" w:sz="2" w:space="0" w:color="auto"/>
              <w:right w:val="single" w:sz="2" w:space="0" w:color="auto"/>
            </w:tcBorders>
            <w:vAlign w:val="center"/>
          </w:tcPr>
          <w:p w14:paraId="74AB91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273,121,541.00</w:t>
            </w:r>
          </w:p>
        </w:tc>
      </w:tr>
    </w:tbl>
    <w:p w14:paraId="75C9525D"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of the category for short-term loans:</w:t>
      </w:r>
    </w:p>
    <w:p w14:paraId="4769AA1A"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BAF8C13"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26" w:name="_Toc989114"/>
      <w:r w:rsidRPr="00F73301">
        <w:rPr>
          <w:rFonts w:ascii="Times New Roman" w:eastAsia="宋体" w:hAnsi="Times New Roman" w:cs="Times New Roman"/>
          <w:b/>
          <w:bCs/>
          <w:sz w:val="24"/>
          <w:szCs w:val="24"/>
        </w:rPr>
        <w:t>(2) List of the short-term borrowings overdue but not returned</w:t>
      </w:r>
      <w:bookmarkEnd w:id="226"/>
    </w:p>
    <w:p w14:paraId="589D8C91"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amount of the overdue unpaid short-term borrowings at the period-end was RMBXXX, of which the significant overdue unpaid short-term borrowings are as follows:</w:t>
      </w:r>
    </w:p>
    <w:p w14:paraId="2F268472"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0D6F3E6E"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B3E73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BA5F6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EBE43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Interest rate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9DEE7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Overdue time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D2FE3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Overdue charge rate</w:t>
            </w:r>
          </w:p>
        </w:tc>
      </w:tr>
    </w:tbl>
    <w:p w14:paraId="7FBAA925"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remarks</w:t>
      </w:r>
    </w:p>
    <w:p w14:paraId="36F7F092"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0D4DBE4"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27" w:name="_Toc989115"/>
      <w:r w:rsidRPr="00F73301">
        <w:rPr>
          <w:rFonts w:ascii="Times New Roman" w:eastAsia="宋体" w:hAnsi="Times New Roman" w:cs="Times New Roman"/>
          <w:b/>
          <w:bCs/>
          <w:sz w:val="24"/>
          <w:szCs w:val="24"/>
        </w:rPr>
        <w:t>21. Notes payable</w:t>
      </w:r>
      <w:bookmarkEnd w:id="227"/>
    </w:p>
    <w:p w14:paraId="6104A54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15005E0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455A6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Categories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A9F17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A0559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373DDD7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23A95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Bank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5523C8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253,138,469.71</w:t>
            </w:r>
          </w:p>
        </w:tc>
        <w:tc>
          <w:tcPr>
            <w:tcW w:w="3213" w:type="dxa"/>
            <w:tcBorders>
              <w:top w:val="single" w:sz="2" w:space="0" w:color="auto"/>
              <w:left w:val="single" w:sz="2" w:space="0" w:color="auto"/>
              <w:bottom w:val="single" w:sz="2" w:space="0" w:color="auto"/>
              <w:right w:val="single" w:sz="2" w:space="0" w:color="auto"/>
            </w:tcBorders>
            <w:vAlign w:val="center"/>
          </w:tcPr>
          <w:p w14:paraId="58C5CC5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404,856,318.95</w:t>
            </w:r>
          </w:p>
        </w:tc>
      </w:tr>
      <w:tr w:rsidR="00F73301" w:rsidRPr="00F73301" w14:paraId="52C4731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B65AAE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Cheque</w:t>
            </w:r>
          </w:p>
        </w:tc>
        <w:tc>
          <w:tcPr>
            <w:tcW w:w="3213" w:type="dxa"/>
            <w:tcBorders>
              <w:top w:val="single" w:sz="2" w:space="0" w:color="auto"/>
              <w:left w:val="single" w:sz="2" w:space="0" w:color="auto"/>
              <w:bottom w:val="single" w:sz="2" w:space="0" w:color="auto"/>
              <w:right w:val="single" w:sz="2" w:space="0" w:color="auto"/>
            </w:tcBorders>
            <w:vAlign w:val="center"/>
          </w:tcPr>
          <w:p w14:paraId="6659E16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10,485.00</w:t>
            </w:r>
          </w:p>
        </w:tc>
        <w:tc>
          <w:tcPr>
            <w:tcW w:w="3213" w:type="dxa"/>
            <w:tcBorders>
              <w:top w:val="single" w:sz="2" w:space="0" w:color="auto"/>
              <w:left w:val="single" w:sz="2" w:space="0" w:color="auto"/>
              <w:bottom w:val="single" w:sz="2" w:space="0" w:color="auto"/>
              <w:right w:val="single" w:sz="2" w:space="0" w:color="auto"/>
            </w:tcBorders>
            <w:vAlign w:val="center"/>
          </w:tcPr>
          <w:p w14:paraId="212991A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10,219.50</w:t>
            </w:r>
          </w:p>
        </w:tc>
      </w:tr>
      <w:tr w:rsidR="00F73301" w:rsidRPr="00F73301" w14:paraId="3AC9561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808D5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3FBAA40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253,148,954.71</w:t>
            </w:r>
          </w:p>
        </w:tc>
        <w:tc>
          <w:tcPr>
            <w:tcW w:w="3213" w:type="dxa"/>
            <w:tcBorders>
              <w:top w:val="single" w:sz="2" w:space="0" w:color="auto"/>
              <w:left w:val="single" w:sz="2" w:space="0" w:color="auto"/>
              <w:bottom w:val="single" w:sz="2" w:space="0" w:color="auto"/>
              <w:right w:val="single" w:sz="2" w:space="0" w:color="auto"/>
            </w:tcBorders>
            <w:vAlign w:val="center"/>
          </w:tcPr>
          <w:p w14:paraId="7633C2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404,866,538.45</w:t>
            </w:r>
          </w:p>
        </w:tc>
      </w:tr>
    </w:tbl>
    <w:p w14:paraId="58F86421" w14:textId="45B29303"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total amount of notes payable due but unpaid was RMB</w:t>
      </w:r>
      <w:r w:rsidR="008A539F">
        <w:rPr>
          <w:rFonts w:ascii="Times New Roman" w:eastAsia="宋体" w:hAnsi="Times New Roman" w:cs="Times New Roman"/>
          <w:sz w:val="24"/>
          <w:szCs w:val="24"/>
        </w:rPr>
        <w:t xml:space="preserve">   </w:t>
      </w:r>
      <w:r w:rsidRPr="00F73301">
        <w:rPr>
          <w:rFonts w:ascii="Times New Roman" w:eastAsia="宋体" w:hAnsi="Times New Roman" w:cs="Times New Roman"/>
          <w:sz w:val="24"/>
          <w:szCs w:val="24"/>
        </w:rPr>
        <w:t>.</w:t>
      </w:r>
    </w:p>
    <w:p w14:paraId="6F15CADD"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28" w:name="_Toc989116"/>
      <w:r w:rsidRPr="00F73301">
        <w:rPr>
          <w:rFonts w:ascii="Times New Roman" w:eastAsia="宋体" w:hAnsi="Times New Roman" w:cs="Times New Roman"/>
          <w:b/>
          <w:bCs/>
          <w:sz w:val="24"/>
          <w:szCs w:val="24"/>
        </w:rPr>
        <w:t>22. Accounts payable</w:t>
      </w:r>
      <w:bookmarkEnd w:id="228"/>
    </w:p>
    <w:p w14:paraId="32146FC8"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29" w:name="_Toc989117"/>
      <w:r w:rsidRPr="00F73301">
        <w:rPr>
          <w:rFonts w:ascii="Times New Roman" w:eastAsia="宋体" w:hAnsi="Times New Roman" w:cs="Times New Roman"/>
          <w:b/>
          <w:bCs/>
          <w:sz w:val="24"/>
          <w:szCs w:val="24"/>
        </w:rPr>
        <w:t>(1) List of accounts payable</w:t>
      </w:r>
      <w:bookmarkEnd w:id="229"/>
    </w:p>
    <w:p w14:paraId="551109E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49946C9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B67A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8288D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C7E47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0884282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E16C20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Payments for materials</w:t>
            </w:r>
          </w:p>
        </w:tc>
        <w:tc>
          <w:tcPr>
            <w:tcW w:w="3213" w:type="dxa"/>
            <w:tcBorders>
              <w:top w:val="single" w:sz="2" w:space="0" w:color="auto"/>
              <w:left w:val="single" w:sz="2" w:space="0" w:color="auto"/>
              <w:bottom w:val="single" w:sz="2" w:space="0" w:color="auto"/>
              <w:right w:val="single" w:sz="2" w:space="0" w:color="auto"/>
            </w:tcBorders>
            <w:vAlign w:val="center"/>
          </w:tcPr>
          <w:p w14:paraId="2A1DBFD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850,257,529.38</w:t>
            </w:r>
          </w:p>
        </w:tc>
        <w:tc>
          <w:tcPr>
            <w:tcW w:w="3213" w:type="dxa"/>
            <w:tcBorders>
              <w:top w:val="single" w:sz="2" w:space="0" w:color="auto"/>
              <w:left w:val="single" w:sz="2" w:space="0" w:color="auto"/>
              <w:bottom w:val="single" w:sz="2" w:space="0" w:color="auto"/>
              <w:right w:val="single" w:sz="2" w:space="0" w:color="auto"/>
            </w:tcBorders>
            <w:vAlign w:val="center"/>
          </w:tcPr>
          <w:p w14:paraId="5254566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749,020,884.08</w:t>
            </w:r>
          </w:p>
        </w:tc>
      </w:tr>
      <w:tr w:rsidR="00F73301" w:rsidRPr="00F73301" w14:paraId="4F4F86D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1044AF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Payments for engineering equipment</w:t>
            </w:r>
          </w:p>
        </w:tc>
        <w:tc>
          <w:tcPr>
            <w:tcW w:w="3213" w:type="dxa"/>
            <w:tcBorders>
              <w:top w:val="single" w:sz="2" w:space="0" w:color="auto"/>
              <w:left w:val="single" w:sz="2" w:space="0" w:color="auto"/>
              <w:bottom w:val="single" w:sz="2" w:space="0" w:color="auto"/>
              <w:right w:val="single" w:sz="2" w:space="0" w:color="auto"/>
            </w:tcBorders>
            <w:vAlign w:val="center"/>
          </w:tcPr>
          <w:p w14:paraId="2CBD8CF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321,166,561.13</w:t>
            </w:r>
          </w:p>
        </w:tc>
        <w:tc>
          <w:tcPr>
            <w:tcW w:w="3213" w:type="dxa"/>
            <w:tcBorders>
              <w:top w:val="single" w:sz="2" w:space="0" w:color="auto"/>
              <w:left w:val="single" w:sz="2" w:space="0" w:color="auto"/>
              <w:bottom w:val="single" w:sz="2" w:space="0" w:color="auto"/>
              <w:right w:val="single" w:sz="2" w:space="0" w:color="auto"/>
            </w:tcBorders>
            <w:vAlign w:val="center"/>
          </w:tcPr>
          <w:p w14:paraId="7ED513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296,366,789.32</w:t>
            </w:r>
          </w:p>
        </w:tc>
      </w:tr>
      <w:tr w:rsidR="00F73301" w:rsidRPr="00F73301" w14:paraId="2088655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F3C5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7AE8290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1,171,424,090.51</w:t>
            </w:r>
          </w:p>
        </w:tc>
        <w:tc>
          <w:tcPr>
            <w:tcW w:w="3213" w:type="dxa"/>
            <w:tcBorders>
              <w:top w:val="single" w:sz="2" w:space="0" w:color="auto"/>
              <w:left w:val="single" w:sz="2" w:space="0" w:color="auto"/>
              <w:bottom w:val="single" w:sz="2" w:space="0" w:color="auto"/>
              <w:right w:val="single" w:sz="2" w:space="0" w:color="auto"/>
            </w:tcBorders>
            <w:vAlign w:val="center"/>
          </w:tcPr>
          <w:p w14:paraId="377BB9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1,045,387,673.40</w:t>
            </w:r>
          </w:p>
        </w:tc>
      </w:tr>
    </w:tbl>
    <w:p w14:paraId="2BA4FF38"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30" w:name="_Toc989118"/>
      <w:r w:rsidRPr="00F73301">
        <w:rPr>
          <w:rFonts w:ascii="Times New Roman" w:eastAsia="宋体" w:hAnsi="Times New Roman" w:cs="Times New Roman"/>
          <w:b/>
          <w:bCs/>
          <w:sz w:val="24"/>
          <w:szCs w:val="24"/>
        </w:rPr>
        <w:t>(2) Significant accounts payable aged over one year</w:t>
      </w:r>
      <w:bookmarkEnd w:id="230"/>
    </w:p>
    <w:p w14:paraId="73DFD2CB"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7033BD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A6B29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1DA2E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FFF2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Unpaid/Un-carry-over reason</w:t>
            </w:r>
          </w:p>
        </w:tc>
      </w:tr>
    </w:tbl>
    <w:p w14:paraId="321CCDC7"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60F1720"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5BF6D335"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31" w:name="_Toc989119"/>
      <w:r w:rsidRPr="00F73301">
        <w:rPr>
          <w:rFonts w:ascii="Times New Roman" w:eastAsia="宋体" w:hAnsi="Times New Roman" w:cs="Times New Roman"/>
          <w:b/>
          <w:bCs/>
          <w:sz w:val="24"/>
          <w:szCs w:val="24"/>
        </w:rPr>
        <w:t>23. Contract liabilities</w:t>
      </w:r>
      <w:bookmarkEnd w:id="231"/>
    </w:p>
    <w:p w14:paraId="2711750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1BFAEBA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C2EF5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64FB7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0F6DF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00C6C7A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430669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Payments for goods</w:t>
            </w:r>
          </w:p>
        </w:tc>
        <w:tc>
          <w:tcPr>
            <w:tcW w:w="3213" w:type="dxa"/>
            <w:tcBorders>
              <w:top w:val="single" w:sz="2" w:space="0" w:color="auto"/>
              <w:left w:val="single" w:sz="2" w:space="0" w:color="auto"/>
              <w:bottom w:val="single" w:sz="2" w:space="0" w:color="auto"/>
              <w:right w:val="single" w:sz="2" w:space="0" w:color="auto"/>
            </w:tcBorders>
            <w:vAlign w:val="center"/>
          </w:tcPr>
          <w:p w14:paraId="4FDBF2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21,693,325.50</w:t>
            </w:r>
          </w:p>
        </w:tc>
        <w:tc>
          <w:tcPr>
            <w:tcW w:w="3213" w:type="dxa"/>
            <w:tcBorders>
              <w:top w:val="single" w:sz="2" w:space="0" w:color="auto"/>
              <w:left w:val="single" w:sz="2" w:space="0" w:color="auto"/>
              <w:bottom w:val="single" w:sz="2" w:space="0" w:color="auto"/>
              <w:right w:val="single" w:sz="2" w:space="0" w:color="auto"/>
            </w:tcBorders>
            <w:vAlign w:val="center"/>
          </w:tcPr>
          <w:p w14:paraId="43F749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37,431,854.37</w:t>
            </w:r>
          </w:p>
        </w:tc>
      </w:tr>
      <w:tr w:rsidR="00F73301" w:rsidRPr="00F73301" w14:paraId="0243587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E570E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512A6D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21,693,325.50</w:t>
            </w:r>
          </w:p>
        </w:tc>
        <w:tc>
          <w:tcPr>
            <w:tcW w:w="3213" w:type="dxa"/>
            <w:tcBorders>
              <w:top w:val="single" w:sz="2" w:space="0" w:color="auto"/>
              <w:left w:val="single" w:sz="2" w:space="0" w:color="auto"/>
              <w:bottom w:val="single" w:sz="2" w:space="0" w:color="auto"/>
              <w:right w:val="single" w:sz="2" w:space="0" w:color="auto"/>
            </w:tcBorders>
            <w:vAlign w:val="center"/>
          </w:tcPr>
          <w:p w14:paraId="63C7C7A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37,431,854.37</w:t>
            </w:r>
          </w:p>
        </w:tc>
      </w:tr>
    </w:tbl>
    <w:p w14:paraId="6CA59E4D"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Significant changes in the carrying amount and the reason in the Reporting Period</w:t>
      </w:r>
    </w:p>
    <w:p w14:paraId="28B6DE59"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20"/>
        <w:gridCol w:w="820"/>
        <w:gridCol w:w="7999"/>
      </w:tblGrid>
      <w:tr w:rsidR="00F73301" w:rsidRPr="00F73301" w14:paraId="176C72F1" w14:textId="77777777" w:rsidTr="0001208F">
        <w:trPr>
          <w:jc w:val="center"/>
        </w:trPr>
        <w:tc>
          <w:tcPr>
            <w:tcW w:w="820" w:type="dxa"/>
            <w:tcBorders>
              <w:top w:val="single" w:sz="2" w:space="0" w:color="auto"/>
              <w:left w:val="single" w:sz="2" w:space="0" w:color="auto"/>
              <w:bottom w:val="single" w:sz="2" w:space="0" w:color="auto"/>
              <w:right w:val="single" w:sz="2" w:space="0" w:color="auto"/>
            </w:tcBorders>
            <w:shd w:val="clear" w:color="auto" w:fill="D3D3D3"/>
            <w:vAlign w:val="center"/>
          </w:tcPr>
          <w:p w14:paraId="0A7CB5C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Item</w:t>
            </w:r>
          </w:p>
        </w:tc>
        <w:tc>
          <w:tcPr>
            <w:tcW w:w="820" w:type="dxa"/>
            <w:tcBorders>
              <w:top w:val="single" w:sz="2" w:space="0" w:color="auto"/>
              <w:left w:val="single" w:sz="2" w:space="0" w:color="auto"/>
              <w:bottom w:val="single" w:sz="2" w:space="0" w:color="auto"/>
              <w:right w:val="single" w:sz="2" w:space="0" w:color="auto"/>
            </w:tcBorders>
            <w:shd w:val="clear" w:color="auto" w:fill="D3D3D3"/>
            <w:vAlign w:val="center"/>
          </w:tcPr>
          <w:p w14:paraId="6D575F8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Change in amount</w:t>
            </w:r>
          </w:p>
        </w:tc>
        <w:tc>
          <w:tcPr>
            <w:tcW w:w="8000" w:type="dxa"/>
            <w:tcBorders>
              <w:top w:val="single" w:sz="2" w:space="0" w:color="auto"/>
              <w:left w:val="single" w:sz="2" w:space="0" w:color="auto"/>
              <w:bottom w:val="single" w:sz="2" w:space="0" w:color="auto"/>
              <w:right w:val="single" w:sz="2" w:space="0" w:color="auto"/>
            </w:tcBorders>
            <w:shd w:val="clear" w:color="auto" w:fill="D3D3D3"/>
            <w:vAlign w:val="center"/>
          </w:tcPr>
          <w:p w14:paraId="4BF880A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Reason(s)</w:t>
            </w:r>
          </w:p>
        </w:tc>
      </w:tr>
    </w:tbl>
    <w:p w14:paraId="36824D16"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32" w:name="_Toc989120"/>
      <w:r w:rsidRPr="00F73301">
        <w:rPr>
          <w:rFonts w:ascii="Times New Roman" w:eastAsia="宋体" w:hAnsi="Times New Roman" w:cs="Times New Roman"/>
          <w:b/>
          <w:bCs/>
          <w:sz w:val="24"/>
          <w:szCs w:val="24"/>
        </w:rPr>
        <w:t>24. Employee benefits payable</w:t>
      </w:r>
      <w:bookmarkEnd w:id="232"/>
    </w:p>
    <w:p w14:paraId="3FD40E0C"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33" w:name="_Toc989121"/>
      <w:r w:rsidRPr="00F73301">
        <w:rPr>
          <w:rFonts w:ascii="Times New Roman" w:eastAsia="宋体" w:hAnsi="Times New Roman" w:cs="Times New Roman"/>
          <w:b/>
          <w:bCs/>
          <w:sz w:val="24"/>
          <w:szCs w:val="24"/>
        </w:rPr>
        <w:t>(1) List of payroll payable</w:t>
      </w:r>
      <w:bookmarkEnd w:id="233"/>
    </w:p>
    <w:p w14:paraId="452BC00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65A3212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725B9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31105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4CBAF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AC612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F17F87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7974430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E3CAD8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 Short-term Salary</w:t>
            </w:r>
          </w:p>
        </w:tc>
        <w:tc>
          <w:tcPr>
            <w:tcW w:w="1928" w:type="dxa"/>
            <w:tcBorders>
              <w:top w:val="single" w:sz="2" w:space="0" w:color="auto"/>
              <w:left w:val="single" w:sz="2" w:space="0" w:color="auto"/>
              <w:bottom w:val="single" w:sz="2" w:space="0" w:color="auto"/>
              <w:right w:val="single" w:sz="2" w:space="0" w:color="auto"/>
            </w:tcBorders>
            <w:vAlign w:val="center"/>
          </w:tcPr>
          <w:p w14:paraId="38DA5A1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143,987,542.57</w:t>
            </w:r>
          </w:p>
        </w:tc>
        <w:tc>
          <w:tcPr>
            <w:tcW w:w="1928" w:type="dxa"/>
            <w:tcBorders>
              <w:top w:val="single" w:sz="2" w:space="0" w:color="auto"/>
              <w:left w:val="single" w:sz="2" w:space="0" w:color="auto"/>
              <w:bottom w:val="single" w:sz="2" w:space="0" w:color="auto"/>
              <w:right w:val="single" w:sz="2" w:space="0" w:color="auto"/>
            </w:tcBorders>
            <w:vAlign w:val="center"/>
          </w:tcPr>
          <w:p w14:paraId="2BBE8E0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401,161,774.31</w:t>
            </w:r>
          </w:p>
        </w:tc>
        <w:tc>
          <w:tcPr>
            <w:tcW w:w="1928" w:type="dxa"/>
            <w:tcBorders>
              <w:top w:val="single" w:sz="2" w:space="0" w:color="auto"/>
              <w:left w:val="single" w:sz="2" w:space="0" w:color="auto"/>
              <w:bottom w:val="single" w:sz="2" w:space="0" w:color="auto"/>
              <w:right w:val="single" w:sz="2" w:space="0" w:color="auto"/>
            </w:tcBorders>
            <w:vAlign w:val="center"/>
          </w:tcPr>
          <w:p w14:paraId="485B777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454,362,301.40</w:t>
            </w:r>
          </w:p>
        </w:tc>
        <w:tc>
          <w:tcPr>
            <w:tcW w:w="1928" w:type="dxa"/>
            <w:tcBorders>
              <w:top w:val="single" w:sz="2" w:space="0" w:color="auto"/>
              <w:left w:val="single" w:sz="2" w:space="0" w:color="auto"/>
              <w:bottom w:val="single" w:sz="2" w:space="0" w:color="auto"/>
              <w:right w:val="single" w:sz="2" w:space="0" w:color="auto"/>
            </w:tcBorders>
            <w:vAlign w:val="center"/>
          </w:tcPr>
          <w:p w14:paraId="7801D5C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90,787,015.48</w:t>
            </w:r>
          </w:p>
        </w:tc>
      </w:tr>
      <w:tr w:rsidR="00F73301" w:rsidRPr="00F73301" w14:paraId="46F8D9F4"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3C8C3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Termination Benefit - Defined Contribution Plans</w:t>
            </w:r>
          </w:p>
        </w:tc>
        <w:tc>
          <w:tcPr>
            <w:tcW w:w="1928" w:type="dxa"/>
            <w:tcBorders>
              <w:top w:val="single" w:sz="2" w:space="0" w:color="auto"/>
              <w:left w:val="single" w:sz="2" w:space="0" w:color="auto"/>
              <w:bottom w:val="single" w:sz="2" w:space="0" w:color="auto"/>
              <w:right w:val="single" w:sz="2" w:space="0" w:color="auto"/>
            </w:tcBorders>
            <w:vAlign w:val="center"/>
          </w:tcPr>
          <w:p w14:paraId="39DBA24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450,808.43</w:t>
            </w:r>
          </w:p>
        </w:tc>
        <w:tc>
          <w:tcPr>
            <w:tcW w:w="1928" w:type="dxa"/>
            <w:tcBorders>
              <w:top w:val="single" w:sz="2" w:space="0" w:color="auto"/>
              <w:left w:val="single" w:sz="2" w:space="0" w:color="auto"/>
              <w:bottom w:val="single" w:sz="2" w:space="0" w:color="auto"/>
              <w:right w:val="single" w:sz="2" w:space="0" w:color="auto"/>
            </w:tcBorders>
            <w:vAlign w:val="center"/>
          </w:tcPr>
          <w:p w14:paraId="39EE1DB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35,207,993.31</w:t>
            </w:r>
          </w:p>
        </w:tc>
        <w:tc>
          <w:tcPr>
            <w:tcW w:w="1928" w:type="dxa"/>
            <w:tcBorders>
              <w:top w:val="single" w:sz="2" w:space="0" w:color="auto"/>
              <w:left w:val="single" w:sz="2" w:space="0" w:color="auto"/>
              <w:bottom w:val="single" w:sz="2" w:space="0" w:color="auto"/>
              <w:right w:val="single" w:sz="2" w:space="0" w:color="auto"/>
            </w:tcBorders>
            <w:vAlign w:val="center"/>
          </w:tcPr>
          <w:p w14:paraId="7EF7DD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35,567,159.41</w:t>
            </w:r>
          </w:p>
        </w:tc>
        <w:tc>
          <w:tcPr>
            <w:tcW w:w="1928" w:type="dxa"/>
            <w:tcBorders>
              <w:top w:val="single" w:sz="2" w:space="0" w:color="auto"/>
              <w:left w:val="single" w:sz="2" w:space="0" w:color="auto"/>
              <w:bottom w:val="single" w:sz="2" w:space="0" w:color="auto"/>
              <w:right w:val="single" w:sz="2" w:space="0" w:color="auto"/>
            </w:tcBorders>
            <w:vAlign w:val="center"/>
          </w:tcPr>
          <w:p w14:paraId="05FC9BF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91,642.33</w:t>
            </w:r>
          </w:p>
        </w:tc>
      </w:tr>
      <w:tr w:rsidR="00F73301" w:rsidRPr="00F73301" w14:paraId="47B3C7CA"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3CE437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2AFE7C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144,438,351.00</w:t>
            </w:r>
          </w:p>
        </w:tc>
        <w:tc>
          <w:tcPr>
            <w:tcW w:w="1928" w:type="dxa"/>
            <w:tcBorders>
              <w:top w:val="single" w:sz="2" w:space="0" w:color="auto"/>
              <w:left w:val="single" w:sz="2" w:space="0" w:color="auto"/>
              <w:bottom w:val="single" w:sz="2" w:space="0" w:color="auto"/>
              <w:right w:val="single" w:sz="2" w:space="0" w:color="auto"/>
            </w:tcBorders>
            <w:vAlign w:val="center"/>
          </w:tcPr>
          <w:p w14:paraId="7FFB1F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436,369,767.62</w:t>
            </w:r>
          </w:p>
        </w:tc>
        <w:tc>
          <w:tcPr>
            <w:tcW w:w="1928" w:type="dxa"/>
            <w:tcBorders>
              <w:top w:val="single" w:sz="2" w:space="0" w:color="auto"/>
              <w:left w:val="single" w:sz="2" w:space="0" w:color="auto"/>
              <w:bottom w:val="single" w:sz="2" w:space="0" w:color="auto"/>
              <w:right w:val="single" w:sz="2" w:space="0" w:color="auto"/>
            </w:tcBorders>
            <w:vAlign w:val="center"/>
          </w:tcPr>
          <w:p w14:paraId="5FFA2BB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489,929,460.81</w:t>
            </w:r>
          </w:p>
        </w:tc>
        <w:tc>
          <w:tcPr>
            <w:tcW w:w="1928" w:type="dxa"/>
            <w:tcBorders>
              <w:top w:val="single" w:sz="2" w:space="0" w:color="auto"/>
              <w:left w:val="single" w:sz="2" w:space="0" w:color="auto"/>
              <w:bottom w:val="single" w:sz="2" w:space="0" w:color="auto"/>
              <w:right w:val="single" w:sz="2" w:space="0" w:color="auto"/>
            </w:tcBorders>
            <w:vAlign w:val="center"/>
          </w:tcPr>
          <w:p w14:paraId="1B6D35C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90,878,657.81</w:t>
            </w:r>
          </w:p>
        </w:tc>
      </w:tr>
    </w:tbl>
    <w:p w14:paraId="57045D55"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34" w:name="_Toc989122"/>
      <w:r w:rsidRPr="00F73301">
        <w:rPr>
          <w:rFonts w:ascii="Times New Roman" w:eastAsia="宋体" w:hAnsi="Times New Roman" w:cs="Times New Roman"/>
          <w:b/>
          <w:bCs/>
          <w:sz w:val="24"/>
          <w:szCs w:val="24"/>
        </w:rPr>
        <w:t>(2) List of short-term salary</w:t>
      </w:r>
      <w:bookmarkEnd w:id="234"/>
    </w:p>
    <w:p w14:paraId="5D7D749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1752B634"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EFE36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F4F3D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3B42C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17D33F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3E7D1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6906F761"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24953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 Salary, bonus, allowance, subsidy</w:t>
            </w:r>
          </w:p>
        </w:tc>
        <w:tc>
          <w:tcPr>
            <w:tcW w:w="1928" w:type="dxa"/>
            <w:tcBorders>
              <w:top w:val="single" w:sz="2" w:space="0" w:color="auto"/>
              <w:left w:val="single" w:sz="2" w:space="0" w:color="auto"/>
              <w:bottom w:val="single" w:sz="2" w:space="0" w:color="auto"/>
              <w:right w:val="single" w:sz="2" w:space="0" w:color="auto"/>
            </w:tcBorders>
            <w:vAlign w:val="center"/>
          </w:tcPr>
          <w:p w14:paraId="257E801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138,768,424.16</w:t>
            </w:r>
          </w:p>
        </w:tc>
        <w:tc>
          <w:tcPr>
            <w:tcW w:w="1928" w:type="dxa"/>
            <w:tcBorders>
              <w:top w:val="single" w:sz="2" w:space="0" w:color="auto"/>
              <w:left w:val="single" w:sz="2" w:space="0" w:color="auto"/>
              <w:bottom w:val="single" w:sz="2" w:space="0" w:color="auto"/>
              <w:right w:val="single" w:sz="2" w:space="0" w:color="auto"/>
            </w:tcBorders>
            <w:vAlign w:val="center"/>
          </w:tcPr>
          <w:p w14:paraId="01056D1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343,441,794.16</w:t>
            </w:r>
          </w:p>
        </w:tc>
        <w:tc>
          <w:tcPr>
            <w:tcW w:w="1928" w:type="dxa"/>
            <w:tcBorders>
              <w:top w:val="single" w:sz="2" w:space="0" w:color="auto"/>
              <w:left w:val="single" w:sz="2" w:space="0" w:color="auto"/>
              <w:bottom w:val="single" w:sz="2" w:space="0" w:color="auto"/>
              <w:right w:val="single" w:sz="2" w:space="0" w:color="auto"/>
            </w:tcBorders>
            <w:vAlign w:val="center"/>
          </w:tcPr>
          <w:p w14:paraId="4835F62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397,395,641.69</w:t>
            </w:r>
          </w:p>
        </w:tc>
        <w:tc>
          <w:tcPr>
            <w:tcW w:w="1928" w:type="dxa"/>
            <w:tcBorders>
              <w:top w:val="single" w:sz="2" w:space="0" w:color="auto"/>
              <w:left w:val="single" w:sz="2" w:space="0" w:color="auto"/>
              <w:bottom w:val="single" w:sz="2" w:space="0" w:color="auto"/>
              <w:right w:val="single" w:sz="2" w:space="0" w:color="auto"/>
            </w:tcBorders>
            <w:vAlign w:val="center"/>
          </w:tcPr>
          <w:p w14:paraId="5931DD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84,814,576.63</w:t>
            </w:r>
          </w:p>
        </w:tc>
      </w:tr>
      <w:tr w:rsidR="00F73301" w:rsidRPr="00F73301" w14:paraId="6024718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4D2AF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 Employee welfare</w:t>
            </w:r>
          </w:p>
        </w:tc>
        <w:tc>
          <w:tcPr>
            <w:tcW w:w="1928" w:type="dxa"/>
            <w:tcBorders>
              <w:top w:val="single" w:sz="2" w:space="0" w:color="auto"/>
              <w:left w:val="single" w:sz="2" w:space="0" w:color="auto"/>
              <w:bottom w:val="single" w:sz="2" w:space="0" w:color="auto"/>
              <w:right w:val="single" w:sz="2" w:space="0" w:color="auto"/>
            </w:tcBorders>
            <w:vAlign w:val="center"/>
          </w:tcPr>
          <w:p w14:paraId="6A7620B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0D113C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17,013,451.25</w:t>
            </w:r>
          </w:p>
        </w:tc>
        <w:tc>
          <w:tcPr>
            <w:tcW w:w="1928" w:type="dxa"/>
            <w:tcBorders>
              <w:top w:val="single" w:sz="2" w:space="0" w:color="auto"/>
              <w:left w:val="single" w:sz="2" w:space="0" w:color="auto"/>
              <w:bottom w:val="single" w:sz="2" w:space="0" w:color="auto"/>
              <w:right w:val="single" w:sz="2" w:space="0" w:color="auto"/>
            </w:tcBorders>
            <w:vAlign w:val="center"/>
          </w:tcPr>
          <w:p w14:paraId="7FF054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17,013,451.25</w:t>
            </w:r>
          </w:p>
        </w:tc>
        <w:tc>
          <w:tcPr>
            <w:tcW w:w="1928" w:type="dxa"/>
            <w:tcBorders>
              <w:top w:val="single" w:sz="2" w:space="0" w:color="auto"/>
              <w:left w:val="single" w:sz="2" w:space="0" w:color="auto"/>
              <w:bottom w:val="single" w:sz="2" w:space="0" w:color="auto"/>
              <w:right w:val="single" w:sz="2" w:space="0" w:color="auto"/>
            </w:tcBorders>
            <w:vAlign w:val="center"/>
          </w:tcPr>
          <w:p w14:paraId="41F49C7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C67850E"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2332A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3. Social insurance</w:t>
            </w:r>
          </w:p>
        </w:tc>
        <w:tc>
          <w:tcPr>
            <w:tcW w:w="1928" w:type="dxa"/>
            <w:tcBorders>
              <w:top w:val="single" w:sz="2" w:space="0" w:color="auto"/>
              <w:left w:val="single" w:sz="2" w:space="0" w:color="auto"/>
              <w:bottom w:val="single" w:sz="2" w:space="0" w:color="auto"/>
              <w:right w:val="single" w:sz="2" w:space="0" w:color="auto"/>
            </w:tcBorders>
            <w:vAlign w:val="center"/>
          </w:tcPr>
          <w:p w14:paraId="6E5A69B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294,358.51</w:t>
            </w:r>
          </w:p>
        </w:tc>
        <w:tc>
          <w:tcPr>
            <w:tcW w:w="1928" w:type="dxa"/>
            <w:tcBorders>
              <w:top w:val="single" w:sz="2" w:space="0" w:color="auto"/>
              <w:left w:val="single" w:sz="2" w:space="0" w:color="auto"/>
              <w:bottom w:val="single" w:sz="2" w:space="0" w:color="auto"/>
              <w:right w:val="single" w:sz="2" w:space="0" w:color="auto"/>
            </w:tcBorders>
            <w:vAlign w:val="center"/>
          </w:tcPr>
          <w:p w14:paraId="1D9644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19,209,692.70</w:t>
            </w:r>
          </w:p>
        </w:tc>
        <w:tc>
          <w:tcPr>
            <w:tcW w:w="1928" w:type="dxa"/>
            <w:tcBorders>
              <w:top w:val="single" w:sz="2" w:space="0" w:color="auto"/>
              <w:left w:val="single" w:sz="2" w:space="0" w:color="auto"/>
              <w:bottom w:val="single" w:sz="2" w:space="0" w:color="auto"/>
              <w:right w:val="single" w:sz="2" w:space="0" w:color="auto"/>
            </w:tcBorders>
            <w:vAlign w:val="center"/>
          </w:tcPr>
          <w:p w14:paraId="28CEFD8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19,450,733.60</w:t>
            </w:r>
          </w:p>
        </w:tc>
        <w:tc>
          <w:tcPr>
            <w:tcW w:w="1928" w:type="dxa"/>
            <w:tcBorders>
              <w:top w:val="single" w:sz="2" w:space="0" w:color="auto"/>
              <w:left w:val="single" w:sz="2" w:space="0" w:color="auto"/>
              <w:bottom w:val="single" w:sz="2" w:space="0" w:color="auto"/>
              <w:right w:val="single" w:sz="2" w:space="0" w:color="auto"/>
            </w:tcBorders>
            <w:vAlign w:val="center"/>
          </w:tcPr>
          <w:p w14:paraId="27E0F6C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53,317.61</w:t>
            </w:r>
          </w:p>
        </w:tc>
      </w:tr>
      <w:tr w:rsidR="00F73301" w:rsidRPr="00F73301" w14:paraId="632E41FC"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A6871B5"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Medicare premium</w:t>
            </w:r>
          </w:p>
        </w:tc>
        <w:tc>
          <w:tcPr>
            <w:tcW w:w="1928" w:type="dxa"/>
            <w:tcBorders>
              <w:top w:val="single" w:sz="2" w:space="0" w:color="auto"/>
              <w:left w:val="single" w:sz="2" w:space="0" w:color="auto"/>
              <w:bottom w:val="single" w:sz="2" w:space="0" w:color="auto"/>
              <w:right w:val="single" w:sz="2" w:space="0" w:color="auto"/>
            </w:tcBorders>
            <w:vAlign w:val="center"/>
          </w:tcPr>
          <w:p w14:paraId="03DEFDE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254,626.40</w:t>
            </w:r>
          </w:p>
        </w:tc>
        <w:tc>
          <w:tcPr>
            <w:tcW w:w="1928" w:type="dxa"/>
            <w:tcBorders>
              <w:top w:val="single" w:sz="2" w:space="0" w:color="auto"/>
              <w:left w:val="single" w:sz="2" w:space="0" w:color="auto"/>
              <w:bottom w:val="single" w:sz="2" w:space="0" w:color="auto"/>
              <w:right w:val="single" w:sz="2" w:space="0" w:color="auto"/>
            </w:tcBorders>
            <w:vAlign w:val="center"/>
          </w:tcPr>
          <w:p w14:paraId="1CBF55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17,757,293.82</w:t>
            </w:r>
          </w:p>
        </w:tc>
        <w:tc>
          <w:tcPr>
            <w:tcW w:w="1928" w:type="dxa"/>
            <w:tcBorders>
              <w:top w:val="single" w:sz="2" w:space="0" w:color="auto"/>
              <w:left w:val="single" w:sz="2" w:space="0" w:color="auto"/>
              <w:bottom w:val="single" w:sz="2" w:space="0" w:color="auto"/>
              <w:right w:val="single" w:sz="2" w:space="0" w:color="auto"/>
            </w:tcBorders>
            <w:vAlign w:val="center"/>
          </w:tcPr>
          <w:p w14:paraId="734EF6E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17,972,381.37</w:t>
            </w:r>
          </w:p>
        </w:tc>
        <w:tc>
          <w:tcPr>
            <w:tcW w:w="1928" w:type="dxa"/>
            <w:tcBorders>
              <w:top w:val="single" w:sz="2" w:space="0" w:color="auto"/>
              <w:left w:val="single" w:sz="2" w:space="0" w:color="auto"/>
              <w:bottom w:val="single" w:sz="2" w:space="0" w:color="auto"/>
              <w:right w:val="single" w:sz="2" w:space="0" w:color="auto"/>
            </w:tcBorders>
            <w:vAlign w:val="center"/>
          </w:tcPr>
          <w:p w14:paraId="3762C50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39,538.85</w:t>
            </w:r>
          </w:p>
        </w:tc>
      </w:tr>
      <w:tr w:rsidR="00F73301" w:rsidRPr="00F73301" w14:paraId="149370B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A65E95"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Occupational injuries premium</w:t>
            </w:r>
          </w:p>
        </w:tc>
        <w:tc>
          <w:tcPr>
            <w:tcW w:w="1928" w:type="dxa"/>
            <w:tcBorders>
              <w:top w:val="single" w:sz="2" w:space="0" w:color="auto"/>
              <w:left w:val="single" w:sz="2" w:space="0" w:color="auto"/>
              <w:bottom w:val="single" w:sz="2" w:space="0" w:color="auto"/>
              <w:right w:val="single" w:sz="2" w:space="0" w:color="auto"/>
            </w:tcBorders>
            <w:vAlign w:val="center"/>
          </w:tcPr>
          <w:p w14:paraId="09871B2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32,611.74</w:t>
            </w:r>
          </w:p>
        </w:tc>
        <w:tc>
          <w:tcPr>
            <w:tcW w:w="1928" w:type="dxa"/>
            <w:tcBorders>
              <w:top w:val="single" w:sz="2" w:space="0" w:color="auto"/>
              <w:left w:val="single" w:sz="2" w:space="0" w:color="auto"/>
              <w:bottom w:val="single" w:sz="2" w:space="0" w:color="auto"/>
              <w:right w:val="single" w:sz="2" w:space="0" w:color="auto"/>
            </w:tcBorders>
            <w:vAlign w:val="center"/>
          </w:tcPr>
          <w:p w14:paraId="1F2A44C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1,272,047.32</w:t>
            </w:r>
          </w:p>
        </w:tc>
        <w:tc>
          <w:tcPr>
            <w:tcW w:w="1928" w:type="dxa"/>
            <w:tcBorders>
              <w:top w:val="single" w:sz="2" w:space="0" w:color="auto"/>
              <w:left w:val="single" w:sz="2" w:space="0" w:color="auto"/>
              <w:bottom w:val="single" w:sz="2" w:space="0" w:color="auto"/>
              <w:right w:val="single" w:sz="2" w:space="0" w:color="auto"/>
            </w:tcBorders>
            <w:vAlign w:val="center"/>
          </w:tcPr>
          <w:p w14:paraId="339E14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1,295,170.27</w:t>
            </w:r>
          </w:p>
        </w:tc>
        <w:tc>
          <w:tcPr>
            <w:tcW w:w="1928" w:type="dxa"/>
            <w:tcBorders>
              <w:top w:val="single" w:sz="2" w:space="0" w:color="auto"/>
              <w:left w:val="single" w:sz="2" w:space="0" w:color="auto"/>
              <w:bottom w:val="single" w:sz="2" w:space="0" w:color="auto"/>
              <w:right w:val="single" w:sz="2" w:space="0" w:color="auto"/>
            </w:tcBorders>
            <w:vAlign w:val="center"/>
          </w:tcPr>
          <w:p w14:paraId="529761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9,488.79</w:t>
            </w:r>
          </w:p>
        </w:tc>
      </w:tr>
      <w:tr w:rsidR="00F73301" w:rsidRPr="00F73301" w14:paraId="0E489444"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56CDAD" w14:textId="77777777" w:rsidR="00F73301" w:rsidRPr="00F73301" w:rsidRDefault="00F73301" w:rsidP="008C49B7">
            <w:pPr>
              <w:snapToGrid w:val="0"/>
              <w:ind w:firstLineChars="500" w:firstLine="900"/>
              <w:rPr>
                <w:rFonts w:ascii="Times New Roman" w:eastAsia="宋体" w:hAnsi="Times New Roman" w:cs="Times New Roman"/>
                <w:sz w:val="18"/>
                <w:szCs w:val="18"/>
              </w:rPr>
            </w:pPr>
            <w:r w:rsidRPr="00F73301">
              <w:rPr>
                <w:rFonts w:ascii="Times New Roman" w:eastAsia="宋体" w:hAnsi="Times New Roman" w:cs="Times New Roman"/>
                <w:sz w:val="18"/>
                <w:szCs w:val="18"/>
              </w:rPr>
              <w:t>Maternity premium</w:t>
            </w:r>
          </w:p>
        </w:tc>
        <w:tc>
          <w:tcPr>
            <w:tcW w:w="1928" w:type="dxa"/>
            <w:tcBorders>
              <w:top w:val="single" w:sz="2" w:space="0" w:color="auto"/>
              <w:left w:val="single" w:sz="2" w:space="0" w:color="auto"/>
              <w:bottom w:val="single" w:sz="2" w:space="0" w:color="auto"/>
              <w:right w:val="single" w:sz="2" w:space="0" w:color="auto"/>
            </w:tcBorders>
            <w:vAlign w:val="center"/>
          </w:tcPr>
          <w:p w14:paraId="581D597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7,120.37</w:t>
            </w:r>
          </w:p>
        </w:tc>
        <w:tc>
          <w:tcPr>
            <w:tcW w:w="1928" w:type="dxa"/>
            <w:tcBorders>
              <w:top w:val="single" w:sz="2" w:space="0" w:color="auto"/>
              <w:left w:val="single" w:sz="2" w:space="0" w:color="auto"/>
              <w:bottom w:val="single" w:sz="2" w:space="0" w:color="auto"/>
              <w:right w:val="single" w:sz="2" w:space="0" w:color="auto"/>
            </w:tcBorders>
            <w:vAlign w:val="center"/>
          </w:tcPr>
          <w:p w14:paraId="78FDE83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180,351.56</w:t>
            </w:r>
          </w:p>
        </w:tc>
        <w:tc>
          <w:tcPr>
            <w:tcW w:w="1928" w:type="dxa"/>
            <w:tcBorders>
              <w:top w:val="single" w:sz="2" w:space="0" w:color="auto"/>
              <w:left w:val="single" w:sz="2" w:space="0" w:color="auto"/>
              <w:bottom w:val="single" w:sz="2" w:space="0" w:color="auto"/>
              <w:right w:val="single" w:sz="2" w:space="0" w:color="auto"/>
            </w:tcBorders>
            <w:vAlign w:val="center"/>
          </w:tcPr>
          <w:p w14:paraId="3FC1A85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183,181.96</w:t>
            </w:r>
          </w:p>
        </w:tc>
        <w:tc>
          <w:tcPr>
            <w:tcW w:w="1928" w:type="dxa"/>
            <w:tcBorders>
              <w:top w:val="single" w:sz="2" w:space="0" w:color="auto"/>
              <w:left w:val="single" w:sz="2" w:space="0" w:color="auto"/>
              <w:bottom w:val="single" w:sz="2" w:space="0" w:color="auto"/>
              <w:right w:val="single" w:sz="2" w:space="0" w:color="auto"/>
            </w:tcBorders>
            <w:vAlign w:val="center"/>
          </w:tcPr>
          <w:p w14:paraId="036329D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4,289.97</w:t>
            </w:r>
          </w:p>
        </w:tc>
      </w:tr>
      <w:tr w:rsidR="00F73301" w:rsidRPr="00F73301" w14:paraId="4B913A7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6CBDE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4. Housing provident fund</w:t>
            </w:r>
          </w:p>
        </w:tc>
        <w:tc>
          <w:tcPr>
            <w:tcW w:w="1928" w:type="dxa"/>
            <w:tcBorders>
              <w:top w:val="single" w:sz="2" w:space="0" w:color="auto"/>
              <w:left w:val="single" w:sz="2" w:space="0" w:color="auto"/>
              <w:bottom w:val="single" w:sz="2" w:space="0" w:color="auto"/>
              <w:right w:val="single" w:sz="2" w:space="0" w:color="auto"/>
            </w:tcBorders>
            <w:vAlign w:val="center"/>
          </w:tcPr>
          <w:p w14:paraId="13BE58E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37,019.00</w:t>
            </w:r>
          </w:p>
        </w:tc>
        <w:tc>
          <w:tcPr>
            <w:tcW w:w="1928" w:type="dxa"/>
            <w:tcBorders>
              <w:top w:val="single" w:sz="2" w:space="0" w:color="auto"/>
              <w:left w:val="single" w:sz="2" w:space="0" w:color="auto"/>
              <w:bottom w:val="single" w:sz="2" w:space="0" w:color="auto"/>
              <w:right w:val="single" w:sz="2" w:space="0" w:color="auto"/>
            </w:tcBorders>
            <w:vAlign w:val="center"/>
          </w:tcPr>
          <w:p w14:paraId="0864834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12,173,616.72</w:t>
            </w:r>
          </w:p>
        </w:tc>
        <w:tc>
          <w:tcPr>
            <w:tcW w:w="1928" w:type="dxa"/>
            <w:tcBorders>
              <w:top w:val="single" w:sz="2" w:space="0" w:color="auto"/>
              <w:left w:val="single" w:sz="2" w:space="0" w:color="auto"/>
              <w:bottom w:val="single" w:sz="2" w:space="0" w:color="auto"/>
              <w:right w:val="single" w:sz="2" w:space="0" w:color="auto"/>
            </w:tcBorders>
            <w:vAlign w:val="center"/>
          </w:tcPr>
          <w:p w14:paraId="130D4F4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12,127,971.92</w:t>
            </w:r>
          </w:p>
        </w:tc>
        <w:tc>
          <w:tcPr>
            <w:tcW w:w="1928" w:type="dxa"/>
            <w:tcBorders>
              <w:top w:val="single" w:sz="2" w:space="0" w:color="auto"/>
              <w:left w:val="single" w:sz="2" w:space="0" w:color="auto"/>
              <w:bottom w:val="single" w:sz="2" w:space="0" w:color="auto"/>
              <w:right w:val="single" w:sz="2" w:space="0" w:color="auto"/>
            </w:tcBorders>
            <w:vAlign w:val="center"/>
          </w:tcPr>
          <w:p w14:paraId="00A8174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82,663.80</w:t>
            </w:r>
          </w:p>
        </w:tc>
      </w:tr>
      <w:tr w:rsidR="00F73301" w:rsidRPr="00F73301" w14:paraId="3743017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7C818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5. Labor union budget and employee education budget</w:t>
            </w:r>
          </w:p>
        </w:tc>
        <w:tc>
          <w:tcPr>
            <w:tcW w:w="1928" w:type="dxa"/>
            <w:tcBorders>
              <w:top w:val="single" w:sz="2" w:space="0" w:color="auto"/>
              <w:left w:val="single" w:sz="2" w:space="0" w:color="auto"/>
              <w:bottom w:val="single" w:sz="2" w:space="0" w:color="auto"/>
              <w:right w:val="single" w:sz="2" w:space="0" w:color="auto"/>
            </w:tcBorders>
            <w:vAlign w:val="center"/>
          </w:tcPr>
          <w:p w14:paraId="4C821A5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4,887,740.90</w:t>
            </w:r>
          </w:p>
        </w:tc>
        <w:tc>
          <w:tcPr>
            <w:tcW w:w="1928" w:type="dxa"/>
            <w:tcBorders>
              <w:top w:val="single" w:sz="2" w:space="0" w:color="auto"/>
              <w:left w:val="single" w:sz="2" w:space="0" w:color="auto"/>
              <w:bottom w:val="single" w:sz="2" w:space="0" w:color="auto"/>
              <w:right w:val="single" w:sz="2" w:space="0" w:color="auto"/>
            </w:tcBorders>
            <w:vAlign w:val="center"/>
          </w:tcPr>
          <w:p w14:paraId="363976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9,323,219.48</w:t>
            </w:r>
          </w:p>
        </w:tc>
        <w:tc>
          <w:tcPr>
            <w:tcW w:w="1928" w:type="dxa"/>
            <w:tcBorders>
              <w:top w:val="single" w:sz="2" w:space="0" w:color="auto"/>
              <w:left w:val="single" w:sz="2" w:space="0" w:color="auto"/>
              <w:bottom w:val="single" w:sz="2" w:space="0" w:color="auto"/>
              <w:right w:val="single" w:sz="2" w:space="0" w:color="auto"/>
            </w:tcBorders>
            <w:vAlign w:val="center"/>
          </w:tcPr>
          <w:p w14:paraId="5594AE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8,374,502.94</w:t>
            </w:r>
          </w:p>
        </w:tc>
        <w:tc>
          <w:tcPr>
            <w:tcW w:w="1928" w:type="dxa"/>
            <w:tcBorders>
              <w:top w:val="single" w:sz="2" w:space="0" w:color="auto"/>
              <w:left w:val="single" w:sz="2" w:space="0" w:color="auto"/>
              <w:bottom w:val="single" w:sz="2" w:space="0" w:color="auto"/>
              <w:right w:val="single" w:sz="2" w:space="0" w:color="auto"/>
            </w:tcBorders>
            <w:vAlign w:val="center"/>
          </w:tcPr>
          <w:p w14:paraId="43EEB2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5,836,457.44</w:t>
            </w:r>
          </w:p>
        </w:tc>
      </w:tr>
      <w:tr w:rsidR="00F73301" w:rsidRPr="00F73301" w14:paraId="7308C5D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09BFCB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1B3A9AB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143,987,542.57</w:t>
            </w:r>
          </w:p>
        </w:tc>
        <w:tc>
          <w:tcPr>
            <w:tcW w:w="1928" w:type="dxa"/>
            <w:tcBorders>
              <w:top w:val="single" w:sz="2" w:space="0" w:color="auto"/>
              <w:left w:val="single" w:sz="2" w:space="0" w:color="auto"/>
              <w:bottom w:val="single" w:sz="2" w:space="0" w:color="auto"/>
              <w:right w:val="single" w:sz="2" w:space="0" w:color="auto"/>
            </w:tcBorders>
            <w:vAlign w:val="center"/>
          </w:tcPr>
          <w:p w14:paraId="324E85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401,161,774.31</w:t>
            </w:r>
          </w:p>
        </w:tc>
        <w:tc>
          <w:tcPr>
            <w:tcW w:w="1928" w:type="dxa"/>
            <w:tcBorders>
              <w:top w:val="single" w:sz="2" w:space="0" w:color="auto"/>
              <w:left w:val="single" w:sz="2" w:space="0" w:color="auto"/>
              <w:bottom w:val="single" w:sz="2" w:space="0" w:color="auto"/>
              <w:right w:val="single" w:sz="2" w:space="0" w:color="auto"/>
            </w:tcBorders>
            <w:vAlign w:val="center"/>
          </w:tcPr>
          <w:p w14:paraId="09614E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454,362,301.40</w:t>
            </w:r>
          </w:p>
        </w:tc>
        <w:tc>
          <w:tcPr>
            <w:tcW w:w="1928" w:type="dxa"/>
            <w:tcBorders>
              <w:top w:val="single" w:sz="2" w:space="0" w:color="auto"/>
              <w:left w:val="single" w:sz="2" w:space="0" w:color="auto"/>
              <w:bottom w:val="single" w:sz="2" w:space="0" w:color="auto"/>
              <w:right w:val="single" w:sz="2" w:space="0" w:color="auto"/>
            </w:tcBorders>
            <w:vAlign w:val="center"/>
          </w:tcPr>
          <w:p w14:paraId="7508F0B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90,787,015.48</w:t>
            </w:r>
          </w:p>
        </w:tc>
      </w:tr>
    </w:tbl>
    <w:p w14:paraId="329AF66A"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35" w:name="_Toc989123"/>
      <w:r w:rsidRPr="00F73301">
        <w:rPr>
          <w:rFonts w:ascii="Times New Roman" w:eastAsia="宋体" w:hAnsi="Times New Roman" w:cs="Times New Roman"/>
          <w:b/>
          <w:bCs/>
          <w:sz w:val="24"/>
          <w:szCs w:val="24"/>
        </w:rPr>
        <w:t>(3) List of defined contribution plans</w:t>
      </w:r>
      <w:bookmarkEnd w:id="235"/>
    </w:p>
    <w:p w14:paraId="7DEC1F9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113375C1"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84D0F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50E61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A98358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4A843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BE00D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5CA8F0B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E39165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 Basic pension insurance</w:t>
            </w:r>
          </w:p>
        </w:tc>
        <w:tc>
          <w:tcPr>
            <w:tcW w:w="1928" w:type="dxa"/>
            <w:tcBorders>
              <w:top w:val="single" w:sz="2" w:space="0" w:color="auto"/>
              <w:left w:val="single" w:sz="2" w:space="0" w:color="auto"/>
              <w:bottom w:val="single" w:sz="2" w:space="0" w:color="auto"/>
              <w:right w:val="single" w:sz="2" w:space="0" w:color="auto"/>
            </w:tcBorders>
            <w:vAlign w:val="center"/>
          </w:tcPr>
          <w:p w14:paraId="6F1A44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430,152.41</w:t>
            </w:r>
          </w:p>
        </w:tc>
        <w:tc>
          <w:tcPr>
            <w:tcW w:w="1928" w:type="dxa"/>
            <w:tcBorders>
              <w:top w:val="single" w:sz="2" w:space="0" w:color="auto"/>
              <w:left w:val="single" w:sz="2" w:space="0" w:color="auto"/>
              <w:bottom w:val="single" w:sz="2" w:space="0" w:color="auto"/>
              <w:right w:val="single" w:sz="2" w:space="0" w:color="auto"/>
            </w:tcBorders>
            <w:vAlign w:val="center"/>
          </w:tcPr>
          <w:p w14:paraId="5DB8F3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34,120,273.68</w:t>
            </w:r>
          </w:p>
        </w:tc>
        <w:tc>
          <w:tcPr>
            <w:tcW w:w="1928" w:type="dxa"/>
            <w:tcBorders>
              <w:top w:val="single" w:sz="2" w:space="0" w:color="auto"/>
              <w:left w:val="single" w:sz="2" w:space="0" w:color="auto"/>
              <w:bottom w:val="single" w:sz="2" w:space="0" w:color="auto"/>
              <w:right w:val="single" w:sz="2" w:space="0" w:color="auto"/>
            </w:tcBorders>
            <w:vAlign w:val="center"/>
          </w:tcPr>
          <w:p w14:paraId="1B61CAB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34,465,571.90</w:t>
            </w:r>
          </w:p>
        </w:tc>
        <w:tc>
          <w:tcPr>
            <w:tcW w:w="1928" w:type="dxa"/>
            <w:tcBorders>
              <w:top w:val="single" w:sz="2" w:space="0" w:color="auto"/>
              <w:left w:val="single" w:sz="2" w:space="0" w:color="auto"/>
              <w:bottom w:val="single" w:sz="2" w:space="0" w:color="auto"/>
              <w:right w:val="single" w:sz="2" w:space="0" w:color="auto"/>
            </w:tcBorders>
            <w:vAlign w:val="center"/>
          </w:tcPr>
          <w:p w14:paraId="11AAB3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84,854.19</w:t>
            </w:r>
          </w:p>
        </w:tc>
      </w:tr>
      <w:tr w:rsidR="00F73301" w:rsidRPr="00F73301" w14:paraId="45C23BF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27396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 Unemployment insurance premiums</w:t>
            </w:r>
          </w:p>
        </w:tc>
        <w:tc>
          <w:tcPr>
            <w:tcW w:w="1928" w:type="dxa"/>
            <w:tcBorders>
              <w:top w:val="single" w:sz="2" w:space="0" w:color="auto"/>
              <w:left w:val="single" w:sz="2" w:space="0" w:color="auto"/>
              <w:bottom w:val="single" w:sz="2" w:space="0" w:color="auto"/>
              <w:right w:val="single" w:sz="2" w:space="0" w:color="auto"/>
            </w:tcBorders>
            <w:vAlign w:val="center"/>
          </w:tcPr>
          <w:p w14:paraId="73D2029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20,656.02</w:t>
            </w:r>
          </w:p>
        </w:tc>
        <w:tc>
          <w:tcPr>
            <w:tcW w:w="1928" w:type="dxa"/>
            <w:tcBorders>
              <w:top w:val="single" w:sz="2" w:space="0" w:color="auto"/>
              <w:left w:val="single" w:sz="2" w:space="0" w:color="auto"/>
              <w:bottom w:val="single" w:sz="2" w:space="0" w:color="auto"/>
              <w:right w:val="single" w:sz="2" w:space="0" w:color="auto"/>
            </w:tcBorders>
            <w:vAlign w:val="center"/>
          </w:tcPr>
          <w:p w14:paraId="5ABAB42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1,087,719.63</w:t>
            </w:r>
          </w:p>
        </w:tc>
        <w:tc>
          <w:tcPr>
            <w:tcW w:w="1928" w:type="dxa"/>
            <w:tcBorders>
              <w:top w:val="single" w:sz="2" w:space="0" w:color="auto"/>
              <w:left w:val="single" w:sz="2" w:space="0" w:color="auto"/>
              <w:bottom w:val="single" w:sz="2" w:space="0" w:color="auto"/>
              <w:right w:val="single" w:sz="2" w:space="0" w:color="auto"/>
            </w:tcBorders>
            <w:vAlign w:val="center"/>
          </w:tcPr>
          <w:p w14:paraId="479DE65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1,101,587.51</w:t>
            </w:r>
          </w:p>
        </w:tc>
        <w:tc>
          <w:tcPr>
            <w:tcW w:w="1928" w:type="dxa"/>
            <w:tcBorders>
              <w:top w:val="single" w:sz="2" w:space="0" w:color="auto"/>
              <w:left w:val="single" w:sz="2" w:space="0" w:color="auto"/>
              <w:bottom w:val="single" w:sz="2" w:space="0" w:color="auto"/>
              <w:right w:val="single" w:sz="2" w:space="0" w:color="auto"/>
            </w:tcBorders>
            <w:vAlign w:val="center"/>
          </w:tcPr>
          <w:p w14:paraId="0F9AEE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6,788.14</w:t>
            </w:r>
          </w:p>
        </w:tc>
      </w:tr>
      <w:tr w:rsidR="00F73301" w:rsidRPr="00F73301" w14:paraId="38EF6444"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83F8A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2CE805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450,808.43</w:t>
            </w:r>
          </w:p>
        </w:tc>
        <w:tc>
          <w:tcPr>
            <w:tcW w:w="1928" w:type="dxa"/>
            <w:tcBorders>
              <w:top w:val="single" w:sz="2" w:space="0" w:color="auto"/>
              <w:left w:val="single" w:sz="2" w:space="0" w:color="auto"/>
              <w:bottom w:val="single" w:sz="2" w:space="0" w:color="auto"/>
              <w:right w:val="single" w:sz="2" w:space="0" w:color="auto"/>
            </w:tcBorders>
            <w:vAlign w:val="center"/>
          </w:tcPr>
          <w:p w14:paraId="5C2D945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35,207,993.31</w:t>
            </w:r>
          </w:p>
        </w:tc>
        <w:tc>
          <w:tcPr>
            <w:tcW w:w="1928" w:type="dxa"/>
            <w:tcBorders>
              <w:top w:val="single" w:sz="2" w:space="0" w:color="auto"/>
              <w:left w:val="single" w:sz="2" w:space="0" w:color="auto"/>
              <w:bottom w:val="single" w:sz="2" w:space="0" w:color="auto"/>
              <w:right w:val="single" w:sz="2" w:space="0" w:color="auto"/>
            </w:tcBorders>
            <w:vAlign w:val="center"/>
          </w:tcPr>
          <w:p w14:paraId="5BA16C3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35,567,159.41</w:t>
            </w:r>
          </w:p>
        </w:tc>
        <w:tc>
          <w:tcPr>
            <w:tcW w:w="1928" w:type="dxa"/>
            <w:tcBorders>
              <w:top w:val="single" w:sz="2" w:space="0" w:color="auto"/>
              <w:left w:val="single" w:sz="2" w:space="0" w:color="auto"/>
              <w:bottom w:val="single" w:sz="2" w:space="0" w:color="auto"/>
              <w:right w:val="single" w:sz="2" w:space="0" w:color="auto"/>
            </w:tcBorders>
            <w:vAlign w:val="center"/>
          </w:tcPr>
          <w:p w14:paraId="5AC0FE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91,642.33</w:t>
            </w:r>
          </w:p>
        </w:tc>
      </w:tr>
    </w:tbl>
    <w:p w14:paraId="52E6454A"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66FD17C0"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168501DC"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36" w:name="_Toc989124"/>
      <w:r w:rsidRPr="00F73301">
        <w:rPr>
          <w:rFonts w:ascii="Times New Roman" w:eastAsia="宋体" w:hAnsi="Times New Roman" w:cs="Times New Roman"/>
          <w:b/>
          <w:bCs/>
          <w:sz w:val="24"/>
          <w:szCs w:val="24"/>
        </w:rPr>
        <w:t>25. Taxes and rates payable</w:t>
      </w:r>
      <w:bookmarkEnd w:id="236"/>
    </w:p>
    <w:p w14:paraId="07A517F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76E030B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95E7D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EB7C3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093FC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6968A64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B9FFF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VAT</w:t>
            </w:r>
          </w:p>
        </w:tc>
        <w:tc>
          <w:tcPr>
            <w:tcW w:w="3213" w:type="dxa"/>
            <w:tcBorders>
              <w:top w:val="single" w:sz="2" w:space="0" w:color="auto"/>
              <w:left w:val="single" w:sz="2" w:space="0" w:color="auto"/>
              <w:bottom w:val="single" w:sz="2" w:space="0" w:color="auto"/>
              <w:right w:val="single" w:sz="2" w:space="0" w:color="auto"/>
            </w:tcBorders>
            <w:vAlign w:val="center"/>
          </w:tcPr>
          <w:p w14:paraId="279DDA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9,254,842.06</w:t>
            </w:r>
          </w:p>
        </w:tc>
        <w:tc>
          <w:tcPr>
            <w:tcW w:w="3213" w:type="dxa"/>
            <w:tcBorders>
              <w:top w:val="single" w:sz="2" w:space="0" w:color="auto"/>
              <w:left w:val="single" w:sz="2" w:space="0" w:color="auto"/>
              <w:bottom w:val="single" w:sz="2" w:space="0" w:color="auto"/>
              <w:right w:val="single" w:sz="2" w:space="0" w:color="auto"/>
            </w:tcBorders>
            <w:vAlign w:val="center"/>
          </w:tcPr>
          <w:p w14:paraId="6DD3978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5,548,536.19</w:t>
            </w:r>
          </w:p>
        </w:tc>
      </w:tr>
      <w:tr w:rsidR="00F73301" w:rsidRPr="00F73301" w14:paraId="1B16402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C0C1D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Enterprise income tax</w:t>
            </w:r>
          </w:p>
        </w:tc>
        <w:tc>
          <w:tcPr>
            <w:tcW w:w="3213" w:type="dxa"/>
            <w:tcBorders>
              <w:top w:val="single" w:sz="2" w:space="0" w:color="auto"/>
              <w:left w:val="single" w:sz="2" w:space="0" w:color="auto"/>
              <w:bottom w:val="single" w:sz="2" w:space="0" w:color="auto"/>
              <w:right w:val="single" w:sz="2" w:space="0" w:color="auto"/>
            </w:tcBorders>
            <w:vAlign w:val="center"/>
          </w:tcPr>
          <w:p w14:paraId="73D96E8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15,889,195.18</w:t>
            </w:r>
          </w:p>
        </w:tc>
        <w:tc>
          <w:tcPr>
            <w:tcW w:w="3213" w:type="dxa"/>
            <w:tcBorders>
              <w:top w:val="single" w:sz="2" w:space="0" w:color="auto"/>
              <w:left w:val="single" w:sz="2" w:space="0" w:color="auto"/>
              <w:bottom w:val="single" w:sz="2" w:space="0" w:color="auto"/>
              <w:right w:val="single" w:sz="2" w:space="0" w:color="auto"/>
            </w:tcBorders>
            <w:vAlign w:val="center"/>
          </w:tcPr>
          <w:p w14:paraId="77733DC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9,809,162.29</w:t>
            </w:r>
          </w:p>
        </w:tc>
      </w:tr>
      <w:tr w:rsidR="00F73301" w:rsidRPr="00F73301" w14:paraId="67A5A89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A7126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Individual income tax</w:t>
            </w:r>
          </w:p>
        </w:tc>
        <w:tc>
          <w:tcPr>
            <w:tcW w:w="3213" w:type="dxa"/>
            <w:tcBorders>
              <w:top w:val="single" w:sz="2" w:space="0" w:color="auto"/>
              <w:left w:val="single" w:sz="2" w:space="0" w:color="auto"/>
              <w:bottom w:val="single" w:sz="2" w:space="0" w:color="auto"/>
              <w:right w:val="single" w:sz="2" w:space="0" w:color="auto"/>
            </w:tcBorders>
            <w:vAlign w:val="center"/>
          </w:tcPr>
          <w:p w14:paraId="077A8A5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1,925,125.43</w:t>
            </w:r>
          </w:p>
        </w:tc>
        <w:tc>
          <w:tcPr>
            <w:tcW w:w="3213" w:type="dxa"/>
            <w:tcBorders>
              <w:top w:val="single" w:sz="2" w:space="0" w:color="auto"/>
              <w:left w:val="single" w:sz="2" w:space="0" w:color="auto"/>
              <w:bottom w:val="single" w:sz="2" w:space="0" w:color="auto"/>
              <w:right w:val="single" w:sz="2" w:space="0" w:color="auto"/>
            </w:tcBorders>
            <w:vAlign w:val="center"/>
          </w:tcPr>
          <w:p w14:paraId="0318C0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2,188,321.08</w:t>
            </w:r>
          </w:p>
        </w:tc>
      </w:tr>
      <w:tr w:rsidR="00F73301" w:rsidRPr="00F73301" w14:paraId="091EFF7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414B4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Urban maintenance and construction tax</w:t>
            </w:r>
          </w:p>
        </w:tc>
        <w:tc>
          <w:tcPr>
            <w:tcW w:w="3213" w:type="dxa"/>
            <w:tcBorders>
              <w:top w:val="single" w:sz="2" w:space="0" w:color="auto"/>
              <w:left w:val="single" w:sz="2" w:space="0" w:color="auto"/>
              <w:bottom w:val="single" w:sz="2" w:space="0" w:color="auto"/>
              <w:right w:val="single" w:sz="2" w:space="0" w:color="auto"/>
            </w:tcBorders>
            <w:vAlign w:val="center"/>
          </w:tcPr>
          <w:p w14:paraId="38F0AF0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1,221,059.51</w:t>
            </w:r>
          </w:p>
        </w:tc>
        <w:tc>
          <w:tcPr>
            <w:tcW w:w="3213" w:type="dxa"/>
            <w:tcBorders>
              <w:top w:val="single" w:sz="2" w:space="0" w:color="auto"/>
              <w:left w:val="single" w:sz="2" w:space="0" w:color="auto"/>
              <w:bottom w:val="single" w:sz="2" w:space="0" w:color="auto"/>
              <w:right w:val="single" w:sz="2" w:space="0" w:color="auto"/>
            </w:tcBorders>
            <w:vAlign w:val="center"/>
          </w:tcPr>
          <w:p w14:paraId="0477F5D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1,088,562.34</w:t>
            </w:r>
          </w:p>
        </w:tc>
      </w:tr>
      <w:tr w:rsidR="00F73301" w:rsidRPr="00F73301" w14:paraId="5F37685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53B413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Property tax</w:t>
            </w:r>
          </w:p>
        </w:tc>
        <w:tc>
          <w:tcPr>
            <w:tcW w:w="3213" w:type="dxa"/>
            <w:tcBorders>
              <w:top w:val="single" w:sz="2" w:space="0" w:color="auto"/>
              <w:left w:val="single" w:sz="2" w:space="0" w:color="auto"/>
              <w:bottom w:val="single" w:sz="2" w:space="0" w:color="auto"/>
              <w:right w:val="single" w:sz="2" w:space="0" w:color="auto"/>
            </w:tcBorders>
            <w:vAlign w:val="center"/>
          </w:tcPr>
          <w:p w14:paraId="4D418B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1,702,802.33</w:t>
            </w:r>
          </w:p>
        </w:tc>
        <w:tc>
          <w:tcPr>
            <w:tcW w:w="3213" w:type="dxa"/>
            <w:tcBorders>
              <w:top w:val="single" w:sz="2" w:space="0" w:color="auto"/>
              <w:left w:val="single" w:sz="2" w:space="0" w:color="auto"/>
              <w:bottom w:val="single" w:sz="2" w:space="0" w:color="auto"/>
              <w:right w:val="single" w:sz="2" w:space="0" w:color="auto"/>
            </w:tcBorders>
            <w:vAlign w:val="center"/>
          </w:tcPr>
          <w:p w14:paraId="668A359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1,167,589.93</w:t>
            </w:r>
          </w:p>
        </w:tc>
      </w:tr>
      <w:tr w:rsidR="00F73301" w:rsidRPr="00F73301" w14:paraId="085D5B2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BAA435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Land use tax</w:t>
            </w:r>
          </w:p>
        </w:tc>
        <w:tc>
          <w:tcPr>
            <w:tcW w:w="3213" w:type="dxa"/>
            <w:tcBorders>
              <w:top w:val="single" w:sz="2" w:space="0" w:color="auto"/>
              <w:left w:val="single" w:sz="2" w:space="0" w:color="auto"/>
              <w:bottom w:val="single" w:sz="2" w:space="0" w:color="auto"/>
              <w:right w:val="single" w:sz="2" w:space="0" w:color="auto"/>
            </w:tcBorders>
            <w:vAlign w:val="center"/>
          </w:tcPr>
          <w:p w14:paraId="7DE759B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313,235.24</w:t>
            </w:r>
          </w:p>
        </w:tc>
        <w:tc>
          <w:tcPr>
            <w:tcW w:w="3213" w:type="dxa"/>
            <w:tcBorders>
              <w:top w:val="single" w:sz="2" w:space="0" w:color="auto"/>
              <w:left w:val="single" w:sz="2" w:space="0" w:color="auto"/>
              <w:bottom w:val="single" w:sz="2" w:space="0" w:color="auto"/>
              <w:right w:val="single" w:sz="2" w:space="0" w:color="auto"/>
            </w:tcBorders>
            <w:vAlign w:val="center"/>
          </w:tcPr>
          <w:p w14:paraId="2F69C9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306,664.43</w:t>
            </w:r>
          </w:p>
        </w:tc>
      </w:tr>
      <w:tr w:rsidR="00F73301" w:rsidRPr="00F73301" w14:paraId="5FD2536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07DE30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Education surcharge</w:t>
            </w:r>
          </w:p>
        </w:tc>
        <w:tc>
          <w:tcPr>
            <w:tcW w:w="3213" w:type="dxa"/>
            <w:tcBorders>
              <w:top w:val="single" w:sz="2" w:space="0" w:color="auto"/>
              <w:left w:val="single" w:sz="2" w:space="0" w:color="auto"/>
              <w:bottom w:val="single" w:sz="2" w:space="0" w:color="auto"/>
              <w:right w:val="single" w:sz="2" w:space="0" w:color="auto"/>
            </w:tcBorders>
            <w:vAlign w:val="center"/>
          </w:tcPr>
          <w:p w14:paraId="787A1A9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543,335.67</w:t>
            </w:r>
          </w:p>
        </w:tc>
        <w:tc>
          <w:tcPr>
            <w:tcW w:w="3213" w:type="dxa"/>
            <w:tcBorders>
              <w:top w:val="single" w:sz="2" w:space="0" w:color="auto"/>
              <w:left w:val="single" w:sz="2" w:space="0" w:color="auto"/>
              <w:bottom w:val="single" w:sz="2" w:space="0" w:color="auto"/>
              <w:right w:val="single" w:sz="2" w:space="0" w:color="auto"/>
            </w:tcBorders>
            <w:vAlign w:val="center"/>
          </w:tcPr>
          <w:p w14:paraId="7F5AF76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472,432.51</w:t>
            </w:r>
          </w:p>
        </w:tc>
      </w:tr>
      <w:tr w:rsidR="00F73301" w:rsidRPr="00F73301" w14:paraId="0E850C8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2D5A12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Local education surcharge</w:t>
            </w:r>
          </w:p>
        </w:tc>
        <w:tc>
          <w:tcPr>
            <w:tcW w:w="3213" w:type="dxa"/>
            <w:tcBorders>
              <w:top w:val="single" w:sz="2" w:space="0" w:color="auto"/>
              <w:left w:val="single" w:sz="2" w:space="0" w:color="auto"/>
              <w:bottom w:val="single" w:sz="2" w:space="0" w:color="auto"/>
              <w:right w:val="single" w:sz="2" w:space="0" w:color="auto"/>
            </w:tcBorders>
            <w:vAlign w:val="center"/>
          </w:tcPr>
          <w:p w14:paraId="78944B1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362,223.77</w:t>
            </w:r>
          </w:p>
        </w:tc>
        <w:tc>
          <w:tcPr>
            <w:tcW w:w="3213" w:type="dxa"/>
            <w:tcBorders>
              <w:top w:val="single" w:sz="2" w:space="0" w:color="auto"/>
              <w:left w:val="single" w:sz="2" w:space="0" w:color="auto"/>
              <w:bottom w:val="single" w:sz="2" w:space="0" w:color="auto"/>
              <w:right w:val="single" w:sz="2" w:space="0" w:color="auto"/>
            </w:tcBorders>
            <w:vAlign w:val="center"/>
          </w:tcPr>
          <w:p w14:paraId="6C1220E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308,719.34</w:t>
            </w:r>
          </w:p>
        </w:tc>
      </w:tr>
      <w:tr w:rsidR="00F73301" w:rsidRPr="00F73301" w14:paraId="31D9E0E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13E12A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Stamp duty and others</w:t>
            </w:r>
          </w:p>
        </w:tc>
        <w:tc>
          <w:tcPr>
            <w:tcW w:w="3213" w:type="dxa"/>
            <w:tcBorders>
              <w:top w:val="single" w:sz="2" w:space="0" w:color="auto"/>
              <w:left w:val="single" w:sz="2" w:space="0" w:color="auto"/>
              <w:bottom w:val="single" w:sz="2" w:space="0" w:color="auto"/>
              <w:right w:val="single" w:sz="2" w:space="0" w:color="auto"/>
            </w:tcBorders>
            <w:vAlign w:val="center"/>
          </w:tcPr>
          <w:p w14:paraId="655D427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1,175,529.89</w:t>
            </w:r>
          </w:p>
        </w:tc>
        <w:tc>
          <w:tcPr>
            <w:tcW w:w="3213" w:type="dxa"/>
            <w:tcBorders>
              <w:top w:val="single" w:sz="2" w:space="0" w:color="auto"/>
              <w:left w:val="single" w:sz="2" w:space="0" w:color="auto"/>
              <w:bottom w:val="single" w:sz="2" w:space="0" w:color="auto"/>
              <w:right w:val="single" w:sz="2" w:space="0" w:color="auto"/>
            </w:tcBorders>
            <w:vAlign w:val="center"/>
          </w:tcPr>
          <w:p w14:paraId="45CBAD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939,646.73</w:t>
            </w:r>
          </w:p>
        </w:tc>
      </w:tr>
      <w:tr w:rsidR="00F73301" w:rsidRPr="00F73301" w14:paraId="20DD6CA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970F0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5427A5E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32,387,349.08</w:t>
            </w:r>
          </w:p>
        </w:tc>
        <w:tc>
          <w:tcPr>
            <w:tcW w:w="3213" w:type="dxa"/>
            <w:tcBorders>
              <w:top w:val="single" w:sz="2" w:space="0" w:color="auto"/>
              <w:left w:val="single" w:sz="2" w:space="0" w:color="auto"/>
              <w:bottom w:val="single" w:sz="2" w:space="0" w:color="auto"/>
              <w:right w:val="single" w:sz="2" w:space="0" w:color="auto"/>
            </w:tcBorders>
            <w:vAlign w:val="center"/>
          </w:tcPr>
          <w:p w14:paraId="10156C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21,829,634.84</w:t>
            </w:r>
          </w:p>
        </w:tc>
      </w:tr>
    </w:tbl>
    <w:p w14:paraId="699F34E3"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BBCD4F7"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642BBCE"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37" w:name="_Toc989125"/>
      <w:r w:rsidRPr="00F73301">
        <w:rPr>
          <w:rFonts w:ascii="Times New Roman" w:eastAsia="宋体" w:hAnsi="Times New Roman" w:cs="Times New Roman"/>
          <w:b/>
          <w:bCs/>
          <w:sz w:val="24"/>
          <w:szCs w:val="24"/>
        </w:rPr>
        <w:t>26. Other payables</w:t>
      </w:r>
      <w:bookmarkEnd w:id="237"/>
    </w:p>
    <w:p w14:paraId="392BB0E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10D6486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2DF99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CDCD4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4832E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34ADC0E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A4419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payables</w:t>
            </w:r>
          </w:p>
        </w:tc>
        <w:tc>
          <w:tcPr>
            <w:tcW w:w="3213" w:type="dxa"/>
            <w:tcBorders>
              <w:top w:val="single" w:sz="2" w:space="0" w:color="auto"/>
              <w:left w:val="single" w:sz="2" w:space="0" w:color="auto"/>
              <w:bottom w:val="single" w:sz="2" w:space="0" w:color="auto"/>
              <w:right w:val="single" w:sz="2" w:space="0" w:color="auto"/>
            </w:tcBorders>
            <w:vAlign w:val="center"/>
          </w:tcPr>
          <w:p w14:paraId="437594E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34,029,760.24</w:t>
            </w:r>
          </w:p>
        </w:tc>
        <w:tc>
          <w:tcPr>
            <w:tcW w:w="3213" w:type="dxa"/>
            <w:tcBorders>
              <w:top w:val="single" w:sz="2" w:space="0" w:color="auto"/>
              <w:left w:val="single" w:sz="2" w:space="0" w:color="auto"/>
              <w:bottom w:val="single" w:sz="2" w:space="0" w:color="auto"/>
              <w:right w:val="single" w:sz="2" w:space="0" w:color="auto"/>
            </w:tcBorders>
            <w:vAlign w:val="center"/>
          </w:tcPr>
          <w:p w14:paraId="10DE21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32,643,884.26</w:t>
            </w:r>
          </w:p>
        </w:tc>
      </w:tr>
      <w:tr w:rsidR="00F73301" w:rsidRPr="00F73301" w14:paraId="716F3AB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CF44E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12930E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34,029,760.24</w:t>
            </w:r>
          </w:p>
        </w:tc>
        <w:tc>
          <w:tcPr>
            <w:tcW w:w="3213" w:type="dxa"/>
            <w:tcBorders>
              <w:top w:val="single" w:sz="2" w:space="0" w:color="auto"/>
              <w:left w:val="single" w:sz="2" w:space="0" w:color="auto"/>
              <w:bottom w:val="single" w:sz="2" w:space="0" w:color="auto"/>
              <w:right w:val="single" w:sz="2" w:space="0" w:color="auto"/>
            </w:tcBorders>
            <w:vAlign w:val="center"/>
          </w:tcPr>
          <w:p w14:paraId="2EA4557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32,643,884.26</w:t>
            </w:r>
          </w:p>
        </w:tc>
      </w:tr>
    </w:tbl>
    <w:p w14:paraId="532CC783"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38" w:name="_Toc989126"/>
      <w:r w:rsidRPr="00F73301">
        <w:rPr>
          <w:rFonts w:ascii="Times New Roman" w:eastAsia="宋体" w:hAnsi="Times New Roman" w:cs="Times New Roman"/>
          <w:b/>
          <w:bCs/>
          <w:sz w:val="24"/>
          <w:szCs w:val="24"/>
        </w:rPr>
        <w:t>(1) Other payables</w:t>
      </w:r>
      <w:bookmarkEnd w:id="238"/>
    </w:p>
    <w:p w14:paraId="77EED39D" w14:textId="77777777" w:rsidR="00F73301" w:rsidRPr="00F73301" w:rsidRDefault="00F73301" w:rsidP="008A539F">
      <w:pPr>
        <w:keepNext/>
        <w:keepLines/>
        <w:snapToGrid w:val="0"/>
        <w:spacing w:beforeLines="50" w:before="156" w:afterLines="50" w:after="156"/>
        <w:jc w:val="both"/>
        <w:outlineLvl w:val="4"/>
        <w:rPr>
          <w:rFonts w:ascii="Times New Roman" w:eastAsia="宋体" w:hAnsi="Times New Roman" w:cs="Times New Roman"/>
          <w:b/>
          <w:bCs/>
          <w:sz w:val="24"/>
          <w:szCs w:val="24"/>
        </w:rPr>
      </w:pPr>
      <w:bookmarkStart w:id="239" w:name="_Toc989127"/>
      <w:r w:rsidRPr="00F73301">
        <w:rPr>
          <w:rFonts w:ascii="Times New Roman" w:eastAsia="宋体" w:hAnsi="Times New Roman" w:cs="Times New Roman"/>
          <w:b/>
          <w:bCs/>
          <w:sz w:val="24"/>
          <w:szCs w:val="24"/>
        </w:rPr>
        <w:t>1) Other payables listed by nature of account</w:t>
      </w:r>
      <w:bookmarkEnd w:id="239"/>
    </w:p>
    <w:p w14:paraId="203924E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8CD10C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485C2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03EF2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FB753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17FC75E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E0992E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Payables for equity acquisition</w:t>
            </w:r>
          </w:p>
        </w:tc>
        <w:tc>
          <w:tcPr>
            <w:tcW w:w="3213" w:type="dxa"/>
            <w:tcBorders>
              <w:top w:val="single" w:sz="2" w:space="0" w:color="auto"/>
              <w:left w:val="single" w:sz="2" w:space="0" w:color="auto"/>
              <w:bottom w:val="single" w:sz="2" w:space="0" w:color="auto"/>
              <w:right w:val="single" w:sz="2" w:space="0" w:color="auto"/>
            </w:tcBorders>
            <w:vAlign w:val="center"/>
          </w:tcPr>
          <w:p w14:paraId="6055CEB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1,448,500.00</w:t>
            </w:r>
          </w:p>
        </w:tc>
        <w:tc>
          <w:tcPr>
            <w:tcW w:w="3213" w:type="dxa"/>
            <w:tcBorders>
              <w:top w:val="single" w:sz="2" w:space="0" w:color="auto"/>
              <w:left w:val="single" w:sz="2" w:space="0" w:color="auto"/>
              <w:bottom w:val="single" w:sz="2" w:space="0" w:color="auto"/>
              <w:right w:val="single" w:sz="2" w:space="0" w:color="auto"/>
            </w:tcBorders>
            <w:vAlign w:val="center"/>
          </w:tcPr>
          <w:p w14:paraId="56E7DC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1,448,500.00</w:t>
            </w:r>
          </w:p>
        </w:tc>
      </w:tr>
      <w:tr w:rsidR="00F73301" w:rsidRPr="00F73301" w14:paraId="53A332D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B4414A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Temporary receipts payable</w:t>
            </w:r>
          </w:p>
        </w:tc>
        <w:tc>
          <w:tcPr>
            <w:tcW w:w="3213" w:type="dxa"/>
            <w:tcBorders>
              <w:top w:val="single" w:sz="2" w:space="0" w:color="auto"/>
              <w:left w:val="single" w:sz="2" w:space="0" w:color="auto"/>
              <w:bottom w:val="single" w:sz="2" w:space="0" w:color="auto"/>
              <w:right w:val="single" w:sz="2" w:space="0" w:color="auto"/>
            </w:tcBorders>
            <w:vAlign w:val="center"/>
          </w:tcPr>
          <w:p w14:paraId="0DD84C0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3,617,465.96</w:t>
            </w:r>
          </w:p>
        </w:tc>
        <w:tc>
          <w:tcPr>
            <w:tcW w:w="3213" w:type="dxa"/>
            <w:tcBorders>
              <w:top w:val="single" w:sz="2" w:space="0" w:color="auto"/>
              <w:left w:val="single" w:sz="2" w:space="0" w:color="auto"/>
              <w:bottom w:val="single" w:sz="2" w:space="0" w:color="auto"/>
              <w:right w:val="single" w:sz="2" w:space="0" w:color="auto"/>
            </w:tcBorders>
            <w:vAlign w:val="center"/>
          </w:tcPr>
          <w:p w14:paraId="3DE9F68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2,502,307.96</w:t>
            </w:r>
          </w:p>
        </w:tc>
      </w:tr>
      <w:tr w:rsidR="00F73301" w:rsidRPr="00F73301" w14:paraId="060EBAB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6E1685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3213" w:type="dxa"/>
            <w:tcBorders>
              <w:top w:val="single" w:sz="2" w:space="0" w:color="auto"/>
              <w:left w:val="single" w:sz="2" w:space="0" w:color="auto"/>
              <w:bottom w:val="single" w:sz="2" w:space="0" w:color="auto"/>
              <w:right w:val="single" w:sz="2" w:space="0" w:color="auto"/>
            </w:tcBorders>
            <w:vAlign w:val="center"/>
          </w:tcPr>
          <w:p w14:paraId="006CF1C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8,222,140.70</w:t>
            </w:r>
          </w:p>
        </w:tc>
        <w:tc>
          <w:tcPr>
            <w:tcW w:w="3213" w:type="dxa"/>
            <w:tcBorders>
              <w:top w:val="single" w:sz="2" w:space="0" w:color="auto"/>
              <w:left w:val="single" w:sz="2" w:space="0" w:color="auto"/>
              <w:bottom w:val="single" w:sz="2" w:space="0" w:color="auto"/>
              <w:right w:val="single" w:sz="2" w:space="0" w:color="auto"/>
            </w:tcBorders>
            <w:vAlign w:val="center"/>
          </w:tcPr>
          <w:p w14:paraId="6E852C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3,136,775.27</w:t>
            </w:r>
          </w:p>
        </w:tc>
      </w:tr>
      <w:tr w:rsidR="00F73301" w:rsidRPr="00F73301" w14:paraId="5CFB76A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E1DDEC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Accrued expenses</w:t>
            </w:r>
          </w:p>
        </w:tc>
        <w:tc>
          <w:tcPr>
            <w:tcW w:w="3213" w:type="dxa"/>
            <w:tcBorders>
              <w:top w:val="single" w:sz="2" w:space="0" w:color="auto"/>
              <w:left w:val="single" w:sz="2" w:space="0" w:color="auto"/>
              <w:bottom w:val="single" w:sz="2" w:space="0" w:color="auto"/>
              <w:right w:val="single" w:sz="2" w:space="0" w:color="auto"/>
            </w:tcBorders>
            <w:vAlign w:val="center"/>
          </w:tcPr>
          <w:p w14:paraId="5AF7C85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20,741,653.58</w:t>
            </w:r>
          </w:p>
        </w:tc>
        <w:tc>
          <w:tcPr>
            <w:tcW w:w="3213" w:type="dxa"/>
            <w:tcBorders>
              <w:top w:val="single" w:sz="2" w:space="0" w:color="auto"/>
              <w:left w:val="single" w:sz="2" w:space="0" w:color="auto"/>
              <w:bottom w:val="single" w:sz="2" w:space="0" w:color="auto"/>
              <w:right w:val="single" w:sz="2" w:space="0" w:color="auto"/>
            </w:tcBorders>
            <w:vAlign w:val="center"/>
          </w:tcPr>
          <w:p w14:paraId="6ECD81D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25,556,301.03</w:t>
            </w:r>
          </w:p>
        </w:tc>
      </w:tr>
      <w:tr w:rsidR="00F73301" w:rsidRPr="00F73301" w14:paraId="7100F1E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03418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35F5AA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34,029,760.24</w:t>
            </w:r>
          </w:p>
        </w:tc>
        <w:tc>
          <w:tcPr>
            <w:tcW w:w="3213" w:type="dxa"/>
            <w:tcBorders>
              <w:top w:val="single" w:sz="2" w:space="0" w:color="auto"/>
              <w:left w:val="single" w:sz="2" w:space="0" w:color="auto"/>
              <w:bottom w:val="single" w:sz="2" w:space="0" w:color="auto"/>
              <w:right w:val="single" w:sz="2" w:space="0" w:color="auto"/>
            </w:tcBorders>
            <w:vAlign w:val="center"/>
          </w:tcPr>
          <w:p w14:paraId="2C9F295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32,643,884.26</w:t>
            </w:r>
          </w:p>
        </w:tc>
      </w:tr>
    </w:tbl>
    <w:p w14:paraId="4C4DE158" w14:textId="77777777" w:rsidR="00F73301" w:rsidRPr="00F73301" w:rsidRDefault="00F73301" w:rsidP="008A539F">
      <w:pPr>
        <w:keepNext/>
        <w:keepLines/>
        <w:snapToGrid w:val="0"/>
        <w:spacing w:beforeLines="50" w:before="156" w:afterLines="50" w:after="156"/>
        <w:jc w:val="both"/>
        <w:outlineLvl w:val="4"/>
        <w:rPr>
          <w:rFonts w:ascii="Times New Roman" w:eastAsia="宋体" w:hAnsi="Times New Roman" w:cs="Times New Roman"/>
          <w:b/>
          <w:bCs/>
          <w:sz w:val="24"/>
          <w:szCs w:val="24"/>
        </w:rPr>
      </w:pPr>
      <w:bookmarkStart w:id="240" w:name="_Toc989128"/>
      <w:r w:rsidRPr="00F73301">
        <w:rPr>
          <w:rFonts w:ascii="Times New Roman" w:eastAsia="宋体" w:hAnsi="Times New Roman" w:cs="Times New Roman"/>
          <w:b/>
          <w:bCs/>
          <w:sz w:val="24"/>
          <w:szCs w:val="24"/>
        </w:rPr>
        <w:t>2) Significant other accounts payable aged over one year</w:t>
      </w:r>
      <w:bookmarkEnd w:id="240"/>
    </w:p>
    <w:p w14:paraId="62CADB7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CA6188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53212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2CA23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584D9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Unpaid/Un-carry-over reason</w:t>
            </w:r>
          </w:p>
        </w:tc>
      </w:tr>
    </w:tbl>
    <w:p w14:paraId="7B0828D1"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0312CD18"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352CC3E"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41" w:name="_Toc989129"/>
      <w:r w:rsidRPr="00F73301">
        <w:rPr>
          <w:rFonts w:ascii="Times New Roman" w:eastAsia="宋体" w:hAnsi="Times New Roman" w:cs="Times New Roman"/>
          <w:b/>
          <w:bCs/>
          <w:sz w:val="24"/>
          <w:szCs w:val="24"/>
        </w:rPr>
        <w:t>27. Non-current liabilities due within one year</w:t>
      </w:r>
      <w:bookmarkEnd w:id="241"/>
    </w:p>
    <w:p w14:paraId="1A7214A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1C88E56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9043D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87E2F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1A42F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3AAC82A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D4DC0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borrowings due within one year</w:t>
            </w:r>
          </w:p>
        </w:tc>
        <w:tc>
          <w:tcPr>
            <w:tcW w:w="3213" w:type="dxa"/>
            <w:tcBorders>
              <w:top w:val="single" w:sz="2" w:space="0" w:color="auto"/>
              <w:left w:val="single" w:sz="2" w:space="0" w:color="auto"/>
              <w:bottom w:val="single" w:sz="2" w:space="0" w:color="auto"/>
              <w:right w:val="single" w:sz="2" w:space="0" w:color="auto"/>
            </w:tcBorders>
            <w:vAlign w:val="center"/>
          </w:tcPr>
          <w:p w14:paraId="630918C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200,375,000.00</w:t>
            </w:r>
          </w:p>
        </w:tc>
        <w:tc>
          <w:tcPr>
            <w:tcW w:w="3213" w:type="dxa"/>
            <w:tcBorders>
              <w:top w:val="single" w:sz="2" w:space="0" w:color="auto"/>
              <w:left w:val="single" w:sz="2" w:space="0" w:color="auto"/>
              <w:bottom w:val="single" w:sz="2" w:space="0" w:color="auto"/>
              <w:right w:val="single" w:sz="2" w:space="0" w:color="auto"/>
            </w:tcBorders>
            <w:vAlign w:val="center"/>
          </w:tcPr>
          <w:p w14:paraId="6F08AB9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100,075,000.00</w:t>
            </w:r>
          </w:p>
        </w:tc>
      </w:tr>
      <w:tr w:rsidR="00F73301" w:rsidRPr="00F73301" w14:paraId="4FDAF54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1CE14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Lease liabilities due within one year</w:t>
            </w:r>
          </w:p>
        </w:tc>
        <w:tc>
          <w:tcPr>
            <w:tcW w:w="3213" w:type="dxa"/>
            <w:tcBorders>
              <w:top w:val="single" w:sz="2" w:space="0" w:color="auto"/>
              <w:left w:val="single" w:sz="2" w:space="0" w:color="auto"/>
              <w:bottom w:val="single" w:sz="2" w:space="0" w:color="auto"/>
              <w:right w:val="single" w:sz="2" w:space="0" w:color="auto"/>
            </w:tcBorders>
            <w:vAlign w:val="center"/>
          </w:tcPr>
          <w:p w14:paraId="79FAA1B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2,422,222.08</w:t>
            </w:r>
          </w:p>
        </w:tc>
        <w:tc>
          <w:tcPr>
            <w:tcW w:w="3213" w:type="dxa"/>
            <w:tcBorders>
              <w:top w:val="single" w:sz="2" w:space="0" w:color="auto"/>
              <w:left w:val="single" w:sz="2" w:space="0" w:color="auto"/>
              <w:bottom w:val="single" w:sz="2" w:space="0" w:color="auto"/>
              <w:right w:val="single" w:sz="2" w:space="0" w:color="auto"/>
            </w:tcBorders>
            <w:vAlign w:val="center"/>
          </w:tcPr>
          <w:p w14:paraId="1F1A527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2,337,112.30</w:t>
            </w:r>
          </w:p>
        </w:tc>
      </w:tr>
      <w:tr w:rsidR="00F73301" w:rsidRPr="00F73301" w14:paraId="015A3E3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0162C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3637B4B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202,797,222.08</w:t>
            </w:r>
          </w:p>
        </w:tc>
        <w:tc>
          <w:tcPr>
            <w:tcW w:w="3213" w:type="dxa"/>
            <w:tcBorders>
              <w:top w:val="single" w:sz="2" w:space="0" w:color="auto"/>
              <w:left w:val="single" w:sz="2" w:space="0" w:color="auto"/>
              <w:bottom w:val="single" w:sz="2" w:space="0" w:color="auto"/>
              <w:right w:val="single" w:sz="2" w:space="0" w:color="auto"/>
            </w:tcBorders>
            <w:vAlign w:val="center"/>
          </w:tcPr>
          <w:p w14:paraId="121D19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102,412,112.30</w:t>
            </w:r>
          </w:p>
        </w:tc>
      </w:tr>
    </w:tbl>
    <w:p w14:paraId="7E10958B"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5D45FB18"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0BEA800"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42" w:name="_Toc989130"/>
      <w:r w:rsidRPr="00F73301">
        <w:rPr>
          <w:rFonts w:ascii="Times New Roman" w:eastAsia="宋体" w:hAnsi="Times New Roman" w:cs="Times New Roman"/>
          <w:b/>
          <w:bCs/>
          <w:sz w:val="24"/>
          <w:szCs w:val="24"/>
        </w:rPr>
        <w:t>28. Other current liabilities</w:t>
      </w:r>
      <w:bookmarkEnd w:id="242"/>
    </w:p>
    <w:p w14:paraId="0D3FF181"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D09045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208BB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9E0CD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5F172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1A5BD06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DF88C7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Output VAT to be recognized</w:t>
            </w:r>
          </w:p>
        </w:tc>
        <w:tc>
          <w:tcPr>
            <w:tcW w:w="3213" w:type="dxa"/>
            <w:tcBorders>
              <w:top w:val="single" w:sz="2" w:space="0" w:color="auto"/>
              <w:left w:val="single" w:sz="2" w:space="0" w:color="auto"/>
              <w:bottom w:val="single" w:sz="2" w:space="0" w:color="auto"/>
              <w:right w:val="single" w:sz="2" w:space="0" w:color="auto"/>
            </w:tcBorders>
            <w:vAlign w:val="center"/>
          </w:tcPr>
          <w:p w14:paraId="0332A68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776,798.69</w:t>
            </w:r>
          </w:p>
        </w:tc>
        <w:tc>
          <w:tcPr>
            <w:tcW w:w="3213" w:type="dxa"/>
            <w:tcBorders>
              <w:top w:val="single" w:sz="2" w:space="0" w:color="auto"/>
              <w:left w:val="single" w:sz="2" w:space="0" w:color="auto"/>
              <w:bottom w:val="single" w:sz="2" w:space="0" w:color="auto"/>
              <w:right w:val="single" w:sz="2" w:space="0" w:color="auto"/>
            </w:tcBorders>
            <w:vAlign w:val="center"/>
          </w:tcPr>
          <w:p w14:paraId="492B39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2,394,362.02</w:t>
            </w:r>
          </w:p>
        </w:tc>
      </w:tr>
      <w:tr w:rsidR="00F73301" w:rsidRPr="00F73301" w14:paraId="1929F39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56490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3C3C239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776,798.69</w:t>
            </w:r>
          </w:p>
        </w:tc>
        <w:tc>
          <w:tcPr>
            <w:tcW w:w="3213" w:type="dxa"/>
            <w:tcBorders>
              <w:top w:val="single" w:sz="2" w:space="0" w:color="auto"/>
              <w:left w:val="single" w:sz="2" w:space="0" w:color="auto"/>
              <w:bottom w:val="single" w:sz="2" w:space="0" w:color="auto"/>
              <w:right w:val="single" w:sz="2" w:space="0" w:color="auto"/>
            </w:tcBorders>
            <w:vAlign w:val="center"/>
          </w:tcPr>
          <w:p w14:paraId="6A2E9C2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2,394,362.02</w:t>
            </w:r>
          </w:p>
        </w:tc>
      </w:tr>
    </w:tbl>
    <w:p w14:paraId="7971C243"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Increase/Decrease of the short-term bonds payable:</w:t>
      </w:r>
    </w:p>
    <w:p w14:paraId="1C36743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F73301" w:rsidRPr="00F73301" w14:paraId="11B28266"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014F66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Bond name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F3EF0B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Par value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CA5880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Issue date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55F5B0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Bond duration</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6337B5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Issue amount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00EF4F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8D7C0E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Issued in the current period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8113C3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Interest accrued at par value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83F9D9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Amortization of premium and depreciation</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B8E5A2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Repaid in the current period</w:t>
            </w:r>
          </w:p>
        </w:tc>
        <w:tc>
          <w:tcPr>
            <w:tcW w:w="803" w:type="dxa"/>
            <w:tcBorders>
              <w:top w:val="single" w:sz="2" w:space="0" w:color="auto"/>
              <w:left w:val="single" w:sz="2" w:space="0" w:color="auto"/>
              <w:bottom w:val="single" w:sz="2" w:space="0" w:color="auto"/>
              <w:right w:val="single" w:sz="2" w:space="0" w:color="auto"/>
            </w:tcBorders>
            <w:vAlign w:val="center"/>
          </w:tcPr>
          <w:p w14:paraId="1F24E335" w14:textId="77777777" w:rsidR="00F73301" w:rsidRPr="00F73301" w:rsidRDefault="00F73301" w:rsidP="008C49B7">
            <w:pPr>
              <w:snapToGrid w:val="0"/>
              <w:jc w:val="center"/>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52D30B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5BAD4351"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vAlign w:val="center"/>
          </w:tcPr>
          <w:p w14:paraId="08413316" w14:textId="77777777" w:rsidR="00F73301" w:rsidRPr="00F73301" w:rsidRDefault="00F73301" w:rsidP="008C49B7">
            <w:pPr>
              <w:snapToGrid w:val="0"/>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8519707"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D1BBEAE" w14:textId="77777777" w:rsidR="00F73301" w:rsidRPr="00F73301" w:rsidRDefault="00F73301" w:rsidP="008C49B7">
            <w:pPr>
              <w:snapToGrid w:val="0"/>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C6F22EE" w14:textId="77777777" w:rsidR="00F73301" w:rsidRPr="00F73301" w:rsidRDefault="00F73301" w:rsidP="008C49B7">
            <w:pPr>
              <w:snapToGrid w:val="0"/>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E9BD8E8"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BDD0AF4"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9FA2833"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CE52C95"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EEC13DD"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1C2E6EC"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D2192D9"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C0B61A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B15AAE3" w14:textId="77777777" w:rsidTr="0001208F">
        <w:trPr>
          <w:jc w:val="center"/>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0FC4E9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A5F1035" w14:textId="77777777" w:rsidR="00F73301" w:rsidRPr="00F73301" w:rsidRDefault="00F73301" w:rsidP="008C49B7">
            <w:pPr>
              <w:snapToGrid w:val="0"/>
              <w:rPr>
                <w:rFonts w:ascii="Times New Roman" w:eastAsia="等线"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BFD7A92" w14:textId="77777777" w:rsidR="00F73301" w:rsidRPr="00F73301" w:rsidRDefault="00F73301" w:rsidP="008C49B7">
            <w:pPr>
              <w:snapToGrid w:val="0"/>
              <w:rPr>
                <w:rFonts w:ascii="Times New Roman" w:eastAsia="等线"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6543185" w14:textId="77777777" w:rsidR="00F73301" w:rsidRPr="00F73301" w:rsidRDefault="00F73301" w:rsidP="008C49B7">
            <w:pPr>
              <w:snapToGrid w:val="0"/>
              <w:rPr>
                <w:rFonts w:ascii="Times New Roman" w:eastAsia="等线"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6FC862C"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0B40B12"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6197725"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9FCBCD4"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FE4EA8E"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C0725BF"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93FFA42" w14:textId="77777777" w:rsidR="00F73301" w:rsidRPr="00F73301" w:rsidRDefault="00F73301" w:rsidP="008C49B7">
            <w:pPr>
              <w:snapToGrid w:val="0"/>
              <w:jc w:val="right"/>
              <w:rPr>
                <w:rFonts w:ascii="Times New Roman" w:eastAsia="宋体"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670A924" w14:textId="77777777" w:rsidR="00F73301" w:rsidRPr="00F73301" w:rsidRDefault="00F73301" w:rsidP="008C49B7">
            <w:pPr>
              <w:snapToGrid w:val="0"/>
              <w:jc w:val="right"/>
              <w:rPr>
                <w:rFonts w:ascii="Times New Roman" w:eastAsia="宋体" w:hAnsi="Times New Roman" w:cs="Times New Roman"/>
                <w:sz w:val="18"/>
                <w:szCs w:val="18"/>
              </w:rPr>
            </w:pPr>
          </w:p>
        </w:tc>
      </w:tr>
    </w:tbl>
    <w:p w14:paraId="49499404"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6C03738"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7132A0C"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43" w:name="_Toc989131"/>
      <w:r w:rsidRPr="00F73301">
        <w:rPr>
          <w:rFonts w:ascii="Times New Roman" w:eastAsia="宋体" w:hAnsi="Times New Roman" w:cs="Times New Roman"/>
          <w:b/>
          <w:bCs/>
          <w:sz w:val="24"/>
          <w:szCs w:val="24"/>
        </w:rPr>
        <w:t>29. Long-term borrowings</w:t>
      </w:r>
      <w:bookmarkEnd w:id="243"/>
    </w:p>
    <w:p w14:paraId="7540EBDE"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44" w:name="_Toc989132"/>
      <w:r w:rsidRPr="00F73301">
        <w:rPr>
          <w:rFonts w:ascii="Times New Roman" w:eastAsia="宋体" w:hAnsi="Times New Roman" w:cs="Times New Roman"/>
          <w:b/>
          <w:bCs/>
          <w:sz w:val="24"/>
          <w:szCs w:val="24"/>
        </w:rPr>
        <w:t>(1) Category of long-term borrowings</w:t>
      </w:r>
      <w:bookmarkEnd w:id="244"/>
    </w:p>
    <w:p w14:paraId="56A597D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39817ED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BFC8A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80D6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AE084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1C40CDE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EBC42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Mortgaged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6AD152B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400,232,476.17</w:t>
            </w:r>
          </w:p>
        </w:tc>
        <w:tc>
          <w:tcPr>
            <w:tcW w:w="3213" w:type="dxa"/>
            <w:tcBorders>
              <w:top w:val="single" w:sz="2" w:space="0" w:color="auto"/>
              <w:left w:val="single" w:sz="2" w:space="0" w:color="auto"/>
              <w:bottom w:val="single" w:sz="2" w:space="0" w:color="auto"/>
              <w:right w:val="single" w:sz="2" w:space="0" w:color="auto"/>
            </w:tcBorders>
            <w:vAlign w:val="center"/>
          </w:tcPr>
          <w:p w14:paraId="7B5F90B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400,283,333.33</w:t>
            </w:r>
          </w:p>
        </w:tc>
      </w:tr>
      <w:tr w:rsidR="00F73301" w:rsidRPr="00F73301" w14:paraId="14AF662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26BFC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Credit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5298E2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50,008,611.11</w:t>
            </w:r>
          </w:p>
        </w:tc>
        <w:tc>
          <w:tcPr>
            <w:tcW w:w="3213" w:type="dxa"/>
            <w:tcBorders>
              <w:top w:val="single" w:sz="2" w:space="0" w:color="auto"/>
              <w:left w:val="single" w:sz="2" w:space="0" w:color="auto"/>
              <w:bottom w:val="single" w:sz="2" w:space="0" w:color="auto"/>
              <w:right w:val="single" w:sz="2" w:space="0" w:color="auto"/>
            </w:tcBorders>
            <w:vAlign w:val="center"/>
          </w:tcPr>
          <w:p w14:paraId="4E36503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94B965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EDE34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6C349B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450,241,087.28</w:t>
            </w:r>
          </w:p>
        </w:tc>
        <w:tc>
          <w:tcPr>
            <w:tcW w:w="3213" w:type="dxa"/>
            <w:tcBorders>
              <w:top w:val="single" w:sz="2" w:space="0" w:color="auto"/>
              <w:left w:val="single" w:sz="2" w:space="0" w:color="auto"/>
              <w:bottom w:val="single" w:sz="2" w:space="0" w:color="auto"/>
              <w:right w:val="single" w:sz="2" w:space="0" w:color="auto"/>
            </w:tcBorders>
            <w:vAlign w:val="center"/>
          </w:tcPr>
          <w:p w14:paraId="393A368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400,283,333.33</w:t>
            </w:r>
          </w:p>
        </w:tc>
      </w:tr>
    </w:tbl>
    <w:p w14:paraId="33D45124"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 to the category of long-term borrowings:</w:t>
      </w:r>
    </w:p>
    <w:p w14:paraId="7339A65F"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5B0719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 including interest rate range:</w:t>
      </w:r>
    </w:p>
    <w:p w14:paraId="5D036B7A"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73F002F"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45" w:name="_Toc989133"/>
      <w:r w:rsidRPr="00F73301">
        <w:rPr>
          <w:rFonts w:ascii="Times New Roman" w:eastAsia="宋体" w:hAnsi="Times New Roman" w:cs="Times New Roman"/>
          <w:b/>
          <w:bCs/>
          <w:sz w:val="24"/>
          <w:szCs w:val="24"/>
        </w:rPr>
        <w:t>30. Lease liabilities</w:t>
      </w:r>
      <w:bookmarkEnd w:id="245"/>
    </w:p>
    <w:p w14:paraId="76F6F53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3D399E0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2B5A7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3B36C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B0D07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09EABED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6711D4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Lease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1C7D34B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128,387,416.33</w:t>
            </w:r>
          </w:p>
        </w:tc>
        <w:tc>
          <w:tcPr>
            <w:tcW w:w="3213" w:type="dxa"/>
            <w:tcBorders>
              <w:top w:val="single" w:sz="2" w:space="0" w:color="auto"/>
              <w:left w:val="single" w:sz="2" w:space="0" w:color="auto"/>
              <w:bottom w:val="single" w:sz="2" w:space="0" w:color="auto"/>
              <w:right w:val="single" w:sz="2" w:space="0" w:color="auto"/>
            </w:tcBorders>
            <w:vAlign w:val="center"/>
          </w:tcPr>
          <w:p w14:paraId="0A5C16F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5,302,963.08</w:t>
            </w:r>
          </w:p>
        </w:tc>
      </w:tr>
      <w:tr w:rsidR="00F73301" w:rsidRPr="00F73301" w14:paraId="426FED2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DA7997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Unrecognized financing expenses of lease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71B74A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-14,413,328.39</w:t>
            </w:r>
          </w:p>
        </w:tc>
        <w:tc>
          <w:tcPr>
            <w:tcW w:w="3213" w:type="dxa"/>
            <w:tcBorders>
              <w:top w:val="single" w:sz="2" w:space="0" w:color="auto"/>
              <w:left w:val="single" w:sz="2" w:space="0" w:color="auto"/>
              <w:bottom w:val="single" w:sz="2" w:space="0" w:color="auto"/>
              <w:right w:val="single" w:sz="2" w:space="0" w:color="auto"/>
            </w:tcBorders>
            <w:vAlign w:val="center"/>
          </w:tcPr>
          <w:p w14:paraId="1FC0CC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-439,848.52</w:t>
            </w:r>
          </w:p>
        </w:tc>
      </w:tr>
      <w:tr w:rsidR="00F73301" w:rsidRPr="00F73301" w14:paraId="2A62736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E9024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380917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113,974,087.94</w:t>
            </w:r>
          </w:p>
        </w:tc>
        <w:tc>
          <w:tcPr>
            <w:tcW w:w="3213" w:type="dxa"/>
            <w:tcBorders>
              <w:top w:val="single" w:sz="2" w:space="0" w:color="auto"/>
              <w:left w:val="single" w:sz="2" w:space="0" w:color="auto"/>
              <w:bottom w:val="single" w:sz="2" w:space="0" w:color="auto"/>
              <w:right w:val="single" w:sz="2" w:space="0" w:color="auto"/>
            </w:tcBorders>
            <w:vAlign w:val="center"/>
          </w:tcPr>
          <w:p w14:paraId="4FE54A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4,863,114.56</w:t>
            </w:r>
          </w:p>
        </w:tc>
      </w:tr>
    </w:tbl>
    <w:p w14:paraId="1DF30BCB"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0183381"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B7C9DA7"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46" w:name="_Toc989134"/>
      <w:r w:rsidRPr="00F73301">
        <w:rPr>
          <w:rFonts w:ascii="Times New Roman" w:eastAsia="宋体" w:hAnsi="Times New Roman" w:cs="Times New Roman"/>
          <w:b/>
          <w:bCs/>
          <w:sz w:val="24"/>
          <w:szCs w:val="24"/>
        </w:rPr>
        <w:t>31. Deferred income</w:t>
      </w:r>
      <w:bookmarkEnd w:id="246"/>
    </w:p>
    <w:p w14:paraId="46B8D59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4BE0D107"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BE6544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E3CD70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F12053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 for the current period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15E77A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Decrease for the current period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022153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695CCD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Reasons for occurrence</w:t>
            </w:r>
          </w:p>
        </w:tc>
      </w:tr>
      <w:tr w:rsidR="00F73301" w:rsidRPr="00F73301" w14:paraId="30558FCC"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ABFC51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Government grants</w:t>
            </w:r>
          </w:p>
        </w:tc>
        <w:tc>
          <w:tcPr>
            <w:tcW w:w="1606" w:type="dxa"/>
            <w:tcBorders>
              <w:top w:val="single" w:sz="2" w:space="0" w:color="auto"/>
              <w:left w:val="single" w:sz="2" w:space="0" w:color="auto"/>
              <w:bottom w:val="single" w:sz="2" w:space="0" w:color="auto"/>
              <w:right w:val="single" w:sz="2" w:space="0" w:color="auto"/>
            </w:tcBorders>
            <w:vAlign w:val="center"/>
          </w:tcPr>
          <w:p w14:paraId="79F820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159,516,602.26</w:t>
            </w:r>
          </w:p>
        </w:tc>
        <w:tc>
          <w:tcPr>
            <w:tcW w:w="1606" w:type="dxa"/>
            <w:tcBorders>
              <w:top w:val="single" w:sz="2" w:space="0" w:color="auto"/>
              <w:left w:val="single" w:sz="2" w:space="0" w:color="auto"/>
              <w:bottom w:val="single" w:sz="2" w:space="0" w:color="auto"/>
              <w:right w:val="single" w:sz="2" w:space="0" w:color="auto"/>
            </w:tcBorders>
            <w:vAlign w:val="center"/>
          </w:tcPr>
          <w:p w14:paraId="3F15DDB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30,038,700.00</w:t>
            </w:r>
          </w:p>
        </w:tc>
        <w:tc>
          <w:tcPr>
            <w:tcW w:w="1606" w:type="dxa"/>
            <w:tcBorders>
              <w:top w:val="single" w:sz="2" w:space="0" w:color="auto"/>
              <w:left w:val="single" w:sz="2" w:space="0" w:color="auto"/>
              <w:bottom w:val="single" w:sz="2" w:space="0" w:color="auto"/>
              <w:right w:val="single" w:sz="2" w:space="0" w:color="auto"/>
            </w:tcBorders>
            <w:vAlign w:val="center"/>
          </w:tcPr>
          <w:p w14:paraId="44E715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15,189,259.77</w:t>
            </w:r>
          </w:p>
        </w:tc>
        <w:tc>
          <w:tcPr>
            <w:tcW w:w="1606" w:type="dxa"/>
            <w:tcBorders>
              <w:top w:val="single" w:sz="2" w:space="0" w:color="auto"/>
              <w:left w:val="single" w:sz="2" w:space="0" w:color="auto"/>
              <w:bottom w:val="single" w:sz="2" w:space="0" w:color="auto"/>
              <w:right w:val="single" w:sz="2" w:space="0" w:color="auto"/>
            </w:tcBorders>
            <w:vAlign w:val="center"/>
          </w:tcPr>
          <w:p w14:paraId="70415FF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174,366,042.49</w:t>
            </w:r>
          </w:p>
        </w:tc>
        <w:tc>
          <w:tcPr>
            <w:tcW w:w="1606" w:type="dxa"/>
            <w:tcBorders>
              <w:top w:val="single" w:sz="2" w:space="0" w:color="auto"/>
              <w:left w:val="single" w:sz="2" w:space="0" w:color="auto"/>
              <w:bottom w:val="single" w:sz="2" w:space="0" w:color="auto"/>
              <w:right w:val="single" w:sz="2" w:space="0" w:color="auto"/>
            </w:tcBorders>
            <w:vAlign w:val="center"/>
          </w:tcPr>
          <w:p w14:paraId="170B87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4BBEC25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D7A4CB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606" w:type="dxa"/>
            <w:tcBorders>
              <w:top w:val="single" w:sz="2" w:space="0" w:color="auto"/>
              <w:left w:val="single" w:sz="2" w:space="0" w:color="auto"/>
              <w:bottom w:val="single" w:sz="2" w:space="0" w:color="auto"/>
              <w:right w:val="single" w:sz="2" w:space="0" w:color="auto"/>
            </w:tcBorders>
            <w:vAlign w:val="center"/>
          </w:tcPr>
          <w:p w14:paraId="37DEE1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159,516,602.26</w:t>
            </w:r>
          </w:p>
        </w:tc>
        <w:tc>
          <w:tcPr>
            <w:tcW w:w="1606" w:type="dxa"/>
            <w:tcBorders>
              <w:top w:val="single" w:sz="2" w:space="0" w:color="auto"/>
              <w:left w:val="single" w:sz="2" w:space="0" w:color="auto"/>
              <w:bottom w:val="single" w:sz="2" w:space="0" w:color="auto"/>
              <w:right w:val="single" w:sz="2" w:space="0" w:color="auto"/>
            </w:tcBorders>
            <w:vAlign w:val="center"/>
          </w:tcPr>
          <w:p w14:paraId="7C78FD3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30,038,700.00</w:t>
            </w:r>
          </w:p>
        </w:tc>
        <w:tc>
          <w:tcPr>
            <w:tcW w:w="1606" w:type="dxa"/>
            <w:tcBorders>
              <w:top w:val="single" w:sz="2" w:space="0" w:color="auto"/>
              <w:left w:val="single" w:sz="2" w:space="0" w:color="auto"/>
              <w:bottom w:val="single" w:sz="2" w:space="0" w:color="auto"/>
              <w:right w:val="single" w:sz="2" w:space="0" w:color="auto"/>
            </w:tcBorders>
            <w:vAlign w:val="center"/>
          </w:tcPr>
          <w:p w14:paraId="4897CD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15,189,259.77</w:t>
            </w:r>
          </w:p>
        </w:tc>
        <w:tc>
          <w:tcPr>
            <w:tcW w:w="1606" w:type="dxa"/>
            <w:tcBorders>
              <w:top w:val="single" w:sz="2" w:space="0" w:color="auto"/>
              <w:left w:val="single" w:sz="2" w:space="0" w:color="auto"/>
              <w:bottom w:val="single" w:sz="2" w:space="0" w:color="auto"/>
              <w:right w:val="single" w:sz="2" w:space="0" w:color="auto"/>
            </w:tcBorders>
            <w:vAlign w:val="center"/>
          </w:tcPr>
          <w:p w14:paraId="02A329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174,366,042.49</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7BAD93" w14:textId="77777777" w:rsidR="00F73301" w:rsidRPr="00F73301" w:rsidRDefault="00F73301" w:rsidP="008C49B7">
            <w:pPr>
              <w:snapToGrid w:val="0"/>
              <w:rPr>
                <w:rFonts w:ascii="Times New Roman" w:eastAsia="等线" w:hAnsi="Times New Roman" w:cs="Times New Roman"/>
                <w:sz w:val="18"/>
                <w:szCs w:val="18"/>
              </w:rPr>
            </w:pPr>
          </w:p>
        </w:tc>
      </w:tr>
    </w:tbl>
    <w:p w14:paraId="7032373A"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Item involving government grants:</w:t>
      </w:r>
    </w:p>
    <w:p w14:paraId="517DB20B"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1071"/>
        <w:gridCol w:w="1071"/>
        <w:gridCol w:w="1071"/>
        <w:gridCol w:w="1071"/>
        <w:gridCol w:w="1071"/>
        <w:gridCol w:w="1005"/>
        <w:gridCol w:w="1137"/>
      </w:tblGrid>
      <w:tr w:rsidR="00F73301" w:rsidRPr="00F73301" w14:paraId="38580264"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E24212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B18576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FDE689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of new subsidy for the current period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25EE54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Amount included into non-operating revenue in </w:t>
            </w:r>
            <w:r w:rsidRPr="00F73301">
              <w:rPr>
                <w:rFonts w:ascii="Times New Roman" w:eastAsia="宋体" w:hAnsi="Times New Roman" w:cs="Times New Roman"/>
                <w:sz w:val="18"/>
                <w:szCs w:val="18"/>
              </w:rPr>
              <w:lastRenderedPageBreak/>
              <w:t>the current period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D8DF99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 xml:space="preserve">Amount included into other income in the current </w:t>
            </w:r>
            <w:r w:rsidRPr="00F73301">
              <w:rPr>
                <w:rFonts w:ascii="Times New Roman" w:eastAsia="宋体" w:hAnsi="Times New Roman" w:cs="Times New Roman"/>
                <w:sz w:val="18"/>
                <w:szCs w:val="18"/>
              </w:rPr>
              <w:lastRenderedPageBreak/>
              <w:t>period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AD870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Amount offset cost in the current period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E22CC1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 changes</w:t>
            </w:r>
          </w:p>
        </w:tc>
        <w:tc>
          <w:tcPr>
            <w:tcW w:w="1005" w:type="dxa"/>
            <w:tcBorders>
              <w:top w:val="single" w:sz="2" w:space="0" w:color="auto"/>
              <w:left w:val="single" w:sz="2" w:space="0" w:color="auto"/>
              <w:bottom w:val="single" w:sz="2" w:space="0" w:color="auto"/>
              <w:right w:val="single" w:sz="2" w:space="0" w:color="auto"/>
            </w:tcBorders>
            <w:shd w:val="clear" w:color="auto" w:fill="D3D3D3"/>
            <w:vAlign w:val="center"/>
          </w:tcPr>
          <w:p w14:paraId="57FCB4C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1137" w:type="dxa"/>
            <w:tcBorders>
              <w:top w:val="single" w:sz="2" w:space="0" w:color="auto"/>
              <w:left w:val="single" w:sz="2" w:space="0" w:color="auto"/>
              <w:bottom w:val="single" w:sz="2" w:space="0" w:color="auto"/>
              <w:right w:val="single" w:sz="2" w:space="0" w:color="auto"/>
            </w:tcBorders>
            <w:shd w:val="clear" w:color="auto" w:fill="D3D3D3"/>
            <w:vAlign w:val="center"/>
          </w:tcPr>
          <w:p w14:paraId="14AFD3A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assets/income</w:t>
            </w:r>
          </w:p>
        </w:tc>
      </w:tr>
      <w:tr w:rsidR="00F73301" w:rsidRPr="00F73301" w14:paraId="124F571A"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236083C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development of strategic emerging industries</w:t>
            </w:r>
          </w:p>
        </w:tc>
        <w:tc>
          <w:tcPr>
            <w:tcW w:w="1071" w:type="dxa"/>
            <w:tcBorders>
              <w:top w:val="single" w:sz="2" w:space="0" w:color="auto"/>
              <w:left w:val="single" w:sz="2" w:space="0" w:color="auto"/>
              <w:bottom w:val="single" w:sz="2" w:space="0" w:color="auto"/>
              <w:right w:val="single" w:sz="2" w:space="0" w:color="auto"/>
            </w:tcBorders>
            <w:vAlign w:val="center"/>
          </w:tcPr>
          <w:p w14:paraId="48AD48A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26,429,778.69</w:t>
            </w:r>
          </w:p>
        </w:tc>
        <w:tc>
          <w:tcPr>
            <w:tcW w:w="1071" w:type="dxa"/>
            <w:tcBorders>
              <w:top w:val="single" w:sz="2" w:space="0" w:color="auto"/>
              <w:left w:val="single" w:sz="2" w:space="0" w:color="auto"/>
              <w:bottom w:val="single" w:sz="2" w:space="0" w:color="auto"/>
              <w:right w:val="single" w:sz="2" w:space="0" w:color="auto"/>
            </w:tcBorders>
            <w:vAlign w:val="center"/>
          </w:tcPr>
          <w:p w14:paraId="3AC83DA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EF2F2F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9607EE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1,093,755.56</w:t>
            </w:r>
          </w:p>
        </w:tc>
        <w:tc>
          <w:tcPr>
            <w:tcW w:w="1071" w:type="dxa"/>
            <w:tcBorders>
              <w:top w:val="single" w:sz="2" w:space="0" w:color="auto"/>
              <w:left w:val="single" w:sz="2" w:space="0" w:color="auto"/>
              <w:bottom w:val="single" w:sz="2" w:space="0" w:color="auto"/>
              <w:right w:val="single" w:sz="2" w:space="0" w:color="auto"/>
            </w:tcBorders>
            <w:vAlign w:val="center"/>
          </w:tcPr>
          <w:p w14:paraId="45F1E140"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B5B32F5"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24BED1A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25,336,023.13</w:t>
            </w:r>
          </w:p>
        </w:tc>
        <w:tc>
          <w:tcPr>
            <w:tcW w:w="1137" w:type="dxa"/>
            <w:tcBorders>
              <w:top w:val="single" w:sz="2" w:space="0" w:color="auto"/>
              <w:left w:val="single" w:sz="2" w:space="0" w:color="auto"/>
              <w:bottom w:val="single" w:sz="2" w:space="0" w:color="auto"/>
              <w:right w:val="single" w:sz="2" w:space="0" w:color="auto"/>
            </w:tcBorders>
            <w:vAlign w:val="center"/>
          </w:tcPr>
          <w:p w14:paraId="477C9AE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8D73EE2"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08CD49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electronic chips and modules</w:t>
            </w:r>
          </w:p>
        </w:tc>
        <w:tc>
          <w:tcPr>
            <w:tcW w:w="1071" w:type="dxa"/>
            <w:tcBorders>
              <w:top w:val="single" w:sz="2" w:space="0" w:color="auto"/>
              <w:left w:val="single" w:sz="2" w:space="0" w:color="auto"/>
              <w:bottom w:val="single" w:sz="2" w:space="0" w:color="auto"/>
              <w:right w:val="single" w:sz="2" w:space="0" w:color="auto"/>
            </w:tcBorders>
            <w:vAlign w:val="center"/>
          </w:tcPr>
          <w:p w14:paraId="4683D16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45,685.26</w:t>
            </w:r>
          </w:p>
        </w:tc>
        <w:tc>
          <w:tcPr>
            <w:tcW w:w="1071" w:type="dxa"/>
            <w:tcBorders>
              <w:top w:val="single" w:sz="2" w:space="0" w:color="auto"/>
              <w:left w:val="single" w:sz="2" w:space="0" w:color="auto"/>
              <w:bottom w:val="single" w:sz="2" w:space="0" w:color="auto"/>
              <w:right w:val="single" w:sz="2" w:space="0" w:color="auto"/>
            </w:tcBorders>
            <w:vAlign w:val="center"/>
          </w:tcPr>
          <w:p w14:paraId="4A05D9E6"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85393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AF041E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44,720.93</w:t>
            </w:r>
          </w:p>
        </w:tc>
        <w:tc>
          <w:tcPr>
            <w:tcW w:w="1071" w:type="dxa"/>
            <w:tcBorders>
              <w:top w:val="single" w:sz="2" w:space="0" w:color="auto"/>
              <w:left w:val="single" w:sz="2" w:space="0" w:color="auto"/>
              <w:bottom w:val="single" w:sz="2" w:space="0" w:color="auto"/>
              <w:right w:val="single" w:sz="2" w:space="0" w:color="auto"/>
            </w:tcBorders>
            <w:vAlign w:val="center"/>
          </w:tcPr>
          <w:p w14:paraId="4E1D15B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CD78677"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034E73C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964.33</w:t>
            </w:r>
          </w:p>
        </w:tc>
        <w:tc>
          <w:tcPr>
            <w:tcW w:w="1137" w:type="dxa"/>
            <w:tcBorders>
              <w:top w:val="single" w:sz="2" w:space="0" w:color="auto"/>
              <w:left w:val="single" w:sz="2" w:space="0" w:color="auto"/>
              <w:bottom w:val="single" w:sz="2" w:space="0" w:color="auto"/>
              <w:right w:val="single" w:sz="2" w:space="0" w:color="auto"/>
            </w:tcBorders>
            <w:vAlign w:val="center"/>
          </w:tcPr>
          <w:p w14:paraId="73BC46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7E029844"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1494217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subsidies for enterprise technical transformation</w:t>
            </w:r>
          </w:p>
        </w:tc>
        <w:tc>
          <w:tcPr>
            <w:tcW w:w="1071" w:type="dxa"/>
            <w:tcBorders>
              <w:top w:val="single" w:sz="2" w:space="0" w:color="auto"/>
              <w:left w:val="single" w:sz="2" w:space="0" w:color="auto"/>
              <w:bottom w:val="single" w:sz="2" w:space="0" w:color="auto"/>
              <w:right w:val="single" w:sz="2" w:space="0" w:color="auto"/>
            </w:tcBorders>
            <w:vAlign w:val="center"/>
          </w:tcPr>
          <w:p w14:paraId="11D4C95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499,196.46</w:t>
            </w:r>
          </w:p>
        </w:tc>
        <w:tc>
          <w:tcPr>
            <w:tcW w:w="1071" w:type="dxa"/>
            <w:tcBorders>
              <w:top w:val="single" w:sz="2" w:space="0" w:color="auto"/>
              <w:left w:val="single" w:sz="2" w:space="0" w:color="auto"/>
              <w:bottom w:val="single" w:sz="2" w:space="0" w:color="auto"/>
              <w:right w:val="single" w:sz="2" w:space="0" w:color="auto"/>
            </w:tcBorders>
            <w:vAlign w:val="center"/>
          </w:tcPr>
          <w:p w14:paraId="2B3DEDA5"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1D2AC4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A27273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88,093.44</w:t>
            </w:r>
          </w:p>
        </w:tc>
        <w:tc>
          <w:tcPr>
            <w:tcW w:w="1071" w:type="dxa"/>
            <w:tcBorders>
              <w:top w:val="single" w:sz="2" w:space="0" w:color="auto"/>
              <w:left w:val="single" w:sz="2" w:space="0" w:color="auto"/>
              <w:bottom w:val="single" w:sz="2" w:space="0" w:color="auto"/>
              <w:right w:val="single" w:sz="2" w:space="0" w:color="auto"/>
            </w:tcBorders>
            <w:vAlign w:val="center"/>
          </w:tcPr>
          <w:p w14:paraId="1B18F8A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808C115"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72E40EB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411,103.02</w:t>
            </w:r>
          </w:p>
        </w:tc>
        <w:tc>
          <w:tcPr>
            <w:tcW w:w="1137" w:type="dxa"/>
            <w:tcBorders>
              <w:top w:val="single" w:sz="2" w:space="0" w:color="auto"/>
              <w:left w:val="single" w:sz="2" w:space="0" w:color="auto"/>
              <w:bottom w:val="single" w:sz="2" w:space="0" w:color="auto"/>
              <w:right w:val="single" w:sz="2" w:space="0" w:color="auto"/>
            </w:tcBorders>
            <w:vAlign w:val="center"/>
          </w:tcPr>
          <w:p w14:paraId="3215810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5F409204"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4985C8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subsidies for transformation and upgrading of industrial and information industry</w:t>
            </w:r>
          </w:p>
        </w:tc>
        <w:tc>
          <w:tcPr>
            <w:tcW w:w="1071" w:type="dxa"/>
            <w:tcBorders>
              <w:top w:val="single" w:sz="2" w:space="0" w:color="auto"/>
              <w:left w:val="single" w:sz="2" w:space="0" w:color="auto"/>
              <w:bottom w:val="single" w:sz="2" w:space="0" w:color="auto"/>
              <w:right w:val="single" w:sz="2" w:space="0" w:color="auto"/>
            </w:tcBorders>
            <w:vAlign w:val="center"/>
          </w:tcPr>
          <w:p w14:paraId="242313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110,123.79</w:t>
            </w:r>
          </w:p>
        </w:tc>
        <w:tc>
          <w:tcPr>
            <w:tcW w:w="1071" w:type="dxa"/>
            <w:tcBorders>
              <w:top w:val="single" w:sz="2" w:space="0" w:color="auto"/>
              <w:left w:val="single" w:sz="2" w:space="0" w:color="auto"/>
              <w:bottom w:val="single" w:sz="2" w:space="0" w:color="auto"/>
              <w:right w:val="single" w:sz="2" w:space="0" w:color="auto"/>
            </w:tcBorders>
            <w:vAlign w:val="center"/>
          </w:tcPr>
          <w:p w14:paraId="70ADB2CF"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2B1AA75"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4E51CB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15,642.27</w:t>
            </w:r>
          </w:p>
        </w:tc>
        <w:tc>
          <w:tcPr>
            <w:tcW w:w="1071" w:type="dxa"/>
            <w:tcBorders>
              <w:top w:val="single" w:sz="2" w:space="0" w:color="auto"/>
              <w:left w:val="single" w:sz="2" w:space="0" w:color="auto"/>
              <w:bottom w:val="single" w:sz="2" w:space="0" w:color="auto"/>
              <w:right w:val="single" w:sz="2" w:space="0" w:color="auto"/>
            </w:tcBorders>
            <w:vAlign w:val="center"/>
          </w:tcPr>
          <w:p w14:paraId="648AE2D4"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F2CDD1F"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372BBC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94,481.52</w:t>
            </w:r>
          </w:p>
        </w:tc>
        <w:tc>
          <w:tcPr>
            <w:tcW w:w="1137" w:type="dxa"/>
            <w:tcBorders>
              <w:top w:val="single" w:sz="2" w:space="0" w:color="auto"/>
              <w:left w:val="single" w:sz="2" w:space="0" w:color="auto"/>
              <w:bottom w:val="single" w:sz="2" w:space="0" w:color="auto"/>
              <w:right w:val="single" w:sz="2" w:space="0" w:color="auto"/>
            </w:tcBorders>
            <w:vAlign w:val="center"/>
          </w:tcPr>
          <w:p w14:paraId="23F092E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CFA1BBE"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B2E851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High-power MOSFET chip and packaging industrialization project</w:t>
            </w:r>
          </w:p>
        </w:tc>
        <w:tc>
          <w:tcPr>
            <w:tcW w:w="1071" w:type="dxa"/>
            <w:tcBorders>
              <w:top w:val="single" w:sz="2" w:space="0" w:color="auto"/>
              <w:left w:val="single" w:sz="2" w:space="0" w:color="auto"/>
              <w:bottom w:val="single" w:sz="2" w:space="0" w:color="auto"/>
              <w:right w:val="single" w:sz="2" w:space="0" w:color="auto"/>
            </w:tcBorders>
            <w:vAlign w:val="center"/>
          </w:tcPr>
          <w:p w14:paraId="52B46A7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493,422.87</w:t>
            </w:r>
          </w:p>
        </w:tc>
        <w:tc>
          <w:tcPr>
            <w:tcW w:w="1071" w:type="dxa"/>
            <w:tcBorders>
              <w:top w:val="single" w:sz="2" w:space="0" w:color="auto"/>
              <w:left w:val="single" w:sz="2" w:space="0" w:color="auto"/>
              <w:bottom w:val="single" w:sz="2" w:space="0" w:color="auto"/>
              <w:right w:val="single" w:sz="2" w:space="0" w:color="auto"/>
            </w:tcBorders>
            <w:vAlign w:val="center"/>
          </w:tcPr>
          <w:p w14:paraId="6E65506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FC9DB2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DE9444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96,205.74</w:t>
            </w:r>
          </w:p>
        </w:tc>
        <w:tc>
          <w:tcPr>
            <w:tcW w:w="1071" w:type="dxa"/>
            <w:tcBorders>
              <w:top w:val="single" w:sz="2" w:space="0" w:color="auto"/>
              <w:left w:val="single" w:sz="2" w:space="0" w:color="auto"/>
              <w:bottom w:val="single" w:sz="2" w:space="0" w:color="auto"/>
              <w:right w:val="single" w:sz="2" w:space="0" w:color="auto"/>
            </w:tcBorders>
            <w:vAlign w:val="center"/>
          </w:tcPr>
          <w:p w14:paraId="38EE35B5"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58F44A3"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0448D9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397,217.13</w:t>
            </w:r>
          </w:p>
        </w:tc>
        <w:tc>
          <w:tcPr>
            <w:tcW w:w="1137" w:type="dxa"/>
            <w:tcBorders>
              <w:top w:val="single" w:sz="2" w:space="0" w:color="auto"/>
              <w:left w:val="single" w:sz="2" w:space="0" w:color="auto"/>
              <w:bottom w:val="single" w:sz="2" w:space="0" w:color="auto"/>
              <w:right w:val="single" w:sz="2" w:space="0" w:color="auto"/>
            </w:tcBorders>
            <w:vAlign w:val="center"/>
          </w:tcPr>
          <w:p w14:paraId="79CF339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DA1245B"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20708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R&amp;D and industrialization project of </w:t>
            </w:r>
            <w:proofErr w:type="spellStart"/>
            <w:r w:rsidRPr="00F73301">
              <w:rPr>
                <w:rFonts w:ascii="Times New Roman" w:eastAsia="宋体" w:hAnsi="Times New Roman" w:cs="Times New Roman"/>
                <w:sz w:val="18"/>
                <w:szCs w:val="18"/>
              </w:rPr>
              <w:t>SiC</w:t>
            </w:r>
            <w:proofErr w:type="spellEnd"/>
            <w:r w:rsidRPr="00F73301">
              <w:rPr>
                <w:rFonts w:ascii="Times New Roman" w:eastAsia="宋体" w:hAnsi="Times New Roman" w:cs="Times New Roman"/>
                <w:sz w:val="18"/>
                <w:szCs w:val="18"/>
              </w:rPr>
              <w:t xml:space="preserve"> power devices</w:t>
            </w:r>
          </w:p>
        </w:tc>
        <w:tc>
          <w:tcPr>
            <w:tcW w:w="1071" w:type="dxa"/>
            <w:tcBorders>
              <w:top w:val="single" w:sz="2" w:space="0" w:color="auto"/>
              <w:left w:val="single" w:sz="2" w:space="0" w:color="auto"/>
              <w:bottom w:val="single" w:sz="2" w:space="0" w:color="auto"/>
              <w:right w:val="single" w:sz="2" w:space="0" w:color="auto"/>
            </w:tcBorders>
            <w:vAlign w:val="center"/>
          </w:tcPr>
          <w:p w14:paraId="22D998E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574,451.38</w:t>
            </w:r>
          </w:p>
        </w:tc>
        <w:tc>
          <w:tcPr>
            <w:tcW w:w="1071" w:type="dxa"/>
            <w:tcBorders>
              <w:top w:val="single" w:sz="2" w:space="0" w:color="auto"/>
              <w:left w:val="single" w:sz="2" w:space="0" w:color="auto"/>
              <w:bottom w:val="single" w:sz="2" w:space="0" w:color="auto"/>
              <w:right w:val="single" w:sz="2" w:space="0" w:color="auto"/>
            </w:tcBorders>
            <w:vAlign w:val="center"/>
          </w:tcPr>
          <w:p w14:paraId="10CCA992"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69207F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B48D5A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234,608.04</w:t>
            </w:r>
          </w:p>
        </w:tc>
        <w:tc>
          <w:tcPr>
            <w:tcW w:w="1071" w:type="dxa"/>
            <w:tcBorders>
              <w:top w:val="single" w:sz="2" w:space="0" w:color="auto"/>
              <w:left w:val="single" w:sz="2" w:space="0" w:color="auto"/>
              <w:bottom w:val="single" w:sz="2" w:space="0" w:color="auto"/>
              <w:right w:val="single" w:sz="2" w:space="0" w:color="auto"/>
            </w:tcBorders>
            <w:vAlign w:val="center"/>
          </w:tcPr>
          <w:p w14:paraId="3439BE6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64AB277"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1AAD3D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339,843.34</w:t>
            </w:r>
          </w:p>
        </w:tc>
        <w:tc>
          <w:tcPr>
            <w:tcW w:w="1137" w:type="dxa"/>
            <w:tcBorders>
              <w:top w:val="single" w:sz="2" w:space="0" w:color="auto"/>
              <w:left w:val="single" w:sz="2" w:space="0" w:color="auto"/>
              <w:bottom w:val="single" w:sz="2" w:space="0" w:color="auto"/>
              <w:right w:val="single" w:sz="2" w:space="0" w:color="auto"/>
            </w:tcBorders>
            <w:vAlign w:val="center"/>
          </w:tcPr>
          <w:p w14:paraId="031A28F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9E09C53"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9FC6E2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R&amp;D and industrial construction projects of </w:t>
            </w:r>
            <w:proofErr w:type="spellStart"/>
            <w:r w:rsidRPr="00F73301">
              <w:rPr>
                <w:rFonts w:ascii="Times New Roman" w:eastAsia="宋体" w:hAnsi="Times New Roman" w:cs="Times New Roman"/>
                <w:sz w:val="18"/>
                <w:szCs w:val="18"/>
              </w:rPr>
              <w:t>SiC</w:t>
            </w:r>
            <w:proofErr w:type="spellEnd"/>
            <w:r w:rsidRPr="00F73301">
              <w:rPr>
                <w:rFonts w:ascii="Times New Roman" w:eastAsia="宋体" w:hAnsi="Times New Roman" w:cs="Times New Roman"/>
                <w:sz w:val="18"/>
                <w:szCs w:val="18"/>
              </w:rPr>
              <w:t xml:space="preserve"> chips and devices</w:t>
            </w:r>
          </w:p>
        </w:tc>
        <w:tc>
          <w:tcPr>
            <w:tcW w:w="1071" w:type="dxa"/>
            <w:tcBorders>
              <w:top w:val="single" w:sz="2" w:space="0" w:color="auto"/>
              <w:left w:val="single" w:sz="2" w:space="0" w:color="auto"/>
              <w:bottom w:val="single" w:sz="2" w:space="0" w:color="auto"/>
              <w:right w:val="single" w:sz="2" w:space="0" w:color="auto"/>
            </w:tcBorders>
            <w:vAlign w:val="center"/>
          </w:tcPr>
          <w:p w14:paraId="7419EC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1,307,499.80</w:t>
            </w:r>
          </w:p>
        </w:tc>
        <w:tc>
          <w:tcPr>
            <w:tcW w:w="1071" w:type="dxa"/>
            <w:tcBorders>
              <w:top w:val="single" w:sz="2" w:space="0" w:color="auto"/>
              <w:left w:val="single" w:sz="2" w:space="0" w:color="auto"/>
              <w:bottom w:val="single" w:sz="2" w:space="0" w:color="auto"/>
              <w:right w:val="single" w:sz="2" w:space="0" w:color="auto"/>
            </w:tcBorders>
            <w:vAlign w:val="center"/>
          </w:tcPr>
          <w:p w14:paraId="2188AA7E"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3015E72"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690F7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130,750.02</w:t>
            </w:r>
          </w:p>
        </w:tc>
        <w:tc>
          <w:tcPr>
            <w:tcW w:w="1071" w:type="dxa"/>
            <w:tcBorders>
              <w:top w:val="single" w:sz="2" w:space="0" w:color="auto"/>
              <w:left w:val="single" w:sz="2" w:space="0" w:color="auto"/>
              <w:bottom w:val="single" w:sz="2" w:space="0" w:color="auto"/>
              <w:right w:val="single" w:sz="2" w:space="0" w:color="auto"/>
            </w:tcBorders>
            <w:vAlign w:val="center"/>
          </w:tcPr>
          <w:p w14:paraId="727403A0"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7BC0350"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32D80D5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1,176,749.78</w:t>
            </w:r>
          </w:p>
        </w:tc>
        <w:tc>
          <w:tcPr>
            <w:tcW w:w="1137" w:type="dxa"/>
            <w:tcBorders>
              <w:top w:val="single" w:sz="2" w:space="0" w:color="auto"/>
              <w:left w:val="single" w:sz="2" w:space="0" w:color="auto"/>
              <w:bottom w:val="single" w:sz="2" w:space="0" w:color="auto"/>
              <w:right w:val="single" w:sz="2" w:space="0" w:color="auto"/>
            </w:tcBorders>
            <w:vAlign w:val="center"/>
          </w:tcPr>
          <w:p w14:paraId="2585D24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2B94FCBC"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58D9EE4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control of intelligent integrated system</w:t>
            </w:r>
          </w:p>
        </w:tc>
        <w:tc>
          <w:tcPr>
            <w:tcW w:w="1071" w:type="dxa"/>
            <w:tcBorders>
              <w:top w:val="single" w:sz="2" w:space="0" w:color="auto"/>
              <w:left w:val="single" w:sz="2" w:space="0" w:color="auto"/>
              <w:bottom w:val="single" w:sz="2" w:space="0" w:color="auto"/>
              <w:right w:val="single" w:sz="2" w:space="0" w:color="auto"/>
            </w:tcBorders>
            <w:vAlign w:val="center"/>
          </w:tcPr>
          <w:p w14:paraId="3B96D04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0.20</w:t>
            </w:r>
          </w:p>
        </w:tc>
        <w:tc>
          <w:tcPr>
            <w:tcW w:w="1071" w:type="dxa"/>
            <w:tcBorders>
              <w:top w:val="single" w:sz="2" w:space="0" w:color="auto"/>
              <w:left w:val="single" w:sz="2" w:space="0" w:color="auto"/>
              <w:bottom w:val="single" w:sz="2" w:space="0" w:color="auto"/>
              <w:right w:val="single" w:sz="2" w:space="0" w:color="auto"/>
            </w:tcBorders>
            <w:vAlign w:val="center"/>
          </w:tcPr>
          <w:p w14:paraId="23C09C91"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F4334A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048AE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0.20</w:t>
            </w:r>
          </w:p>
        </w:tc>
        <w:tc>
          <w:tcPr>
            <w:tcW w:w="1071" w:type="dxa"/>
            <w:tcBorders>
              <w:top w:val="single" w:sz="2" w:space="0" w:color="auto"/>
              <w:left w:val="single" w:sz="2" w:space="0" w:color="auto"/>
              <w:bottom w:val="single" w:sz="2" w:space="0" w:color="auto"/>
              <w:right w:val="single" w:sz="2" w:space="0" w:color="auto"/>
            </w:tcBorders>
            <w:vAlign w:val="center"/>
          </w:tcPr>
          <w:p w14:paraId="3F4A4DC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0971E25"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606C2A29" w14:textId="77777777" w:rsidR="00F73301" w:rsidRPr="00F73301" w:rsidRDefault="00F73301" w:rsidP="008C49B7">
            <w:pPr>
              <w:snapToGrid w:val="0"/>
              <w:jc w:val="right"/>
              <w:rPr>
                <w:rFonts w:ascii="Times New Roman" w:eastAsia="宋体" w:hAnsi="Times New Roman" w:cs="Times New Roman"/>
                <w:sz w:val="18"/>
                <w:szCs w:val="18"/>
              </w:rPr>
            </w:pPr>
          </w:p>
        </w:tc>
        <w:tc>
          <w:tcPr>
            <w:tcW w:w="1137" w:type="dxa"/>
            <w:tcBorders>
              <w:top w:val="single" w:sz="2" w:space="0" w:color="auto"/>
              <w:left w:val="single" w:sz="2" w:space="0" w:color="auto"/>
              <w:bottom w:val="single" w:sz="2" w:space="0" w:color="auto"/>
              <w:right w:val="single" w:sz="2" w:space="0" w:color="auto"/>
            </w:tcBorders>
            <w:vAlign w:val="center"/>
          </w:tcPr>
          <w:p w14:paraId="309A53F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79AF450F"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0DB07A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industrial transformation and upgrading of Jiangsu Province</w:t>
            </w:r>
          </w:p>
        </w:tc>
        <w:tc>
          <w:tcPr>
            <w:tcW w:w="1071" w:type="dxa"/>
            <w:tcBorders>
              <w:top w:val="single" w:sz="2" w:space="0" w:color="auto"/>
              <w:left w:val="single" w:sz="2" w:space="0" w:color="auto"/>
              <w:bottom w:val="single" w:sz="2" w:space="0" w:color="auto"/>
              <w:right w:val="single" w:sz="2" w:space="0" w:color="auto"/>
            </w:tcBorders>
            <w:vAlign w:val="center"/>
          </w:tcPr>
          <w:p w14:paraId="4653E36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317,629.20</w:t>
            </w:r>
          </w:p>
        </w:tc>
        <w:tc>
          <w:tcPr>
            <w:tcW w:w="1071" w:type="dxa"/>
            <w:tcBorders>
              <w:top w:val="single" w:sz="2" w:space="0" w:color="auto"/>
              <w:left w:val="single" w:sz="2" w:space="0" w:color="auto"/>
              <w:bottom w:val="single" w:sz="2" w:space="0" w:color="auto"/>
              <w:right w:val="single" w:sz="2" w:space="0" w:color="auto"/>
            </w:tcBorders>
            <w:vAlign w:val="center"/>
          </w:tcPr>
          <w:p w14:paraId="1B470204"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E251E0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0FD024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35,094.56</w:t>
            </w:r>
          </w:p>
        </w:tc>
        <w:tc>
          <w:tcPr>
            <w:tcW w:w="1071" w:type="dxa"/>
            <w:tcBorders>
              <w:top w:val="single" w:sz="2" w:space="0" w:color="auto"/>
              <w:left w:val="single" w:sz="2" w:space="0" w:color="auto"/>
              <w:bottom w:val="single" w:sz="2" w:space="0" w:color="auto"/>
              <w:right w:val="single" w:sz="2" w:space="0" w:color="auto"/>
            </w:tcBorders>
            <w:vAlign w:val="center"/>
          </w:tcPr>
          <w:p w14:paraId="454E1A11"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04ACCB3"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309BD6A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282,534.64</w:t>
            </w:r>
          </w:p>
        </w:tc>
        <w:tc>
          <w:tcPr>
            <w:tcW w:w="1137" w:type="dxa"/>
            <w:tcBorders>
              <w:top w:val="single" w:sz="2" w:space="0" w:color="auto"/>
              <w:left w:val="single" w:sz="2" w:space="0" w:color="auto"/>
              <w:bottom w:val="single" w:sz="2" w:space="0" w:color="auto"/>
              <w:right w:val="single" w:sz="2" w:space="0" w:color="auto"/>
            </w:tcBorders>
            <w:vAlign w:val="center"/>
          </w:tcPr>
          <w:p w14:paraId="6586A68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2CAFF17"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53F93D3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Intelligent workshop subsidies</w:t>
            </w:r>
          </w:p>
        </w:tc>
        <w:tc>
          <w:tcPr>
            <w:tcW w:w="1071" w:type="dxa"/>
            <w:tcBorders>
              <w:top w:val="single" w:sz="2" w:space="0" w:color="auto"/>
              <w:left w:val="single" w:sz="2" w:space="0" w:color="auto"/>
              <w:bottom w:val="single" w:sz="2" w:space="0" w:color="auto"/>
              <w:right w:val="single" w:sz="2" w:space="0" w:color="auto"/>
            </w:tcBorders>
            <w:vAlign w:val="center"/>
          </w:tcPr>
          <w:p w14:paraId="1BAF69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302,819.62</w:t>
            </w:r>
          </w:p>
        </w:tc>
        <w:tc>
          <w:tcPr>
            <w:tcW w:w="1071" w:type="dxa"/>
            <w:tcBorders>
              <w:top w:val="single" w:sz="2" w:space="0" w:color="auto"/>
              <w:left w:val="single" w:sz="2" w:space="0" w:color="auto"/>
              <w:bottom w:val="single" w:sz="2" w:space="0" w:color="auto"/>
              <w:right w:val="single" w:sz="2" w:space="0" w:color="auto"/>
            </w:tcBorders>
            <w:vAlign w:val="center"/>
          </w:tcPr>
          <w:p w14:paraId="337C0950"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87E2259"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9F8737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B7292D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578308C"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4EEB610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302,819.62</w:t>
            </w:r>
          </w:p>
        </w:tc>
        <w:tc>
          <w:tcPr>
            <w:tcW w:w="1137" w:type="dxa"/>
            <w:tcBorders>
              <w:top w:val="single" w:sz="2" w:space="0" w:color="auto"/>
              <w:left w:val="single" w:sz="2" w:space="0" w:color="auto"/>
              <w:bottom w:val="single" w:sz="2" w:space="0" w:color="auto"/>
              <w:right w:val="single" w:sz="2" w:space="0" w:color="auto"/>
            </w:tcBorders>
            <w:vAlign w:val="center"/>
          </w:tcPr>
          <w:p w14:paraId="36F5E7D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589CF4A"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10A8D7B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power capacity expansion projects</w:t>
            </w:r>
          </w:p>
        </w:tc>
        <w:tc>
          <w:tcPr>
            <w:tcW w:w="1071" w:type="dxa"/>
            <w:tcBorders>
              <w:top w:val="single" w:sz="2" w:space="0" w:color="auto"/>
              <w:left w:val="single" w:sz="2" w:space="0" w:color="auto"/>
              <w:bottom w:val="single" w:sz="2" w:space="0" w:color="auto"/>
              <w:right w:val="single" w:sz="2" w:space="0" w:color="auto"/>
            </w:tcBorders>
            <w:vAlign w:val="center"/>
          </w:tcPr>
          <w:p w14:paraId="38696B5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1,045,641.69</w:t>
            </w:r>
          </w:p>
        </w:tc>
        <w:tc>
          <w:tcPr>
            <w:tcW w:w="1071" w:type="dxa"/>
            <w:tcBorders>
              <w:top w:val="single" w:sz="2" w:space="0" w:color="auto"/>
              <w:left w:val="single" w:sz="2" w:space="0" w:color="auto"/>
              <w:bottom w:val="single" w:sz="2" w:space="0" w:color="auto"/>
              <w:right w:val="single" w:sz="2" w:space="0" w:color="auto"/>
            </w:tcBorders>
            <w:vAlign w:val="center"/>
          </w:tcPr>
          <w:p w14:paraId="3F46CD5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A40E81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7156206"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A5E5095"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F4613C9"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2E71CD9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1,045,641.69</w:t>
            </w:r>
          </w:p>
        </w:tc>
        <w:tc>
          <w:tcPr>
            <w:tcW w:w="1137" w:type="dxa"/>
            <w:tcBorders>
              <w:top w:val="single" w:sz="2" w:space="0" w:color="auto"/>
              <w:left w:val="single" w:sz="2" w:space="0" w:color="auto"/>
              <w:bottom w:val="single" w:sz="2" w:space="0" w:color="auto"/>
              <w:right w:val="single" w:sz="2" w:space="0" w:color="auto"/>
            </w:tcBorders>
            <w:vAlign w:val="center"/>
          </w:tcPr>
          <w:p w14:paraId="5EE86C2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4CC1EFEF"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62E2096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Interest </w:t>
            </w:r>
            <w:r w:rsidRPr="00F73301">
              <w:rPr>
                <w:rFonts w:ascii="Times New Roman" w:eastAsia="宋体" w:hAnsi="Times New Roman" w:cs="Times New Roman"/>
                <w:sz w:val="18"/>
                <w:szCs w:val="18"/>
              </w:rPr>
              <w:lastRenderedPageBreak/>
              <w:t>subvention on imported equipment</w:t>
            </w:r>
          </w:p>
        </w:tc>
        <w:tc>
          <w:tcPr>
            <w:tcW w:w="1071" w:type="dxa"/>
            <w:tcBorders>
              <w:top w:val="single" w:sz="2" w:space="0" w:color="auto"/>
              <w:left w:val="single" w:sz="2" w:space="0" w:color="auto"/>
              <w:bottom w:val="single" w:sz="2" w:space="0" w:color="auto"/>
              <w:right w:val="single" w:sz="2" w:space="0" w:color="auto"/>
            </w:tcBorders>
            <w:vAlign w:val="center"/>
          </w:tcPr>
          <w:p w14:paraId="14904F4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4,498,403.59</w:t>
            </w:r>
          </w:p>
        </w:tc>
        <w:tc>
          <w:tcPr>
            <w:tcW w:w="1071" w:type="dxa"/>
            <w:tcBorders>
              <w:top w:val="single" w:sz="2" w:space="0" w:color="auto"/>
              <w:left w:val="single" w:sz="2" w:space="0" w:color="auto"/>
              <w:bottom w:val="single" w:sz="2" w:space="0" w:color="auto"/>
              <w:right w:val="single" w:sz="2" w:space="0" w:color="auto"/>
            </w:tcBorders>
            <w:vAlign w:val="center"/>
          </w:tcPr>
          <w:p w14:paraId="7F3DFE80"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597F0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C6B9D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409,854.15</w:t>
            </w:r>
          </w:p>
        </w:tc>
        <w:tc>
          <w:tcPr>
            <w:tcW w:w="1071" w:type="dxa"/>
            <w:tcBorders>
              <w:top w:val="single" w:sz="2" w:space="0" w:color="auto"/>
              <w:left w:val="single" w:sz="2" w:space="0" w:color="auto"/>
              <w:bottom w:val="single" w:sz="2" w:space="0" w:color="auto"/>
              <w:right w:val="single" w:sz="2" w:space="0" w:color="auto"/>
            </w:tcBorders>
            <w:vAlign w:val="center"/>
          </w:tcPr>
          <w:p w14:paraId="777E06F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8DEC8FD"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55D16AD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4,088,549.4</w:t>
            </w:r>
            <w:r w:rsidRPr="00F73301">
              <w:rPr>
                <w:rFonts w:ascii="Times New Roman" w:eastAsia="宋体" w:hAnsi="Times New Roman" w:cs="Times New Roman"/>
                <w:sz w:val="18"/>
                <w:szCs w:val="18"/>
              </w:rPr>
              <w:lastRenderedPageBreak/>
              <w:t>4</w:t>
            </w:r>
          </w:p>
        </w:tc>
        <w:tc>
          <w:tcPr>
            <w:tcW w:w="1137" w:type="dxa"/>
            <w:tcBorders>
              <w:top w:val="single" w:sz="2" w:space="0" w:color="auto"/>
              <w:left w:val="single" w:sz="2" w:space="0" w:color="auto"/>
              <w:bottom w:val="single" w:sz="2" w:space="0" w:color="auto"/>
              <w:right w:val="single" w:sz="2" w:space="0" w:color="auto"/>
            </w:tcBorders>
            <w:vAlign w:val="center"/>
          </w:tcPr>
          <w:p w14:paraId="5DFCF7F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 xml:space="preserve">Related to </w:t>
            </w:r>
            <w:r w:rsidRPr="00F73301">
              <w:rPr>
                <w:rFonts w:ascii="Times New Roman" w:eastAsia="宋体" w:hAnsi="Times New Roman" w:cs="Times New Roman"/>
                <w:sz w:val="18"/>
                <w:szCs w:val="18"/>
              </w:rPr>
              <w:lastRenderedPageBreak/>
              <w:t>assets</w:t>
            </w:r>
          </w:p>
        </w:tc>
      </w:tr>
      <w:tr w:rsidR="00F73301" w:rsidRPr="00F73301" w14:paraId="12993A10"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71E93E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Guidance funds for the development of advanced manufacturing industry of Yangzhou</w:t>
            </w:r>
          </w:p>
        </w:tc>
        <w:tc>
          <w:tcPr>
            <w:tcW w:w="1071" w:type="dxa"/>
            <w:tcBorders>
              <w:top w:val="single" w:sz="2" w:space="0" w:color="auto"/>
              <w:left w:val="single" w:sz="2" w:space="0" w:color="auto"/>
              <w:bottom w:val="single" w:sz="2" w:space="0" w:color="auto"/>
              <w:right w:val="single" w:sz="2" w:space="0" w:color="auto"/>
            </w:tcBorders>
            <w:vAlign w:val="center"/>
          </w:tcPr>
          <w:p w14:paraId="7B1D6E0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6,260,720.54</w:t>
            </w:r>
          </w:p>
        </w:tc>
        <w:tc>
          <w:tcPr>
            <w:tcW w:w="1071" w:type="dxa"/>
            <w:tcBorders>
              <w:top w:val="single" w:sz="2" w:space="0" w:color="auto"/>
              <w:left w:val="single" w:sz="2" w:space="0" w:color="auto"/>
              <w:bottom w:val="single" w:sz="2" w:space="0" w:color="auto"/>
              <w:right w:val="single" w:sz="2" w:space="0" w:color="auto"/>
            </w:tcBorders>
            <w:vAlign w:val="center"/>
          </w:tcPr>
          <w:p w14:paraId="331292E1"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A998C4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A7E8D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761,375.10</w:t>
            </w:r>
          </w:p>
        </w:tc>
        <w:tc>
          <w:tcPr>
            <w:tcW w:w="1071" w:type="dxa"/>
            <w:tcBorders>
              <w:top w:val="single" w:sz="2" w:space="0" w:color="auto"/>
              <w:left w:val="single" w:sz="2" w:space="0" w:color="auto"/>
              <w:bottom w:val="single" w:sz="2" w:space="0" w:color="auto"/>
              <w:right w:val="single" w:sz="2" w:space="0" w:color="auto"/>
            </w:tcBorders>
            <w:vAlign w:val="center"/>
          </w:tcPr>
          <w:p w14:paraId="079B966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6E4FC20"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49A93F4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5,499,345.44</w:t>
            </w:r>
          </w:p>
        </w:tc>
        <w:tc>
          <w:tcPr>
            <w:tcW w:w="1137" w:type="dxa"/>
            <w:tcBorders>
              <w:top w:val="single" w:sz="2" w:space="0" w:color="auto"/>
              <w:left w:val="single" w:sz="2" w:space="0" w:color="auto"/>
              <w:bottom w:val="single" w:sz="2" w:space="0" w:color="auto"/>
              <w:right w:val="single" w:sz="2" w:space="0" w:color="auto"/>
            </w:tcBorders>
            <w:vAlign w:val="center"/>
          </w:tcPr>
          <w:p w14:paraId="7CEC5C2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581490C8"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1B553A4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Intelligent factory</w:t>
            </w:r>
          </w:p>
        </w:tc>
        <w:tc>
          <w:tcPr>
            <w:tcW w:w="1071" w:type="dxa"/>
            <w:tcBorders>
              <w:top w:val="single" w:sz="2" w:space="0" w:color="auto"/>
              <w:left w:val="single" w:sz="2" w:space="0" w:color="auto"/>
              <w:bottom w:val="single" w:sz="2" w:space="0" w:color="auto"/>
              <w:right w:val="single" w:sz="2" w:space="0" w:color="auto"/>
            </w:tcBorders>
            <w:vAlign w:val="center"/>
          </w:tcPr>
          <w:p w14:paraId="2FA96D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4,119,793.37</w:t>
            </w:r>
          </w:p>
        </w:tc>
        <w:tc>
          <w:tcPr>
            <w:tcW w:w="1071" w:type="dxa"/>
            <w:tcBorders>
              <w:top w:val="single" w:sz="2" w:space="0" w:color="auto"/>
              <w:left w:val="single" w:sz="2" w:space="0" w:color="auto"/>
              <w:bottom w:val="single" w:sz="2" w:space="0" w:color="auto"/>
              <w:right w:val="single" w:sz="2" w:space="0" w:color="auto"/>
            </w:tcBorders>
            <w:vAlign w:val="center"/>
          </w:tcPr>
          <w:p w14:paraId="11E1E61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2458C9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12FAD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346,497.91</w:t>
            </w:r>
          </w:p>
        </w:tc>
        <w:tc>
          <w:tcPr>
            <w:tcW w:w="1071" w:type="dxa"/>
            <w:tcBorders>
              <w:top w:val="single" w:sz="2" w:space="0" w:color="auto"/>
              <w:left w:val="single" w:sz="2" w:space="0" w:color="auto"/>
              <w:bottom w:val="single" w:sz="2" w:space="0" w:color="auto"/>
              <w:right w:val="single" w:sz="2" w:space="0" w:color="auto"/>
            </w:tcBorders>
            <w:vAlign w:val="center"/>
          </w:tcPr>
          <w:p w14:paraId="7D2FA5C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7F8815E"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0387A92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3,773,295.46</w:t>
            </w:r>
          </w:p>
        </w:tc>
        <w:tc>
          <w:tcPr>
            <w:tcW w:w="1137" w:type="dxa"/>
            <w:tcBorders>
              <w:top w:val="single" w:sz="2" w:space="0" w:color="auto"/>
              <w:left w:val="single" w:sz="2" w:space="0" w:color="auto"/>
              <w:bottom w:val="single" w:sz="2" w:space="0" w:color="auto"/>
              <w:right w:val="single" w:sz="2" w:space="0" w:color="auto"/>
            </w:tcBorders>
            <w:vAlign w:val="center"/>
          </w:tcPr>
          <w:p w14:paraId="0671D56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4FBA6FB0"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2803239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Design and industrialization projects of intelligent terminal integrated power devices</w:t>
            </w:r>
          </w:p>
        </w:tc>
        <w:tc>
          <w:tcPr>
            <w:tcW w:w="1071" w:type="dxa"/>
            <w:tcBorders>
              <w:top w:val="single" w:sz="2" w:space="0" w:color="auto"/>
              <w:left w:val="single" w:sz="2" w:space="0" w:color="auto"/>
              <w:bottom w:val="single" w:sz="2" w:space="0" w:color="auto"/>
              <w:right w:val="single" w:sz="2" w:space="0" w:color="auto"/>
            </w:tcBorders>
            <w:vAlign w:val="center"/>
          </w:tcPr>
          <w:p w14:paraId="1B7A51D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5,604,240.41</w:t>
            </w:r>
          </w:p>
        </w:tc>
        <w:tc>
          <w:tcPr>
            <w:tcW w:w="1071" w:type="dxa"/>
            <w:tcBorders>
              <w:top w:val="single" w:sz="2" w:space="0" w:color="auto"/>
              <w:left w:val="single" w:sz="2" w:space="0" w:color="auto"/>
              <w:bottom w:val="single" w:sz="2" w:space="0" w:color="auto"/>
              <w:right w:val="single" w:sz="2" w:space="0" w:color="auto"/>
            </w:tcBorders>
            <w:vAlign w:val="center"/>
          </w:tcPr>
          <w:p w14:paraId="3EA399F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555D320"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8912F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632,863.87</w:t>
            </w:r>
          </w:p>
        </w:tc>
        <w:tc>
          <w:tcPr>
            <w:tcW w:w="1071" w:type="dxa"/>
            <w:tcBorders>
              <w:top w:val="single" w:sz="2" w:space="0" w:color="auto"/>
              <w:left w:val="single" w:sz="2" w:space="0" w:color="auto"/>
              <w:bottom w:val="single" w:sz="2" w:space="0" w:color="auto"/>
              <w:right w:val="single" w:sz="2" w:space="0" w:color="auto"/>
            </w:tcBorders>
            <w:vAlign w:val="center"/>
          </w:tcPr>
          <w:p w14:paraId="24E8142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65AD8F6"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164254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4,971,376.54</w:t>
            </w:r>
          </w:p>
        </w:tc>
        <w:tc>
          <w:tcPr>
            <w:tcW w:w="1137" w:type="dxa"/>
            <w:tcBorders>
              <w:top w:val="single" w:sz="2" w:space="0" w:color="auto"/>
              <w:left w:val="single" w:sz="2" w:space="0" w:color="auto"/>
              <w:bottom w:val="single" w:sz="2" w:space="0" w:color="auto"/>
              <w:right w:val="single" w:sz="2" w:space="0" w:color="auto"/>
            </w:tcBorders>
            <w:vAlign w:val="center"/>
          </w:tcPr>
          <w:p w14:paraId="09B7155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4142EEEF"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3E5B9EE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R&amp;D and industrialization project of vertical-structured </w:t>
            </w:r>
            <w:proofErr w:type="spellStart"/>
            <w:r w:rsidRPr="00F73301">
              <w:rPr>
                <w:rFonts w:ascii="Times New Roman" w:eastAsia="宋体" w:hAnsi="Times New Roman" w:cs="Times New Roman"/>
                <w:sz w:val="18"/>
                <w:szCs w:val="18"/>
              </w:rPr>
              <w:t>GaN</w:t>
            </w:r>
            <w:proofErr w:type="spellEnd"/>
            <w:r w:rsidRPr="00F73301">
              <w:rPr>
                <w:rFonts w:ascii="Times New Roman" w:eastAsia="宋体" w:hAnsi="Times New Roman" w:cs="Times New Roman"/>
                <w:sz w:val="18"/>
                <w:szCs w:val="18"/>
              </w:rPr>
              <w:t>-based power device with breakdown voltage of 900V</w:t>
            </w:r>
          </w:p>
        </w:tc>
        <w:tc>
          <w:tcPr>
            <w:tcW w:w="1071" w:type="dxa"/>
            <w:tcBorders>
              <w:top w:val="single" w:sz="2" w:space="0" w:color="auto"/>
              <w:left w:val="single" w:sz="2" w:space="0" w:color="auto"/>
              <w:bottom w:val="single" w:sz="2" w:space="0" w:color="auto"/>
              <w:right w:val="single" w:sz="2" w:space="0" w:color="auto"/>
            </w:tcBorders>
            <w:vAlign w:val="center"/>
          </w:tcPr>
          <w:p w14:paraId="5BEC20A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4,190,578.97</w:t>
            </w:r>
          </w:p>
        </w:tc>
        <w:tc>
          <w:tcPr>
            <w:tcW w:w="1071" w:type="dxa"/>
            <w:tcBorders>
              <w:top w:val="single" w:sz="2" w:space="0" w:color="auto"/>
              <w:left w:val="single" w:sz="2" w:space="0" w:color="auto"/>
              <w:bottom w:val="single" w:sz="2" w:space="0" w:color="auto"/>
              <w:right w:val="single" w:sz="2" w:space="0" w:color="auto"/>
            </w:tcBorders>
            <w:vAlign w:val="center"/>
          </w:tcPr>
          <w:p w14:paraId="0CAE19A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E1B448F"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721E57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720,031.07</w:t>
            </w:r>
          </w:p>
        </w:tc>
        <w:tc>
          <w:tcPr>
            <w:tcW w:w="1071" w:type="dxa"/>
            <w:tcBorders>
              <w:top w:val="single" w:sz="2" w:space="0" w:color="auto"/>
              <w:left w:val="single" w:sz="2" w:space="0" w:color="auto"/>
              <w:bottom w:val="single" w:sz="2" w:space="0" w:color="auto"/>
              <w:right w:val="single" w:sz="2" w:space="0" w:color="auto"/>
            </w:tcBorders>
            <w:vAlign w:val="center"/>
          </w:tcPr>
          <w:p w14:paraId="7A6CAC9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6261D0F"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6F359A3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3,470,547.90</w:t>
            </w:r>
          </w:p>
        </w:tc>
        <w:tc>
          <w:tcPr>
            <w:tcW w:w="1137" w:type="dxa"/>
            <w:tcBorders>
              <w:top w:val="single" w:sz="2" w:space="0" w:color="auto"/>
              <w:left w:val="single" w:sz="2" w:space="0" w:color="auto"/>
              <w:bottom w:val="single" w:sz="2" w:space="0" w:color="auto"/>
              <w:right w:val="single" w:sz="2" w:space="0" w:color="auto"/>
            </w:tcBorders>
            <w:vAlign w:val="center"/>
          </w:tcPr>
          <w:p w14:paraId="7669508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333839AF"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3FD520F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subsidies for transformation and upgrading of provincial industrial and information industry</w:t>
            </w:r>
          </w:p>
        </w:tc>
        <w:tc>
          <w:tcPr>
            <w:tcW w:w="1071" w:type="dxa"/>
            <w:tcBorders>
              <w:top w:val="single" w:sz="2" w:space="0" w:color="auto"/>
              <w:left w:val="single" w:sz="2" w:space="0" w:color="auto"/>
              <w:bottom w:val="single" w:sz="2" w:space="0" w:color="auto"/>
              <w:right w:val="single" w:sz="2" w:space="0" w:color="auto"/>
            </w:tcBorders>
            <w:vAlign w:val="center"/>
          </w:tcPr>
          <w:p w14:paraId="6E5E6A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17,393,780.13</w:t>
            </w:r>
          </w:p>
        </w:tc>
        <w:tc>
          <w:tcPr>
            <w:tcW w:w="1071" w:type="dxa"/>
            <w:tcBorders>
              <w:top w:val="single" w:sz="2" w:space="0" w:color="auto"/>
              <w:left w:val="single" w:sz="2" w:space="0" w:color="auto"/>
              <w:bottom w:val="single" w:sz="2" w:space="0" w:color="auto"/>
              <w:right w:val="single" w:sz="2" w:space="0" w:color="auto"/>
            </w:tcBorders>
            <w:vAlign w:val="center"/>
          </w:tcPr>
          <w:p w14:paraId="37385BE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2AEFCF"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23E9CD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1,925,592.14</w:t>
            </w:r>
          </w:p>
        </w:tc>
        <w:tc>
          <w:tcPr>
            <w:tcW w:w="1071" w:type="dxa"/>
            <w:tcBorders>
              <w:top w:val="single" w:sz="2" w:space="0" w:color="auto"/>
              <w:left w:val="single" w:sz="2" w:space="0" w:color="auto"/>
              <w:bottom w:val="single" w:sz="2" w:space="0" w:color="auto"/>
              <w:right w:val="single" w:sz="2" w:space="0" w:color="auto"/>
            </w:tcBorders>
            <w:vAlign w:val="center"/>
          </w:tcPr>
          <w:p w14:paraId="67137FE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21EA9BD"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1D62BC4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15,468,187.99</w:t>
            </w:r>
          </w:p>
        </w:tc>
        <w:tc>
          <w:tcPr>
            <w:tcW w:w="1137" w:type="dxa"/>
            <w:tcBorders>
              <w:top w:val="single" w:sz="2" w:space="0" w:color="auto"/>
              <w:left w:val="single" w:sz="2" w:space="0" w:color="auto"/>
              <w:bottom w:val="single" w:sz="2" w:space="0" w:color="auto"/>
              <w:right w:val="single" w:sz="2" w:space="0" w:color="auto"/>
            </w:tcBorders>
            <w:vAlign w:val="center"/>
          </w:tcPr>
          <w:p w14:paraId="6FDE037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566BAFA5"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0F09CAD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Guidance funds for the development of advanced manufacturing industry</w:t>
            </w:r>
          </w:p>
        </w:tc>
        <w:tc>
          <w:tcPr>
            <w:tcW w:w="1071" w:type="dxa"/>
            <w:tcBorders>
              <w:top w:val="single" w:sz="2" w:space="0" w:color="auto"/>
              <w:left w:val="single" w:sz="2" w:space="0" w:color="auto"/>
              <w:bottom w:val="single" w:sz="2" w:space="0" w:color="auto"/>
              <w:right w:val="single" w:sz="2" w:space="0" w:color="auto"/>
            </w:tcBorders>
            <w:vAlign w:val="center"/>
          </w:tcPr>
          <w:p w14:paraId="05B6580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1,180,057.96</w:t>
            </w:r>
          </w:p>
        </w:tc>
        <w:tc>
          <w:tcPr>
            <w:tcW w:w="1071" w:type="dxa"/>
            <w:tcBorders>
              <w:top w:val="single" w:sz="2" w:space="0" w:color="auto"/>
              <w:left w:val="single" w:sz="2" w:space="0" w:color="auto"/>
              <w:bottom w:val="single" w:sz="2" w:space="0" w:color="auto"/>
              <w:right w:val="single" w:sz="2" w:space="0" w:color="auto"/>
            </w:tcBorders>
            <w:vAlign w:val="center"/>
          </w:tcPr>
          <w:p w14:paraId="3F5C669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6D8FC2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4E7F0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118,634.32</w:t>
            </w:r>
          </w:p>
        </w:tc>
        <w:tc>
          <w:tcPr>
            <w:tcW w:w="1071" w:type="dxa"/>
            <w:tcBorders>
              <w:top w:val="single" w:sz="2" w:space="0" w:color="auto"/>
              <w:left w:val="single" w:sz="2" w:space="0" w:color="auto"/>
              <w:bottom w:val="single" w:sz="2" w:space="0" w:color="auto"/>
              <w:right w:val="single" w:sz="2" w:space="0" w:color="auto"/>
            </w:tcBorders>
            <w:vAlign w:val="center"/>
          </w:tcPr>
          <w:p w14:paraId="276CB425"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047BF8B"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2B8BF1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1,061,423.64</w:t>
            </w:r>
          </w:p>
        </w:tc>
        <w:tc>
          <w:tcPr>
            <w:tcW w:w="1137" w:type="dxa"/>
            <w:tcBorders>
              <w:top w:val="single" w:sz="2" w:space="0" w:color="auto"/>
              <w:left w:val="single" w:sz="2" w:space="0" w:color="auto"/>
              <w:bottom w:val="single" w:sz="2" w:space="0" w:color="auto"/>
              <w:right w:val="single" w:sz="2" w:space="0" w:color="auto"/>
            </w:tcBorders>
            <w:vAlign w:val="center"/>
          </w:tcPr>
          <w:p w14:paraId="32C1F89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2228665C"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7C3E3C8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industrial development</w:t>
            </w:r>
          </w:p>
        </w:tc>
        <w:tc>
          <w:tcPr>
            <w:tcW w:w="1071" w:type="dxa"/>
            <w:tcBorders>
              <w:top w:val="single" w:sz="2" w:space="0" w:color="auto"/>
              <w:left w:val="single" w:sz="2" w:space="0" w:color="auto"/>
              <w:bottom w:val="single" w:sz="2" w:space="0" w:color="auto"/>
              <w:right w:val="single" w:sz="2" w:space="0" w:color="auto"/>
            </w:tcBorders>
            <w:vAlign w:val="center"/>
          </w:tcPr>
          <w:p w14:paraId="7AA432D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3,381,055.03</w:t>
            </w:r>
          </w:p>
        </w:tc>
        <w:tc>
          <w:tcPr>
            <w:tcW w:w="1071" w:type="dxa"/>
            <w:tcBorders>
              <w:top w:val="single" w:sz="2" w:space="0" w:color="auto"/>
              <w:left w:val="single" w:sz="2" w:space="0" w:color="auto"/>
              <w:bottom w:val="single" w:sz="2" w:space="0" w:color="auto"/>
              <w:right w:val="single" w:sz="2" w:space="0" w:color="auto"/>
            </w:tcBorders>
            <w:vAlign w:val="center"/>
          </w:tcPr>
          <w:p w14:paraId="083E9C3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FB1862"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FE348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326,685.00</w:t>
            </w:r>
          </w:p>
        </w:tc>
        <w:tc>
          <w:tcPr>
            <w:tcW w:w="1071" w:type="dxa"/>
            <w:tcBorders>
              <w:top w:val="single" w:sz="2" w:space="0" w:color="auto"/>
              <w:left w:val="single" w:sz="2" w:space="0" w:color="auto"/>
              <w:bottom w:val="single" w:sz="2" w:space="0" w:color="auto"/>
              <w:right w:val="single" w:sz="2" w:space="0" w:color="auto"/>
            </w:tcBorders>
            <w:vAlign w:val="center"/>
          </w:tcPr>
          <w:p w14:paraId="1D6EF0E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41D4EC6"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3363CEE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3,054,370.03</w:t>
            </w:r>
          </w:p>
        </w:tc>
        <w:tc>
          <w:tcPr>
            <w:tcW w:w="1137" w:type="dxa"/>
            <w:tcBorders>
              <w:top w:val="single" w:sz="2" w:space="0" w:color="auto"/>
              <w:left w:val="single" w:sz="2" w:space="0" w:color="auto"/>
              <w:bottom w:val="single" w:sz="2" w:space="0" w:color="auto"/>
              <w:right w:val="single" w:sz="2" w:space="0" w:color="auto"/>
            </w:tcBorders>
            <w:vAlign w:val="center"/>
          </w:tcPr>
          <w:p w14:paraId="17047C7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2C9856AE"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02EB8B9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economic and commercial development</w:t>
            </w:r>
          </w:p>
        </w:tc>
        <w:tc>
          <w:tcPr>
            <w:tcW w:w="1071" w:type="dxa"/>
            <w:tcBorders>
              <w:top w:val="single" w:sz="2" w:space="0" w:color="auto"/>
              <w:left w:val="single" w:sz="2" w:space="0" w:color="auto"/>
              <w:bottom w:val="single" w:sz="2" w:space="0" w:color="auto"/>
              <w:right w:val="single" w:sz="2" w:space="0" w:color="auto"/>
            </w:tcBorders>
            <w:vAlign w:val="center"/>
          </w:tcPr>
          <w:p w14:paraId="21564A1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581,041.25</w:t>
            </w:r>
          </w:p>
        </w:tc>
        <w:tc>
          <w:tcPr>
            <w:tcW w:w="1071" w:type="dxa"/>
            <w:tcBorders>
              <w:top w:val="single" w:sz="2" w:space="0" w:color="auto"/>
              <w:left w:val="single" w:sz="2" w:space="0" w:color="auto"/>
              <w:bottom w:val="single" w:sz="2" w:space="0" w:color="auto"/>
              <w:right w:val="single" w:sz="2" w:space="0" w:color="auto"/>
            </w:tcBorders>
            <w:vAlign w:val="center"/>
          </w:tcPr>
          <w:p w14:paraId="0664227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8B8AE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65D49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52,818.53</w:t>
            </w:r>
          </w:p>
        </w:tc>
        <w:tc>
          <w:tcPr>
            <w:tcW w:w="1071" w:type="dxa"/>
            <w:tcBorders>
              <w:top w:val="single" w:sz="2" w:space="0" w:color="auto"/>
              <w:left w:val="single" w:sz="2" w:space="0" w:color="auto"/>
              <w:bottom w:val="single" w:sz="2" w:space="0" w:color="auto"/>
              <w:right w:val="single" w:sz="2" w:space="0" w:color="auto"/>
            </w:tcBorders>
            <w:vAlign w:val="center"/>
          </w:tcPr>
          <w:p w14:paraId="23C9CA8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F6B6859"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268EE6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528,222.72</w:t>
            </w:r>
          </w:p>
        </w:tc>
        <w:tc>
          <w:tcPr>
            <w:tcW w:w="1137" w:type="dxa"/>
            <w:tcBorders>
              <w:top w:val="single" w:sz="2" w:space="0" w:color="auto"/>
              <w:left w:val="single" w:sz="2" w:space="0" w:color="auto"/>
              <w:bottom w:val="single" w:sz="2" w:space="0" w:color="auto"/>
              <w:right w:val="single" w:sz="2" w:space="0" w:color="auto"/>
            </w:tcBorders>
            <w:vAlign w:val="center"/>
          </w:tcPr>
          <w:p w14:paraId="533B7F8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3E040BF2"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6B42159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High-quality development and technical transformation</w:t>
            </w:r>
          </w:p>
        </w:tc>
        <w:tc>
          <w:tcPr>
            <w:tcW w:w="1071" w:type="dxa"/>
            <w:tcBorders>
              <w:top w:val="single" w:sz="2" w:space="0" w:color="auto"/>
              <w:left w:val="single" w:sz="2" w:space="0" w:color="auto"/>
              <w:bottom w:val="single" w:sz="2" w:space="0" w:color="auto"/>
              <w:right w:val="single" w:sz="2" w:space="0" w:color="auto"/>
            </w:tcBorders>
            <w:vAlign w:val="center"/>
          </w:tcPr>
          <w:p w14:paraId="6144486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10,494,494.11</w:t>
            </w:r>
          </w:p>
        </w:tc>
        <w:tc>
          <w:tcPr>
            <w:tcW w:w="1071" w:type="dxa"/>
            <w:tcBorders>
              <w:top w:val="single" w:sz="2" w:space="0" w:color="auto"/>
              <w:left w:val="single" w:sz="2" w:space="0" w:color="auto"/>
              <w:bottom w:val="single" w:sz="2" w:space="0" w:color="auto"/>
              <w:right w:val="single" w:sz="2" w:space="0" w:color="auto"/>
            </w:tcBorders>
            <w:vAlign w:val="center"/>
          </w:tcPr>
          <w:p w14:paraId="1399A6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12,958,700.00</w:t>
            </w:r>
          </w:p>
        </w:tc>
        <w:tc>
          <w:tcPr>
            <w:tcW w:w="1071" w:type="dxa"/>
            <w:tcBorders>
              <w:top w:val="single" w:sz="2" w:space="0" w:color="auto"/>
              <w:left w:val="single" w:sz="2" w:space="0" w:color="auto"/>
              <w:bottom w:val="single" w:sz="2" w:space="0" w:color="auto"/>
              <w:right w:val="single" w:sz="2" w:space="0" w:color="auto"/>
            </w:tcBorders>
            <w:vAlign w:val="center"/>
          </w:tcPr>
          <w:p w14:paraId="088FA0DE"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91B13C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1,427,789.38</w:t>
            </w:r>
          </w:p>
        </w:tc>
        <w:tc>
          <w:tcPr>
            <w:tcW w:w="1071" w:type="dxa"/>
            <w:tcBorders>
              <w:top w:val="single" w:sz="2" w:space="0" w:color="auto"/>
              <w:left w:val="single" w:sz="2" w:space="0" w:color="auto"/>
              <w:bottom w:val="single" w:sz="2" w:space="0" w:color="auto"/>
              <w:right w:val="single" w:sz="2" w:space="0" w:color="auto"/>
            </w:tcBorders>
            <w:vAlign w:val="center"/>
          </w:tcPr>
          <w:p w14:paraId="6ED29CC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0D62058"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51A3888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22,025,404.73</w:t>
            </w:r>
          </w:p>
        </w:tc>
        <w:tc>
          <w:tcPr>
            <w:tcW w:w="1137" w:type="dxa"/>
            <w:tcBorders>
              <w:top w:val="single" w:sz="2" w:space="0" w:color="auto"/>
              <w:left w:val="single" w:sz="2" w:space="0" w:color="auto"/>
              <w:bottom w:val="single" w:sz="2" w:space="0" w:color="auto"/>
              <w:right w:val="single" w:sz="2" w:space="0" w:color="auto"/>
            </w:tcBorders>
            <w:vAlign w:val="center"/>
          </w:tcPr>
          <w:p w14:paraId="09B9F54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6B0C0B11"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3C4B2A9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high-quality development</w:t>
            </w:r>
          </w:p>
        </w:tc>
        <w:tc>
          <w:tcPr>
            <w:tcW w:w="1071" w:type="dxa"/>
            <w:tcBorders>
              <w:top w:val="single" w:sz="2" w:space="0" w:color="auto"/>
              <w:left w:val="single" w:sz="2" w:space="0" w:color="auto"/>
              <w:bottom w:val="single" w:sz="2" w:space="0" w:color="auto"/>
              <w:right w:val="single" w:sz="2" w:space="0" w:color="auto"/>
            </w:tcBorders>
            <w:vAlign w:val="center"/>
          </w:tcPr>
          <w:p w14:paraId="2AAEB1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6,965,272.91</w:t>
            </w:r>
          </w:p>
        </w:tc>
        <w:tc>
          <w:tcPr>
            <w:tcW w:w="1071" w:type="dxa"/>
            <w:tcBorders>
              <w:top w:val="single" w:sz="2" w:space="0" w:color="auto"/>
              <w:left w:val="single" w:sz="2" w:space="0" w:color="auto"/>
              <w:bottom w:val="single" w:sz="2" w:space="0" w:color="auto"/>
              <w:right w:val="single" w:sz="2" w:space="0" w:color="auto"/>
            </w:tcBorders>
            <w:vAlign w:val="center"/>
          </w:tcPr>
          <w:p w14:paraId="0AEA232F"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35488E1"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D14128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760,063.93</w:t>
            </w:r>
          </w:p>
        </w:tc>
        <w:tc>
          <w:tcPr>
            <w:tcW w:w="1071" w:type="dxa"/>
            <w:tcBorders>
              <w:top w:val="single" w:sz="2" w:space="0" w:color="auto"/>
              <w:left w:val="single" w:sz="2" w:space="0" w:color="auto"/>
              <w:bottom w:val="single" w:sz="2" w:space="0" w:color="auto"/>
              <w:right w:val="single" w:sz="2" w:space="0" w:color="auto"/>
            </w:tcBorders>
            <w:vAlign w:val="center"/>
          </w:tcPr>
          <w:p w14:paraId="3617A95F"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4C983BE"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01CFEE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6,205,208.98</w:t>
            </w:r>
          </w:p>
        </w:tc>
        <w:tc>
          <w:tcPr>
            <w:tcW w:w="1137" w:type="dxa"/>
            <w:tcBorders>
              <w:top w:val="single" w:sz="2" w:space="0" w:color="auto"/>
              <w:left w:val="single" w:sz="2" w:space="0" w:color="auto"/>
              <w:bottom w:val="single" w:sz="2" w:space="0" w:color="auto"/>
              <w:right w:val="single" w:sz="2" w:space="0" w:color="auto"/>
            </w:tcBorders>
            <w:vAlign w:val="center"/>
          </w:tcPr>
          <w:p w14:paraId="210C2C4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610511A7"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811898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Special </w:t>
            </w:r>
            <w:r w:rsidRPr="00F73301">
              <w:rPr>
                <w:rFonts w:ascii="Times New Roman" w:eastAsia="宋体" w:hAnsi="Times New Roman" w:cs="Times New Roman"/>
                <w:sz w:val="18"/>
                <w:szCs w:val="18"/>
              </w:rPr>
              <w:lastRenderedPageBreak/>
              <w:t>funds for municipal-level intelligent reform and digital transformation</w:t>
            </w:r>
          </w:p>
        </w:tc>
        <w:tc>
          <w:tcPr>
            <w:tcW w:w="1071" w:type="dxa"/>
            <w:tcBorders>
              <w:top w:val="single" w:sz="2" w:space="0" w:color="auto"/>
              <w:left w:val="single" w:sz="2" w:space="0" w:color="auto"/>
              <w:bottom w:val="single" w:sz="2" w:space="0" w:color="auto"/>
              <w:right w:val="single" w:sz="2" w:space="0" w:color="auto"/>
            </w:tcBorders>
            <w:vAlign w:val="center"/>
          </w:tcPr>
          <w:p w14:paraId="63D4FD4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0601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10,480,000.0</w:t>
            </w:r>
            <w:r w:rsidRPr="00F73301">
              <w:rPr>
                <w:rFonts w:ascii="Times New Roman" w:eastAsia="宋体" w:hAnsi="Times New Roman" w:cs="Times New Roman"/>
                <w:sz w:val="18"/>
                <w:szCs w:val="18"/>
              </w:rPr>
              <w:lastRenderedPageBreak/>
              <w:t>0</w:t>
            </w:r>
          </w:p>
        </w:tc>
        <w:tc>
          <w:tcPr>
            <w:tcW w:w="1071" w:type="dxa"/>
            <w:tcBorders>
              <w:top w:val="single" w:sz="2" w:space="0" w:color="auto"/>
              <w:left w:val="single" w:sz="2" w:space="0" w:color="auto"/>
              <w:bottom w:val="single" w:sz="2" w:space="0" w:color="auto"/>
              <w:right w:val="single" w:sz="2" w:space="0" w:color="auto"/>
            </w:tcBorders>
            <w:vAlign w:val="center"/>
          </w:tcPr>
          <w:p w14:paraId="6A74BB34"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B3EB8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566,513.32</w:t>
            </w:r>
          </w:p>
        </w:tc>
        <w:tc>
          <w:tcPr>
            <w:tcW w:w="1071" w:type="dxa"/>
            <w:tcBorders>
              <w:top w:val="single" w:sz="2" w:space="0" w:color="auto"/>
              <w:left w:val="single" w:sz="2" w:space="0" w:color="auto"/>
              <w:bottom w:val="single" w:sz="2" w:space="0" w:color="auto"/>
              <w:right w:val="single" w:sz="2" w:space="0" w:color="auto"/>
            </w:tcBorders>
            <w:vAlign w:val="center"/>
          </w:tcPr>
          <w:p w14:paraId="502B3FC1"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639A090"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0BD178C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9,913,486.6</w:t>
            </w:r>
            <w:r w:rsidRPr="00F73301">
              <w:rPr>
                <w:rFonts w:ascii="Times New Roman" w:eastAsia="宋体" w:hAnsi="Times New Roman" w:cs="Times New Roman"/>
                <w:sz w:val="18"/>
                <w:szCs w:val="18"/>
              </w:rPr>
              <w:lastRenderedPageBreak/>
              <w:t>8</w:t>
            </w:r>
          </w:p>
        </w:tc>
        <w:tc>
          <w:tcPr>
            <w:tcW w:w="1137" w:type="dxa"/>
            <w:tcBorders>
              <w:top w:val="single" w:sz="2" w:space="0" w:color="auto"/>
              <w:left w:val="single" w:sz="2" w:space="0" w:color="auto"/>
              <w:bottom w:val="single" w:sz="2" w:space="0" w:color="auto"/>
              <w:right w:val="single" w:sz="2" w:space="0" w:color="auto"/>
            </w:tcBorders>
            <w:vAlign w:val="center"/>
          </w:tcPr>
          <w:p w14:paraId="7E1404B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 xml:space="preserve">Related to </w:t>
            </w:r>
            <w:r w:rsidRPr="00F73301">
              <w:rPr>
                <w:rFonts w:ascii="Times New Roman" w:eastAsia="宋体" w:hAnsi="Times New Roman" w:cs="Times New Roman"/>
                <w:sz w:val="18"/>
                <w:szCs w:val="18"/>
              </w:rPr>
              <w:lastRenderedPageBreak/>
              <w:t>assets</w:t>
            </w:r>
          </w:p>
        </w:tc>
      </w:tr>
      <w:tr w:rsidR="00F73301" w:rsidRPr="00F73301" w14:paraId="2CA9C304"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1A83309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Strategic emerging industry projects of Jiangsu Province</w:t>
            </w:r>
          </w:p>
        </w:tc>
        <w:tc>
          <w:tcPr>
            <w:tcW w:w="1071" w:type="dxa"/>
            <w:tcBorders>
              <w:top w:val="single" w:sz="2" w:space="0" w:color="auto"/>
              <w:left w:val="single" w:sz="2" w:space="0" w:color="auto"/>
              <w:bottom w:val="single" w:sz="2" w:space="0" w:color="auto"/>
              <w:right w:val="single" w:sz="2" w:space="0" w:color="auto"/>
            </w:tcBorders>
            <w:vAlign w:val="center"/>
          </w:tcPr>
          <w:p w14:paraId="35EB49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1,109,422.29</w:t>
            </w:r>
          </w:p>
        </w:tc>
        <w:tc>
          <w:tcPr>
            <w:tcW w:w="1071" w:type="dxa"/>
            <w:tcBorders>
              <w:top w:val="single" w:sz="2" w:space="0" w:color="auto"/>
              <w:left w:val="single" w:sz="2" w:space="0" w:color="auto"/>
              <w:bottom w:val="single" w:sz="2" w:space="0" w:color="auto"/>
              <w:right w:val="single" w:sz="2" w:space="0" w:color="auto"/>
            </w:tcBorders>
            <w:vAlign w:val="center"/>
          </w:tcPr>
          <w:p w14:paraId="1E6AB6C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EF2AE0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F0B5C8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235,961.94</w:t>
            </w:r>
          </w:p>
        </w:tc>
        <w:tc>
          <w:tcPr>
            <w:tcW w:w="1071" w:type="dxa"/>
            <w:tcBorders>
              <w:top w:val="single" w:sz="2" w:space="0" w:color="auto"/>
              <w:left w:val="single" w:sz="2" w:space="0" w:color="auto"/>
              <w:bottom w:val="single" w:sz="2" w:space="0" w:color="auto"/>
              <w:right w:val="single" w:sz="2" w:space="0" w:color="auto"/>
            </w:tcBorders>
            <w:vAlign w:val="center"/>
          </w:tcPr>
          <w:p w14:paraId="31E93EA6"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C152219"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31C9F0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873,460.35</w:t>
            </w:r>
          </w:p>
        </w:tc>
        <w:tc>
          <w:tcPr>
            <w:tcW w:w="1137" w:type="dxa"/>
            <w:tcBorders>
              <w:top w:val="single" w:sz="2" w:space="0" w:color="auto"/>
              <w:left w:val="single" w:sz="2" w:space="0" w:color="auto"/>
              <w:bottom w:val="single" w:sz="2" w:space="0" w:color="auto"/>
              <w:right w:val="single" w:sz="2" w:space="0" w:color="auto"/>
            </w:tcBorders>
            <w:vAlign w:val="center"/>
          </w:tcPr>
          <w:p w14:paraId="2B2E5CC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A0AC2CA"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07AB34F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Science and technology program of Yangzhou</w:t>
            </w:r>
          </w:p>
        </w:tc>
        <w:tc>
          <w:tcPr>
            <w:tcW w:w="1071" w:type="dxa"/>
            <w:tcBorders>
              <w:top w:val="single" w:sz="2" w:space="0" w:color="auto"/>
              <w:left w:val="single" w:sz="2" w:space="0" w:color="auto"/>
              <w:bottom w:val="single" w:sz="2" w:space="0" w:color="auto"/>
              <w:right w:val="single" w:sz="2" w:space="0" w:color="auto"/>
            </w:tcBorders>
            <w:vAlign w:val="center"/>
          </w:tcPr>
          <w:p w14:paraId="4E1AB5C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108,333.29</w:t>
            </w:r>
          </w:p>
        </w:tc>
        <w:tc>
          <w:tcPr>
            <w:tcW w:w="1071" w:type="dxa"/>
            <w:tcBorders>
              <w:top w:val="single" w:sz="2" w:space="0" w:color="auto"/>
              <w:left w:val="single" w:sz="2" w:space="0" w:color="auto"/>
              <w:bottom w:val="single" w:sz="2" w:space="0" w:color="auto"/>
              <w:right w:val="single" w:sz="2" w:space="0" w:color="auto"/>
            </w:tcBorders>
            <w:vAlign w:val="center"/>
          </w:tcPr>
          <w:p w14:paraId="71BC5DE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26BFD46"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3E05E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25,000.02</w:t>
            </w:r>
          </w:p>
        </w:tc>
        <w:tc>
          <w:tcPr>
            <w:tcW w:w="1071" w:type="dxa"/>
            <w:tcBorders>
              <w:top w:val="single" w:sz="2" w:space="0" w:color="auto"/>
              <w:left w:val="single" w:sz="2" w:space="0" w:color="auto"/>
              <w:bottom w:val="single" w:sz="2" w:space="0" w:color="auto"/>
              <w:right w:val="single" w:sz="2" w:space="0" w:color="auto"/>
            </w:tcBorders>
            <w:vAlign w:val="center"/>
          </w:tcPr>
          <w:p w14:paraId="31A333F9"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0DB770"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724337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83,333.27</w:t>
            </w:r>
          </w:p>
        </w:tc>
        <w:tc>
          <w:tcPr>
            <w:tcW w:w="1137" w:type="dxa"/>
            <w:tcBorders>
              <w:top w:val="single" w:sz="2" w:space="0" w:color="auto"/>
              <w:left w:val="single" w:sz="2" w:space="0" w:color="auto"/>
              <w:bottom w:val="single" w:sz="2" w:space="0" w:color="auto"/>
              <w:right w:val="single" w:sz="2" w:space="0" w:color="auto"/>
            </w:tcBorders>
            <w:vAlign w:val="center"/>
          </w:tcPr>
          <w:p w14:paraId="17BBC89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4315574C"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29DF7DE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equipment</w:t>
            </w:r>
          </w:p>
        </w:tc>
        <w:tc>
          <w:tcPr>
            <w:tcW w:w="1071" w:type="dxa"/>
            <w:tcBorders>
              <w:top w:val="single" w:sz="2" w:space="0" w:color="auto"/>
              <w:left w:val="single" w:sz="2" w:space="0" w:color="auto"/>
              <w:bottom w:val="single" w:sz="2" w:space="0" w:color="auto"/>
              <w:right w:val="single" w:sz="2" w:space="0" w:color="auto"/>
            </w:tcBorders>
            <w:vAlign w:val="center"/>
          </w:tcPr>
          <w:p w14:paraId="7DECC09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482,348.61</w:t>
            </w:r>
          </w:p>
        </w:tc>
        <w:tc>
          <w:tcPr>
            <w:tcW w:w="1071" w:type="dxa"/>
            <w:tcBorders>
              <w:top w:val="single" w:sz="2" w:space="0" w:color="auto"/>
              <w:left w:val="single" w:sz="2" w:space="0" w:color="auto"/>
              <w:bottom w:val="single" w:sz="2" w:space="0" w:color="auto"/>
              <w:right w:val="single" w:sz="2" w:space="0" w:color="auto"/>
            </w:tcBorders>
            <w:vAlign w:val="center"/>
          </w:tcPr>
          <w:p w14:paraId="7EA4F58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96C67B5"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ED3439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67,180.56</w:t>
            </w:r>
          </w:p>
        </w:tc>
        <w:tc>
          <w:tcPr>
            <w:tcW w:w="1071" w:type="dxa"/>
            <w:tcBorders>
              <w:top w:val="single" w:sz="2" w:space="0" w:color="auto"/>
              <w:left w:val="single" w:sz="2" w:space="0" w:color="auto"/>
              <w:bottom w:val="single" w:sz="2" w:space="0" w:color="auto"/>
              <w:right w:val="single" w:sz="2" w:space="0" w:color="auto"/>
            </w:tcBorders>
            <w:vAlign w:val="center"/>
          </w:tcPr>
          <w:p w14:paraId="39D625C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774C079"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0508D91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415,168.05</w:t>
            </w:r>
          </w:p>
        </w:tc>
        <w:tc>
          <w:tcPr>
            <w:tcW w:w="1137" w:type="dxa"/>
            <w:tcBorders>
              <w:top w:val="single" w:sz="2" w:space="0" w:color="auto"/>
              <w:left w:val="single" w:sz="2" w:space="0" w:color="auto"/>
              <w:bottom w:val="single" w:sz="2" w:space="0" w:color="auto"/>
              <w:right w:val="single" w:sz="2" w:space="0" w:color="auto"/>
            </w:tcBorders>
            <w:vAlign w:val="center"/>
          </w:tcPr>
          <w:p w14:paraId="3F7D403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53093700"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24C2C5D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Special fund for technical transformation of high-quality development of industrial economy in </w:t>
            </w:r>
            <w:proofErr w:type="spellStart"/>
            <w:r w:rsidRPr="00F73301">
              <w:rPr>
                <w:rFonts w:ascii="Times New Roman" w:eastAsia="宋体" w:hAnsi="Times New Roman" w:cs="Times New Roman"/>
                <w:sz w:val="18"/>
                <w:szCs w:val="18"/>
              </w:rPr>
              <w:t>Hanjiang</w:t>
            </w:r>
            <w:proofErr w:type="spellEnd"/>
            <w:r w:rsidRPr="00F73301">
              <w:rPr>
                <w:rFonts w:ascii="Times New Roman" w:eastAsia="宋体" w:hAnsi="Times New Roman" w:cs="Times New Roman"/>
                <w:sz w:val="18"/>
                <w:szCs w:val="18"/>
              </w:rPr>
              <w:t xml:space="preserve"> District</w:t>
            </w:r>
          </w:p>
        </w:tc>
        <w:tc>
          <w:tcPr>
            <w:tcW w:w="1071" w:type="dxa"/>
            <w:tcBorders>
              <w:top w:val="single" w:sz="2" w:space="0" w:color="auto"/>
              <w:left w:val="single" w:sz="2" w:space="0" w:color="auto"/>
              <w:bottom w:val="single" w:sz="2" w:space="0" w:color="auto"/>
              <w:right w:val="single" w:sz="2" w:space="0" w:color="auto"/>
            </w:tcBorders>
            <w:vAlign w:val="center"/>
          </w:tcPr>
          <w:p w14:paraId="5F2DA58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404,971.68</w:t>
            </w:r>
          </w:p>
        </w:tc>
        <w:tc>
          <w:tcPr>
            <w:tcW w:w="1071" w:type="dxa"/>
            <w:tcBorders>
              <w:top w:val="single" w:sz="2" w:space="0" w:color="auto"/>
              <w:left w:val="single" w:sz="2" w:space="0" w:color="auto"/>
              <w:bottom w:val="single" w:sz="2" w:space="0" w:color="auto"/>
              <w:right w:val="single" w:sz="2" w:space="0" w:color="auto"/>
            </w:tcBorders>
            <w:vAlign w:val="center"/>
          </w:tcPr>
          <w:p w14:paraId="7533D14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F09B8F"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C8CA6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49,294.44</w:t>
            </w:r>
          </w:p>
        </w:tc>
        <w:tc>
          <w:tcPr>
            <w:tcW w:w="1071" w:type="dxa"/>
            <w:tcBorders>
              <w:top w:val="single" w:sz="2" w:space="0" w:color="auto"/>
              <w:left w:val="single" w:sz="2" w:space="0" w:color="auto"/>
              <w:bottom w:val="single" w:sz="2" w:space="0" w:color="auto"/>
              <w:right w:val="single" w:sz="2" w:space="0" w:color="auto"/>
            </w:tcBorders>
            <w:vAlign w:val="center"/>
          </w:tcPr>
          <w:p w14:paraId="2ACBFAA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E5C752B"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6C07E6E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355,677.24</w:t>
            </w:r>
          </w:p>
        </w:tc>
        <w:tc>
          <w:tcPr>
            <w:tcW w:w="1137" w:type="dxa"/>
            <w:tcBorders>
              <w:top w:val="single" w:sz="2" w:space="0" w:color="auto"/>
              <w:left w:val="single" w:sz="2" w:space="0" w:color="auto"/>
              <w:bottom w:val="single" w:sz="2" w:space="0" w:color="auto"/>
              <w:right w:val="single" w:sz="2" w:space="0" w:color="auto"/>
            </w:tcBorders>
            <w:vAlign w:val="center"/>
          </w:tcPr>
          <w:p w14:paraId="06324EE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7B984D32"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238FE1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Municipal technical transformation special fund project</w:t>
            </w:r>
          </w:p>
        </w:tc>
        <w:tc>
          <w:tcPr>
            <w:tcW w:w="1071" w:type="dxa"/>
            <w:tcBorders>
              <w:top w:val="single" w:sz="2" w:space="0" w:color="auto"/>
              <w:left w:val="single" w:sz="2" w:space="0" w:color="auto"/>
              <w:bottom w:val="single" w:sz="2" w:space="0" w:color="auto"/>
              <w:right w:val="single" w:sz="2" w:space="0" w:color="auto"/>
            </w:tcBorders>
            <w:vAlign w:val="center"/>
          </w:tcPr>
          <w:p w14:paraId="61C5182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1,038,082.93</w:t>
            </w:r>
          </w:p>
        </w:tc>
        <w:tc>
          <w:tcPr>
            <w:tcW w:w="1071" w:type="dxa"/>
            <w:tcBorders>
              <w:top w:val="single" w:sz="2" w:space="0" w:color="auto"/>
              <w:left w:val="single" w:sz="2" w:space="0" w:color="auto"/>
              <w:bottom w:val="single" w:sz="2" w:space="0" w:color="auto"/>
              <w:right w:val="single" w:sz="2" w:space="0" w:color="auto"/>
            </w:tcBorders>
            <w:vAlign w:val="center"/>
          </w:tcPr>
          <w:p w14:paraId="613D78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3,500,000.00</w:t>
            </w:r>
          </w:p>
        </w:tc>
        <w:tc>
          <w:tcPr>
            <w:tcW w:w="1071" w:type="dxa"/>
            <w:tcBorders>
              <w:top w:val="single" w:sz="2" w:space="0" w:color="auto"/>
              <w:left w:val="single" w:sz="2" w:space="0" w:color="auto"/>
              <w:bottom w:val="single" w:sz="2" w:space="0" w:color="auto"/>
              <w:right w:val="single" w:sz="2" w:space="0" w:color="auto"/>
            </w:tcBorders>
            <w:vAlign w:val="center"/>
          </w:tcPr>
          <w:p w14:paraId="0E41ADA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B011D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377,046.66</w:t>
            </w:r>
          </w:p>
        </w:tc>
        <w:tc>
          <w:tcPr>
            <w:tcW w:w="1071" w:type="dxa"/>
            <w:tcBorders>
              <w:top w:val="single" w:sz="2" w:space="0" w:color="auto"/>
              <w:left w:val="single" w:sz="2" w:space="0" w:color="auto"/>
              <w:bottom w:val="single" w:sz="2" w:space="0" w:color="auto"/>
              <w:right w:val="single" w:sz="2" w:space="0" w:color="auto"/>
            </w:tcBorders>
            <w:vAlign w:val="center"/>
          </w:tcPr>
          <w:p w14:paraId="65A9896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409DB09"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7924CA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4,161,036.27</w:t>
            </w:r>
          </w:p>
        </w:tc>
        <w:tc>
          <w:tcPr>
            <w:tcW w:w="1137" w:type="dxa"/>
            <w:tcBorders>
              <w:top w:val="single" w:sz="2" w:space="0" w:color="auto"/>
              <w:left w:val="single" w:sz="2" w:space="0" w:color="auto"/>
              <w:bottom w:val="single" w:sz="2" w:space="0" w:color="auto"/>
              <w:right w:val="single" w:sz="2" w:space="0" w:color="auto"/>
            </w:tcBorders>
            <w:vAlign w:val="center"/>
          </w:tcPr>
          <w:p w14:paraId="136DEFE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D1829CF"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1CD67BC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industrial and information industry transformation in Jiangsu Province</w:t>
            </w:r>
          </w:p>
        </w:tc>
        <w:tc>
          <w:tcPr>
            <w:tcW w:w="1071" w:type="dxa"/>
            <w:tcBorders>
              <w:top w:val="single" w:sz="2" w:space="0" w:color="auto"/>
              <w:left w:val="single" w:sz="2" w:space="0" w:color="auto"/>
              <w:bottom w:val="single" w:sz="2" w:space="0" w:color="auto"/>
              <w:right w:val="single" w:sz="2" w:space="0" w:color="auto"/>
            </w:tcBorders>
            <w:vAlign w:val="center"/>
          </w:tcPr>
          <w:p w14:paraId="6B57BB5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12,800,000.00</w:t>
            </w:r>
          </w:p>
        </w:tc>
        <w:tc>
          <w:tcPr>
            <w:tcW w:w="1071" w:type="dxa"/>
            <w:tcBorders>
              <w:top w:val="single" w:sz="2" w:space="0" w:color="auto"/>
              <w:left w:val="single" w:sz="2" w:space="0" w:color="auto"/>
              <w:bottom w:val="single" w:sz="2" w:space="0" w:color="auto"/>
              <w:right w:val="single" w:sz="2" w:space="0" w:color="auto"/>
            </w:tcBorders>
            <w:vAlign w:val="center"/>
          </w:tcPr>
          <w:p w14:paraId="1FBAD2F9"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3C5054"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DE297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1,510,526.04</w:t>
            </w:r>
          </w:p>
        </w:tc>
        <w:tc>
          <w:tcPr>
            <w:tcW w:w="1071" w:type="dxa"/>
            <w:tcBorders>
              <w:top w:val="single" w:sz="2" w:space="0" w:color="auto"/>
              <w:left w:val="single" w:sz="2" w:space="0" w:color="auto"/>
              <w:bottom w:val="single" w:sz="2" w:space="0" w:color="auto"/>
              <w:right w:val="single" w:sz="2" w:space="0" w:color="auto"/>
            </w:tcBorders>
            <w:vAlign w:val="center"/>
          </w:tcPr>
          <w:p w14:paraId="28D56D0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EC47FD5"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7368E3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11,289,473.96</w:t>
            </w:r>
          </w:p>
        </w:tc>
        <w:tc>
          <w:tcPr>
            <w:tcW w:w="1137" w:type="dxa"/>
            <w:tcBorders>
              <w:top w:val="single" w:sz="2" w:space="0" w:color="auto"/>
              <w:left w:val="single" w:sz="2" w:space="0" w:color="auto"/>
              <w:bottom w:val="single" w:sz="2" w:space="0" w:color="auto"/>
              <w:right w:val="single" w:sz="2" w:space="0" w:color="auto"/>
            </w:tcBorders>
            <w:vAlign w:val="center"/>
          </w:tcPr>
          <w:p w14:paraId="19EC662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75AB652C"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308A7C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Government investment refund</w:t>
            </w:r>
          </w:p>
        </w:tc>
        <w:tc>
          <w:tcPr>
            <w:tcW w:w="1071" w:type="dxa"/>
            <w:tcBorders>
              <w:top w:val="single" w:sz="2" w:space="0" w:color="auto"/>
              <w:left w:val="single" w:sz="2" w:space="0" w:color="auto"/>
              <w:bottom w:val="single" w:sz="2" w:space="0" w:color="auto"/>
              <w:right w:val="single" w:sz="2" w:space="0" w:color="auto"/>
            </w:tcBorders>
            <w:vAlign w:val="center"/>
          </w:tcPr>
          <w:p w14:paraId="3E19D61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1,455,854.66</w:t>
            </w:r>
          </w:p>
        </w:tc>
        <w:tc>
          <w:tcPr>
            <w:tcW w:w="1071" w:type="dxa"/>
            <w:tcBorders>
              <w:top w:val="single" w:sz="2" w:space="0" w:color="auto"/>
              <w:left w:val="single" w:sz="2" w:space="0" w:color="auto"/>
              <w:bottom w:val="single" w:sz="2" w:space="0" w:color="auto"/>
              <w:right w:val="single" w:sz="2" w:space="0" w:color="auto"/>
            </w:tcBorders>
            <w:vAlign w:val="center"/>
          </w:tcPr>
          <w:p w14:paraId="0035E9F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F5CC35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4BF36C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56,547.60</w:t>
            </w:r>
          </w:p>
        </w:tc>
        <w:tc>
          <w:tcPr>
            <w:tcW w:w="1071" w:type="dxa"/>
            <w:tcBorders>
              <w:top w:val="single" w:sz="2" w:space="0" w:color="auto"/>
              <w:left w:val="single" w:sz="2" w:space="0" w:color="auto"/>
              <w:bottom w:val="single" w:sz="2" w:space="0" w:color="auto"/>
              <w:right w:val="single" w:sz="2" w:space="0" w:color="auto"/>
            </w:tcBorders>
            <w:vAlign w:val="center"/>
          </w:tcPr>
          <w:p w14:paraId="06A450E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8C13A29"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57E11B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1,399,307.06</w:t>
            </w:r>
          </w:p>
        </w:tc>
        <w:tc>
          <w:tcPr>
            <w:tcW w:w="1137" w:type="dxa"/>
            <w:tcBorders>
              <w:top w:val="single" w:sz="2" w:space="0" w:color="auto"/>
              <w:left w:val="single" w:sz="2" w:space="0" w:color="auto"/>
              <w:bottom w:val="single" w:sz="2" w:space="0" w:color="auto"/>
              <w:right w:val="single" w:sz="2" w:space="0" w:color="auto"/>
            </w:tcBorders>
            <w:vAlign w:val="center"/>
          </w:tcPr>
          <w:p w14:paraId="71DE3BD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2ED59F14"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B554BB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Provincial industrial development funds</w:t>
            </w:r>
          </w:p>
        </w:tc>
        <w:tc>
          <w:tcPr>
            <w:tcW w:w="1071" w:type="dxa"/>
            <w:tcBorders>
              <w:top w:val="single" w:sz="2" w:space="0" w:color="auto"/>
              <w:left w:val="single" w:sz="2" w:space="0" w:color="auto"/>
              <w:bottom w:val="single" w:sz="2" w:space="0" w:color="auto"/>
              <w:right w:val="single" w:sz="2" w:space="0" w:color="auto"/>
            </w:tcBorders>
            <w:vAlign w:val="center"/>
          </w:tcPr>
          <w:p w14:paraId="224743C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805,479.48</w:t>
            </w:r>
          </w:p>
        </w:tc>
        <w:tc>
          <w:tcPr>
            <w:tcW w:w="1071" w:type="dxa"/>
            <w:tcBorders>
              <w:top w:val="single" w:sz="2" w:space="0" w:color="auto"/>
              <w:left w:val="single" w:sz="2" w:space="0" w:color="auto"/>
              <w:bottom w:val="single" w:sz="2" w:space="0" w:color="auto"/>
              <w:right w:val="single" w:sz="2" w:space="0" w:color="auto"/>
            </w:tcBorders>
            <w:vAlign w:val="center"/>
          </w:tcPr>
          <w:p w14:paraId="230063B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0FE3A52"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41049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86,301.36</w:t>
            </w:r>
          </w:p>
        </w:tc>
        <w:tc>
          <w:tcPr>
            <w:tcW w:w="1071" w:type="dxa"/>
            <w:tcBorders>
              <w:top w:val="single" w:sz="2" w:space="0" w:color="auto"/>
              <w:left w:val="single" w:sz="2" w:space="0" w:color="auto"/>
              <w:bottom w:val="single" w:sz="2" w:space="0" w:color="auto"/>
              <w:right w:val="single" w:sz="2" w:space="0" w:color="auto"/>
            </w:tcBorders>
            <w:vAlign w:val="center"/>
          </w:tcPr>
          <w:p w14:paraId="4FE5B0A1"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9B5F617"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14AEB5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719,178.12</w:t>
            </w:r>
          </w:p>
        </w:tc>
        <w:tc>
          <w:tcPr>
            <w:tcW w:w="1137" w:type="dxa"/>
            <w:tcBorders>
              <w:top w:val="single" w:sz="2" w:space="0" w:color="auto"/>
              <w:left w:val="single" w:sz="2" w:space="0" w:color="auto"/>
              <w:bottom w:val="single" w:sz="2" w:space="0" w:color="auto"/>
              <w:right w:val="single" w:sz="2" w:space="0" w:color="auto"/>
            </w:tcBorders>
            <w:vAlign w:val="center"/>
          </w:tcPr>
          <w:p w14:paraId="0D847DA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7926C40A"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54447E3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National special fund for the development of small and medium-sized enterprises</w:t>
            </w:r>
          </w:p>
        </w:tc>
        <w:tc>
          <w:tcPr>
            <w:tcW w:w="1071" w:type="dxa"/>
            <w:tcBorders>
              <w:top w:val="single" w:sz="2" w:space="0" w:color="auto"/>
              <w:left w:val="single" w:sz="2" w:space="0" w:color="auto"/>
              <w:bottom w:val="single" w:sz="2" w:space="0" w:color="auto"/>
              <w:right w:val="single" w:sz="2" w:space="0" w:color="auto"/>
            </w:tcBorders>
            <w:vAlign w:val="center"/>
          </w:tcPr>
          <w:p w14:paraId="62AA9D1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1,048,000.03</w:t>
            </w:r>
          </w:p>
        </w:tc>
        <w:tc>
          <w:tcPr>
            <w:tcW w:w="1071" w:type="dxa"/>
            <w:tcBorders>
              <w:top w:val="single" w:sz="2" w:space="0" w:color="auto"/>
              <w:left w:val="single" w:sz="2" w:space="0" w:color="auto"/>
              <w:bottom w:val="single" w:sz="2" w:space="0" w:color="auto"/>
              <w:right w:val="single" w:sz="2" w:space="0" w:color="auto"/>
            </w:tcBorders>
            <w:vAlign w:val="center"/>
          </w:tcPr>
          <w:p w14:paraId="465902B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C95F39"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B56F18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130,999.98</w:t>
            </w:r>
          </w:p>
        </w:tc>
        <w:tc>
          <w:tcPr>
            <w:tcW w:w="1071" w:type="dxa"/>
            <w:tcBorders>
              <w:top w:val="single" w:sz="2" w:space="0" w:color="auto"/>
              <w:left w:val="single" w:sz="2" w:space="0" w:color="auto"/>
              <w:bottom w:val="single" w:sz="2" w:space="0" w:color="auto"/>
              <w:right w:val="single" w:sz="2" w:space="0" w:color="auto"/>
            </w:tcBorders>
            <w:vAlign w:val="center"/>
          </w:tcPr>
          <w:p w14:paraId="617C0654"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E0BB940"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52CECC4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917,000.05</w:t>
            </w:r>
          </w:p>
        </w:tc>
        <w:tc>
          <w:tcPr>
            <w:tcW w:w="1137" w:type="dxa"/>
            <w:tcBorders>
              <w:top w:val="single" w:sz="2" w:space="0" w:color="auto"/>
              <w:left w:val="single" w:sz="2" w:space="0" w:color="auto"/>
              <w:bottom w:val="single" w:sz="2" w:space="0" w:color="auto"/>
              <w:right w:val="single" w:sz="2" w:space="0" w:color="auto"/>
            </w:tcBorders>
            <w:vAlign w:val="center"/>
          </w:tcPr>
          <w:p w14:paraId="6280902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293A413F"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5F3BA35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Provincial special fund for the development of small and medium-sized enterprises</w:t>
            </w:r>
          </w:p>
        </w:tc>
        <w:tc>
          <w:tcPr>
            <w:tcW w:w="1071" w:type="dxa"/>
            <w:tcBorders>
              <w:top w:val="single" w:sz="2" w:space="0" w:color="auto"/>
              <w:left w:val="single" w:sz="2" w:space="0" w:color="auto"/>
              <w:bottom w:val="single" w:sz="2" w:space="0" w:color="auto"/>
              <w:right w:val="single" w:sz="2" w:space="0" w:color="auto"/>
            </w:tcBorders>
            <w:vAlign w:val="center"/>
          </w:tcPr>
          <w:p w14:paraId="0DF686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399,999.94</w:t>
            </w:r>
          </w:p>
        </w:tc>
        <w:tc>
          <w:tcPr>
            <w:tcW w:w="1071" w:type="dxa"/>
            <w:tcBorders>
              <w:top w:val="single" w:sz="2" w:space="0" w:color="auto"/>
              <w:left w:val="single" w:sz="2" w:space="0" w:color="auto"/>
              <w:bottom w:val="single" w:sz="2" w:space="0" w:color="auto"/>
              <w:right w:val="single" w:sz="2" w:space="0" w:color="auto"/>
            </w:tcBorders>
            <w:vAlign w:val="center"/>
          </w:tcPr>
          <w:p w14:paraId="45A39DD2"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0EA6C10"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C40756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50,000.04</w:t>
            </w:r>
          </w:p>
        </w:tc>
        <w:tc>
          <w:tcPr>
            <w:tcW w:w="1071" w:type="dxa"/>
            <w:tcBorders>
              <w:top w:val="single" w:sz="2" w:space="0" w:color="auto"/>
              <w:left w:val="single" w:sz="2" w:space="0" w:color="auto"/>
              <w:bottom w:val="single" w:sz="2" w:space="0" w:color="auto"/>
              <w:right w:val="single" w:sz="2" w:space="0" w:color="auto"/>
            </w:tcBorders>
            <w:vAlign w:val="center"/>
          </w:tcPr>
          <w:p w14:paraId="3FE5F21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3849911"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40F11D0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349,999.90</w:t>
            </w:r>
          </w:p>
        </w:tc>
        <w:tc>
          <w:tcPr>
            <w:tcW w:w="1137" w:type="dxa"/>
            <w:tcBorders>
              <w:top w:val="single" w:sz="2" w:space="0" w:color="auto"/>
              <w:left w:val="single" w:sz="2" w:space="0" w:color="auto"/>
              <w:bottom w:val="single" w:sz="2" w:space="0" w:color="auto"/>
              <w:right w:val="single" w:sz="2" w:space="0" w:color="auto"/>
            </w:tcBorders>
            <w:vAlign w:val="center"/>
          </w:tcPr>
          <w:p w14:paraId="7CF39F7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4E24E665"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3AE5E8A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Provincial special funds for science and technology project</w:t>
            </w:r>
          </w:p>
        </w:tc>
        <w:tc>
          <w:tcPr>
            <w:tcW w:w="1071" w:type="dxa"/>
            <w:tcBorders>
              <w:top w:val="single" w:sz="2" w:space="0" w:color="auto"/>
              <w:left w:val="single" w:sz="2" w:space="0" w:color="auto"/>
              <w:bottom w:val="single" w:sz="2" w:space="0" w:color="auto"/>
              <w:right w:val="single" w:sz="2" w:space="0" w:color="auto"/>
            </w:tcBorders>
            <w:vAlign w:val="center"/>
          </w:tcPr>
          <w:p w14:paraId="211A1A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580,000.00</w:t>
            </w:r>
          </w:p>
        </w:tc>
        <w:tc>
          <w:tcPr>
            <w:tcW w:w="1071" w:type="dxa"/>
            <w:tcBorders>
              <w:top w:val="single" w:sz="2" w:space="0" w:color="auto"/>
              <w:left w:val="single" w:sz="2" w:space="0" w:color="auto"/>
              <w:bottom w:val="single" w:sz="2" w:space="0" w:color="auto"/>
              <w:right w:val="single" w:sz="2" w:space="0" w:color="auto"/>
            </w:tcBorders>
            <w:vAlign w:val="center"/>
          </w:tcPr>
          <w:p w14:paraId="017EC69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795D4A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0C6B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120,000.00</w:t>
            </w:r>
          </w:p>
        </w:tc>
        <w:tc>
          <w:tcPr>
            <w:tcW w:w="1071" w:type="dxa"/>
            <w:tcBorders>
              <w:top w:val="single" w:sz="2" w:space="0" w:color="auto"/>
              <w:left w:val="single" w:sz="2" w:space="0" w:color="auto"/>
              <w:bottom w:val="single" w:sz="2" w:space="0" w:color="auto"/>
              <w:right w:val="single" w:sz="2" w:space="0" w:color="auto"/>
            </w:tcBorders>
            <w:vAlign w:val="center"/>
          </w:tcPr>
          <w:p w14:paraId="599742B1"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AE65738"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11ACCDC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460,000.00</w:t>
            </w:r>
          </w:p>
        </w:tc>
        <w:tc>
          <w:tcPr>
            <w:tcW w:w="1137" w:type="dxa"/>
            <w:tcBorders>
              <w:top w:val="single" w:sz="2" w:space="0" w:color="auto"/>
              <w:left w:val="single" w:sz="2" w:space="0" w:color="auto"/>
              <w:bottom w:val="single" w:sz="2" w:space="0" w:color="auto"/>
              <w:right w:val="single" w:sz="2" w:space="0" w:color="auto"/>
            </w:tcBorders>
            <w:vAlign w:val="center"/>
          </w:tcPr>
          <w:p w14:paraId="2D5FC56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43AB75D3"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78A792B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electricity and power facilities from the government</w:t>
            </w:r>
          </w:p>
        </w:tc>
        <w:tc>
          <w:tcPr>
            <w:tcW w:w="1071" w:type="dxa"/>
            <w:tcBorders>
              <w:top w:val="single" w:sz="2" w:space="0" w:color="auto"/>
              <w:left w:val="single" w:sz="2" w:space="0" w:color="auto"/>
              <w:bottom w:val="single" w:sz="2" w:space="0" w:color="auto"/>
              <w:right w:val="single" w:sz="2" w:space="0" w:color="auto"/>
            </w:tcBorders>
            <w:vAlign w:val="center"/>
          </w:tcPr>
          <w:p w14:paraId="4FB3A6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13,650,064.00</w:t>
            </w:r>
          </w:p>
        </w:tc>
        <w:tc>
          <w:tcPr>
            <w:tcW w:w="1071" w:type="dxa"/>
            <w:tcBorders>
              <w:top w:val="single" w:sz="2" w:space="0" w:color="auto"/>
              <w:left w:val="single" w:sz="2" w:space="0" w:color="auto"/>
              <w:bottom w:val="single" w:sz="2" w:space="0" w:color="auto"/>
              <w:right w:val="single" w:sz="2" w:space="0" w:color="auto"/>
            </w:tcBorders>
            <w:vAlign w:val="center"/>
          </w:tcPr>
          <w:p w14:paraId="3A19CFD0"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B46363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9B3CD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1,002,583.44</w:t>
            </w:r>
          </w:p>
        </w:tc>
        <w:tc>
          <w:tcPr>
            <w:tcW w:w="1071" w:type="dxa"/>
            <w:tcBorders>
              <w:top w:val="single" w:sz="2" w:space="0" w:color="auto"/>
              <w:left w:val="single" w:sz="2" w:space="0" w:color="auto"/>
              <w:bottom w:val="single" w:sz="2" w:space="0" w:color="auto"/>
              <w:right w:val="single" w:sz="2" w:space="0" w:color="auto"/>
            </w:tcBorders>
            <w:vAlign w:val="center"/>
          </w:tcPr>
          <w:p w14:paraId="2179E1E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BDCB7BB"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3D8166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12,647,480.56</w:t>
            </w:r>
          </w:p>
        </w:tc>
        <w:tc>
          <w:tcPr>
            <w:tcW w:w="1137" w:type="dxa"/>
            <w:tcBorders>
              <w:top w:val="single" w:sz="2" w:space="0" w:color="auto"/>
              <w:left w:val="single" w:sz="2" w:space="0" w:color="auto"/>
              <w:bottom w:val="single" w:sz="2" w:space="0" w:color="auto"/>
              <w:right w:val="single" w:sz="2" w:space="0" w:color="auto"/>
            </w:tcBorders>
            <w:vAlign w:val="center"/>
          </w:tcPr>
          <w:p w14:paraId="28363C1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413A411C"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23D4001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Industrial awards and subsidies</w:t>
            </w:r>
          </w:p>
        </w:tc>
        <w:tc>
          <w:tcPr>
            <w:tcW w:w="1071" w:type="dxa"/>
            <w:tcBorders>
              <w:top w:val="single" w:sz="2" w:space="0" w:color="auto"/>
              <w:left w:val="single" w:sz="2" w:space="0" w:color="auto"/>
              <w:bottom w:val="single" w:sz="2" w:space="0" w:color="auto"/>
              <w:right w:val="single" w:sz="2" w:space="0" w:color="auto"/>
            </w:tcBorders>
            <w:vAlign w:val="center"/>
          </w:tcPr>
          <w:p w14:paraId="17141D1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126,700.00</w:t>
            </w:r>
          </w:p>
        </w:tc>
        <w:tc>
          <w:tcPr>
            <w:tcW w:w="1071" w:type="dxa"/>
            <w:tcBorders>
              <w:top w:val="single" w:sz="2" w:space="0" w:color="auto"/>
              <w:left w:val="single" w:sz="2" w:space="0" w:color="auto"/>
              <w:bottom w:val="single" w:sz="2" w:space="0" w:color="auto"/>
              <w:right w:val="single" w:sz="2" w:space="0" w:color="auto"/>
            </w:tcBorders>
            <w:vAlign w:val="center"/>
          </w:tcPr>
          <w:p w14:paraId="79ABDD2E"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1511CE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FCEB90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89D766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BD4D325"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6EB4F7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126,700.00</w:t>
            </w:r>
          </w:p>
        </w:tc>
        <w:tc>
          <w:tcPr>
            <w:tcW w:w="1137" w:type="dxa"/>
            <w:tcBorders>
              <w:top w:val="single" w:sz="2" w:space="0" w:color="auto"/>
              <w:left w:val="single" w:sz="2" w:space="0" w:color="auto"/>
              <w:bottom w:val="single" w:sz="2" w:space="0" w:color="auto"/>
              <w:right w:val="single" w:sz="2" w:space="0" w:color="auto"/>
            </w:tcBorders>
            <w:vAlign w:val="center"/>
          </w:tcPr>
          <w:p w14:paraId="2F99FAE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527F28DA"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72E0B1E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equipment</w:t>
            </w:r>
          </w:p>
        </w:tc>
        <w:tc>
          <w:tcPr>
            <w:tcW w:w="1071" w:type="dxa"/>
            <w:tcBorders>
              <w:top w:val="single" w:sz="2" w:space="0" w:color="auto"/>
              <w:left w:val="single" w:sz="2" w:space="0" w:color="auto"/>
              <w:bottom w:val="single" w:sz="2" w:space="0" w:color="auto"/>
              <w:right w:val="single" w:sz="2" w:space="0" w:color="auto"/>
            </w:tcBorders>
            <w:vAlign w:val="center"/>
          </w:tcPr>
          <w:p w14:paraId="3116BA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19,688,830.43</w:t>
            </w:r>
          </w:p>
        </w:tc>
        <w:tc>
          <w:tcPr>
            <w:tcW w:w="1071" w:type="dxa"/>
            <w:tcBorders>
              <w:top w:val="single" w:sz="2" w:space="0" w:color="auto"/>
              <w:left w:val="single" w:sz="2" w:space="0" w:color="auto"/>
              <w:bottom w:val="single" w:sz="2" w:space="0" w:color="auto"/>
              <w:right w:val="single" w:sz="2" w:space="0" w:color="auto"/>
            </w:tcBorders>
            <w:vAlign w:val="center"/>
          </w:tcPr>
          <w:p w14:paraId="4FF8B04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29008A9"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AA905F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1,224,775.21</w:t>
            </w:r>
          </w:p>
        </w:tc>
        <w:tc>
          <w:tcPr>
            <w:tcW w:w="1071" w:type="dxa"/>
            <w:tcBorders>
              <w:top w:val="single" w:sz="2" w:space="0" w:color="auto"/>
              <w:left w:val="single" w:sz="2" w:space="0" w:color="auto"/>
              <w:bottom w:val="single" w:sz="2" w:space="0" w:color="auto"/>
              <w:right w:val="single" w:sz="2" w:space="0" w:color="auto"/>
            </w:tcBorders>
            <w:vAlign w:val="center"/>
          </w:tcPr>
          <w:p w14:paraId="01560AD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CEB2349"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43B59C6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18,464,055.22</w:t>
            </w:r>
          </w:p>
        </w:tc>
        <w:tc>
          <w:tcPr>
            <w:tcW w:w="1137" w:type="dxa"/>
            <w:tcBorders>
              <w:top w:val="single" w:sz="2" w:space="0" w:color="auto"/>
              <w:left w:val="single" w:sz="2" w:space="0" w:color="auto"/>
              <w:bottom w:val="single" w:sz="2" w:space="0" w:color="auto"/>
              <w:right w:val="single" w:sz="2" w:space="0" w:color="auto"/>
            </w:tcBorders>
            <w:vAlign w:val="center"/>
          </w:tcPr>
          <w:p w14:paraId="293E34D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37581111"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734F04D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Government grants for nitrogen station project construction</w:t>
            </w:r>
          </w:p>
        </w:tc>
        <w:tc>
          <w:tcPr>
            <w:tcW w:w="1071" w:type="dxa"/>
            <w:tcBorders>
              <w:top w:val="single" w:sz="2" w:space="0" w:color="auto"/>
              <w:left w:val="single" w:sz="2" w:space="0" w:color="auto"/>
              <w:bottom w:val="single" w:sz="2" w:space="0" w:color="auto"/>
              <w:right w:val="single" w:sz="2" w:space="0" w:color="auto"/>
            </w:tcBorders>
            <w:vAlign w:val="center"/>
          </w:tcPr>
          <w:p w14:paraId="397A920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8,000,000.00</w:t>
            </w:r>
          </w:p>
        </w:tc>
        <w:tc>
          <w:tcPr>
            <w:tcW w:w="1071" w:type="dxa"/>
            <w:tcBorders>
              <w:top w:val="single" w:sz="2" w:space="0" w:color="auto"/>
              <w:left w:val="single" w:sz="2" w:space="0" w:color="auto"/>
              <w:bottom w:val="single" w:sz="2" w:space="0" w:color="auto"/>
              <w:right w:val="single" w:sz="2" w:space="0" w:color="auto"/>
            </w:tcBorders>
            <w:vAlign w:val="center"/>
          </w:tcPr>
          <w:p w14:paraId="2E4157EF"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BD73E8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B8748B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FFD75B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99AA4A9"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7CABA8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8,000,000.00</w:t>
            </w:r>
          </w:p>
        </w:tc>
        <w:tc>
          <w:tcPr>
            <w:tcW w:w="1137" w:type="dxa"/>
            <w:tcBorders>
              <w:top w:val="single" w:sz="2" w:space="0" w:color="auto"/>
              <w:left w:val="single" w:sz="2" w:space="0" w:color="auto"/>
              <w:bottom w:val="single" w:sz="2" w:space="0" w:color="auto"/>
              <w:right w:val="single" w:sz="2" w:space="0" w:color="auto"/>
            </w:tcBorders>
            <w:vAlign w:val="center"/>
          </w:tcPr>
          <w:p w14:paraId="606C572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4EF507C"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8937ED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R&amp;D of key technologies for high-voltage fast soft recovery rectifier diode square chips</w:t>
            </w:r>
          </w:p>
        </w:tc>
        <w:tc>
          <w:tcPr>
            <w:tcW w:w="1071" w:type="dxa"/>
            <w:tcBorders>
              <w:top w:val="single" w:sz="2" w:space="0" w:color="auto"/>
              <w:left w:val="single" w:sz="2" w:space="0" w:color="auto"/>
              <w:bottom w:val="single" w:sz="2" w:space="0" w:color="auto"/>
              <w:right w:val="single" w:sz="2" w:space="0" w:color="auto"/>
            </w:tcBorders>
            <w:vAlign w:val="center"/>
          </w:tcPr>
          <w:p w14:paraId="5D7694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172,962.92</w:t>
            </w:r>
          </w:p>
        </w:tc>
        <w:tc>
          <w:tcPr>
            <w:tcW w:w="1071" w:type="dxa"/>
            <w:tcBorders>
              <w:top w:val="single" w:sz="2" w:space="0" w:color="auto"/>
              <w:left w:val="single" w:sz="2" w:space="0" w:color="auto"/>
              <w:bottom w:val="single" w:sz="2" w:space="0" w:color="auto"/>
              <w:right w:val="single" w:sz="2" w:space="0" w:color="auto"/>
            </w:tcBorders>
            <w:vAlign w:val="center"/>
          </w:tcPr>
          <w:p w14:paraId="293BAA6E"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105F422"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C73A2B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30,000.00</w:t>
            </w:r>
          </w:p>
        </w:tc>
        <w:tc>
          <w:tcPr>
            <w:tcW w:w="1071" w:type="dxa"/>
            <w:tcBorders>
              <w:top w:val="single" w:sz="2" w:space="0" w:color="auto"/>
              <w:left w:val="single" w:sz="2" w:space="0" w:color="auto"/>
              <w:bottom w:val="single" w:sz="2" w:space="0" w:color="auto"/>
              <w:right w:val="single" w:sz="2" w:space="0" w:color="auto"/>
            </w:tcBorders>
            <w:vAlign w:val="center"/>
          </w:tcPr>
          <w:p w14:paraId="4B35B206"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5FB79D4"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7B7D983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142,962.92</w:t>
            </w:r>
          </w:p>
        </w:tc>
        <w:tc>
          <w:tcPr>
            <w:tcW w:w="1137" w:type="dxa"/>
            <w:tcBorders>
              <w:top w:val="single" w:sz="2" w:space="0" w:color="auto"/>
              <w:left w:val="single" w:sz="2" w:space="0" w:color="auto"/>
              <w:bottom w:val="single" w:sz="2" w:space="0" w:color="auto"/>
              <w:right w:val="single" w:sz="2" w:space="0" w:color="auto"/>
            </w:tcBorders>
            <w:vAlign w:val="center"/>
          </w:tcPr>
          <w:p w14:paraId="1C44C2B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3FDEE1EC"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3BEF62A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R&amp;D of 4.5kV/2kA (high voltage and high current) dual-GCT devices</w:t>
            </w:r>
          </w:p>
          <w:p w14:paraId="69A7ECE4" w14:textId="77777777" w:rsidR="00F73301" w:rsidRPr="00F73301" w:rsidRDefault="00F73301" w:rsidP="008C49B7">
            <w:pPr>
              <w:snapToGrid w:val="0"/>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A37D35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29,999.96</w:t>
            </w:r>
          </w:p>
        </w:tc>
        <w:tc>
          <w:tcPr>
            <w:tcW w:w="1071" w:type="dxa"/>
            <w:tcBorders>
              <w:top w:val="single" w:sz="2" w:space="0" w:color="auto"/>
              <w:left w:val="single" w:sz="2" w:space="0" w:color="auto"/>
              <w:bottom w:val="single" w:sz="2" w:space="0" w:color="auto"/>
              <w:right w:val="single" w:sz="2" w:space="0" w:color="auto"/>
            </w:tcBorders>
            <w:vAlign w:val="center"/>
          </w:tcPr>
          <w:p w14:paraId="7AB2F196"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DEB10E9"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F49993"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BB4A1E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BB4CEF3"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72740F8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29,999.96</w:t>
            </w:r>
          </w:p>
        </w:tc>
        <w:tc>
          <w:tcPr>
            <w:tcW w:w="1137" w:type="dxa"/>
            <w:tcBorders>
              <w:top w:val="single" w:sz="2" w:space="0" w:color="auto"/>
              <w:left w:val="single" w:sz="2" w:space="0" w:color="auto"/>
              <w:bottom w:val="single" w:sz="2" w:space="0" w:color="auto"/>
              <w:right w:val="single" w:sz="2" w:space="0" w:color="auto"/>
            </w:tcBorders>
            <w:vAlign w:val="center"/>
          </w:tcPr>
          <w:p w14:paraId="698574C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04493B2C"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648DE17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R&amp;D and industrialization of high-power and high-voltage crimping thyristor series</w:t>
            </w:r>
          </w:p>
        </w:tc>
        <w:tc>
          <w:tcPr>
            <w:tcW w:w="1071" w:type="dxa"/>
            <w:tcBorders>
              <w:top w:val="single" w:sz="2" w:space="0" w:color="auto"/>
              <w:left w:val="single" w:sz="2" w:space="0" w:color="auto"/>
              <w:bottom w:val="single" w:sz="2" w:space="0" w:color="auto"/>
              <w:right w:val="single" w:sz="2" w:space="0" w:color="auto"/>
            </w:tcBorders>
            <w:vAlign w:val="center"/>
          </w:tcPr>
          <w:p w14:paraId="320F7E0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131,666.67</w:t>
            </w:r>
          </w:p>
        </w:tc>
        <w:tc>
          <w:tcPr>
            <w:tcW w:w="1071" w:type="dxa"/>
            <w:tcBorders>
              <w:top w:val="single" w:sz="2" w:space="0" w:color="auto"/>
              <w:left w:val="single" w:sz="2" w:space="0" w:color="auto"/>
              <w:bottom w:val="single" w:sz="2" w:space="0" w:color="auto"/>
              <w:right w:val="single" w:sz="2" w:space="0" w:color="auto"/>
            </w:tcBorders>
            <w:vAlign w:val="center"/>
          </w:tcPr>
          <w:p w14:paraId="1763A12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2AF6C4"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4998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10,000.02</w:t>
            </w:r>
          </w:p>
        </w:tc>
        <w:tc>
          <w:tcPr>
            <w:tcW w:w="1071" w:type="dxa"/>
            <w:tcBorders>
              <w:top w:val="single" w:sz="2" w:space="0" w:color="auto"/>
              <w:left w:val="single" w:sz="2" w:space="0" w:color="auto"/>
              <w:bottom w:val="single" w:sz="2" w:space="0" w:color="auto"/>
              <w:right w:val="single" w:sz="2" w:space="0" w:color="auto"/>
            </w:tcBorders>
            <w:vAlign w:val="center"/>
          </w:tcPr>
          <w:p w14:paraId="2570AFF4"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F1AF336"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77F15B1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121,666.65</w:t>
            </w:r>
          </w:p>
        </w:tc>
        <w:tc>
          <w:tcPr>
            <w:tcW w:w="1137" w:type="dxa"/>
            <w:tcBorders>
              <w:top w:val="single" w:sz="2" w:space="0" w:color="auto"/>
              <w:left w:val="single" w:sz="2" w:space="0" w:color="auto"/>
              <w:bottom w:val="single" w:sz="2" w:space="0" w:color="auto"/>
              <w:right w:val="single" w:sz="2" w:space="0" w:color="auto"/>
            </w:tcBorders>
            <w:vAlign w:val="center"/>
          </w:tcPr>
          <w:p w14:paraId="013FB68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40B83F0C"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086FC55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industrial development</w:t>
            </w:r>
          </w:p>
        </w:tc>
        <w:tc>
          <w:tcPr>
            <w:tcW w:w="1071" w:type="dxa"/>
            <w:tcBorders>
              <w:top w:val="single" w:sz="2" w:space="0" w:color="auto"/>
              <w:left w:val="single" w:sz="2" w:space="0" w:color="auto"/>
              <w:bottom w:val="single" w:sz="2" w:space="0" w:color="auto"/>
              <w:right w:val="single" w:sz="2" w:space="0" w:color="auto"/>
            </w:tcBorders>
            <w:vAlign w:val="center"/>
          </w:tcPr>
          <w:p w14:paraId="42F1EB4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1,570,730.14</w:t>
            </w:r>
          </w:p>
        </w:tc>
        <w:tc>
          <w:tcPr>
            <w:tcW w:w="1071" w:type="dxa"/>
            <w:tcBorders>
              <w:top w:val="single" w:sz="2" w:space="0" w:color="auto"/>
              <w:left w:val="single" w:sz="2" w:space="0" w:color="auto"/>
              <w:bottom w:val="single" w:sz="2" w:space="0" w:color="auto"/>
              <w:right w:val="single" w:sz="2" w:space="0" w:color="auto"/>
            </w:tcBorders>
            <w:vAlign w:val="center"/>
          </w:tcPr>
          <w:p w14:paraId="55DC19D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2,200,000.00</w:t>
            </w:r>
          </w:p>
        </w:tc>
        <w:tc>
          <w:tcPr>
            <w:tcW w:w="1071" w:type="dxa"/>
            <w:tcBorders>
              <w:top w:val="single" w:sz="2" w:space="0" w:color="auto"/>
              <w:left w:val="single" w:sz="2" w:space="0" w:color="auto"/>
              <w:bottom w:val="single" w:sz="2" w:space="0" w:color="auto"/>
              <w:right w:val="single" w:sz="2" w:space="0" w:color="auto"/>
            </w:tcBorders>
            <w:vAlign w:val="center"/>
          </w:tcPr>
          <w:p w14:paraId="77D7C2EA"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B5D703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410,452.98</w:t>
            </w:r>
          </w:p>
        </w:tc>
        <w:tc>
          <w:tcPr>
            <w:tcW w:w="1071" w:type="dxa"/>
            <w:tcBorders>
              <w:top w:val="single" w:sz="2" w:space="0" w:color="auto"/>
              <w:left w:val="single" w:sz="2" w:space="0" w:color="auto"/>
              <w:bottom w:val="single" w:sz="2" w:space="0" w:color="auto"/>
              <w:right w:val="single" w:sz="2" w:space="0" w:color="auto"/>
            </w:tcBorders>
            <w:vAlign w:val="center"/>
          </w:tcPr>
          <w:p w14:paraId="3AA796E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55AF81"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543AC48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3,360,277.16</w:t>
            </w:r>
          </w:p>
        </w:tc>
        <w:tc>
          <w:tcPr>
            <w:tcW w:w="1137" w:type="dxa"/>
            <w:tcBorders>
              <w:top w:val="single" w:sz="2" w:space="0" w:color="auto"/>
              <w:left w:val="single" w:sz="2" w:space="0" w:color="auto"/>
              <w:bottom w:val="single" w:sz="2" w:space="0" w:color="auto"/>
              <w:right w:val="single" w:sz="2" w:space="0" w:color="auto"/>
            </w:tcBorders>
            <w:vAlign w:val="center"/>
          </w:tcPr>
          <w:p w14:paraId="6D93232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9AEF85E"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77578BE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Factory rents refund</w:t>
            </w:r>
          </w:p>
        </w:tc>
        <w:tc>
          <w:tcPr>
            <w:tcW w:w="1071" w:type="dxa"/>
            <w:tcBorders>
              <w:top w:val="single" w:sz="2" w:space="0" w:color="auto"/>
              <w:left w:val="single" w:sz="2" w:space="0" w:color="auto"/>
              <w:bottom w:val="single" w:sz="2" w:space="0" w:color="auto"/>
              <w:right w:val="single" w:sz="2" w:space="0" w:color="auto"/>
            </w:tcBorders>
            <w:vAlign w:val="center"/>
          </w:tcPr>
          <w:p w14:paraId="749EB68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117,468.00</w:t>
            </w:r>
          </w:p>
        </w:tc>
        <w:tc>
          <w:tcPr>
            <w:tcW w:w="1071" w:type="dxa"/>
            <w:tcBorders>
              <w:top w:val="single" w:sz="2" w:space="0" w:color="auto"/>
              <w:left w:val="single" w:sz="2" w:space="0" w:color="auto"/>
              <w:bottom w:val="single" w:sz="2" w:space="0" w:color="auto"/>
              <w:right w:val="single" w:sz="2" w:space="0" w:color="auto"/>
            </w:tcBorders>
            <w:vAlign w:val="center"/>
          </w:tcPr>
          <w:p w14:paraId="07CDD122"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DCC8B5"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A0CD346"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911E04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DD6A278"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6E23ADE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117,468.00</w:t>
            </w:r>
          </w:p>
        </w:tc>
        <w:tc>
          <w:tcPr>
            <w:tcW w:w="1137" w:type="dxa"/>
            <w:tcBorders>
              <w:top w:val="single" w:sz="2" w:space="0" w:color="auto"/>
              <w:left w:val="single" w:sz="2" w:space="0" w:color="auto"/>
              <w:bottom w:val="single" w:sz="2" w:space="0" w:color="auto"/>
              <w:right w:val="single" w:sz="2" w:space="0" w:color="auto"/>
            </w:tcBorders>
            <w:vAlign w:val="center"/>
          </w:tcPr>
          <w:p w14:paraId="69D4899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14F911BD"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687ADC7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Industrial supporting funds</w:t>
            </w:r>
          </w:p>
        </w:tc>
        <w:tc>
          <w:tcPr>
            <w:tcW w:w="1071" w:type="dxa"/>
            <w:tcBorders>
              <w:top w:val="single" w:sz="2" w:space="0" w:color="auto"/>
              <w:left w:val="single" w:sz="2" w:space="0" w:color="auto"/>
              <w:bottom w:val="single" w:sz="2" w:space="0" w:color="auto"/>
              <w:right w:val="single" w:sz="2" w:space="0" w:color="auto"/>
            </w:tcBorders>
            <w:vAlign w:val="center"/>
          </w:tcPr>
          <w:p w14:paraId="4C6831B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448490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900,000.00</w:t>
            </w:r>
          </w:p>
        </w:tc>
        <w:tc>
          <w:tcPr>
            <w:tcW w:w="1071" w:type="dxa"/>
            <w:tcBorders>
              <w:top w:val="single" w:sz="2" w:space="0" w:color="auto"/>
              <w:left w:val="single" w:sz="2" w:space="0" w:color="auto"/>
              <w:bottom w:val="single" w:sz="2" w:space="0" w:color="auto"/>
              <w:right w:val="single" w:sz="2" w:space="0" w:color="auto"/>
            </w:tcBorders>
            <w:vAlign w:val="center"/>
          </w:tcPr>
          <w:p w14:paraId="742705B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813D5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15,000.00</w:t>
            </w:r>
          </w:p>
        </w:tc>
        <w:tc>
          <w:tcPr>
            <w:tcW w:w="1071" w:type="dxa"/>
            <w:tcBorders>
              <w:top w:val="single" w:sz="2" w:space="0" w:color="auto"/>
              <w:left w:val="single" w:sz="2" w:space="0" w:color="auto"/>
              <w:bottom w:val="single" w:sz="2" w:space="0" w:color="auto"/>
              <w:right w:val="single" w:sz="2" w:space="0" w:color="auto"/>
            </w:tcBorders>
            <w:vAlign w:val="center"/>
          </w:tcPr>
          <w:p w14:paraId="4C004DB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2B305F4"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68F8479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885,000.00</w:t>
            </w:r>
          </w:p>
        </w:tc>
        <w:tc>
          <w:tcPr>
            <w:tcW w:w="1137" w:type="dxa"/>
            <w:tcBorders>
              <w:top w:val="single" w:sz="2" w:space="0" w:color="auto"/>
              <w:left w:val="single" w:sz="2" w:space="0" w:color="auto"/>
              <w:bottom w:val="single" w:sz="2" w:space="0" w:color="auto"/>
              <w:right w:val="single" w:sz="2" w:space="0" w:color="auto"/>
            </w:tcBorders>
            <w:vAlign w:val="center"/>
          </w:tcPr>
          <w:p w14:paraId="17E05A6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r w:rsidR="00F73301" w:rsidRPr="00F73301" w14:paraId="02B39606"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322A3DD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w:t>
            </w:r>
          </w:p>
        </w:tc>
        <w:tc>
          <w:tcPr>
            <w:tcW w:w="1071" w:type="dxa"/>
            <w:tcBorders>
              <w:top w:val="single" w:sz="2" w:space="0" w:color="auto"/>
              <w:left w:val="single" w:sz="2" w:space="0" w:color="auto"/>
              <w:bottom w:val="single" w:sz="2" w:space="0" w:color="auto"/>
              <w:right w:val="single" w:sz="2" w:space="0" w:color="auto"/>
            </w:tcBorders>
            <w:vAlign w:val="center"/>
          </w:tcPr>
          <w:p w14:paraId="1993A4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159,516,602.26</w:t>
            </w:r>
          </w:p>
        </w:tc>
        <w:tc>
          <w:tcPr>
            <w:tcW w:w="1071" w:type="dxa"/>
            <w:tcBorders>
              <w:top w:val="single" w:sz="2" w:space="0" w:color="auto"/>
              <w:left w:val="single" w:sz="2" w:space="0" w:color="auto"/>
              <w:bottom w:val="single" w:sz="2" w:space="0" w:color="auto"/>
              <w:right w:val="single" w:sz="2" w:space="0" w:color="auto"/>
            </w:tcBorders>
            <w:vAlign w:val="center"/>
          </w:tcPr>
          <w:p w14:paraId="5029B0B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30,038,700.00</w:t>
            </w:r>
          </w:p>
        </w:tc>
        <w:tc>
          <w:tcPr>
            <w:tcW w:w="1071" w:type="dxa"/>
            <w:tcBorders>
              <w:top w:val="single" w:sz="2" w:space="0" w:color="auto"/>
              <w:left w:val="single" w:sz="2" w:space="0" w:color="auto"/>
              <w:bottom w:val="single" w:sz="2" w:space="0" w:color="auto"/>
              <w:right w:val="single" w:sz="2" w:space="0" w:color="auto"/>
            </w:tcBorders>
            <w:vAlign w:val="center"/>
          </w:tcPr>
          <w:p w14:paraId="6A6D604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113710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15,189,259.77</w:t>
            </w:r>
          </w:p>
        </w:tc>
        <w:tc>
          <w:tcPr>
            <w:tcW w:w="1071" w:type="dxa"/>
            <w:tcBorders>
              <w:top w:val="single" w:sz="2" w:space="0" w:color="auto"/>
              <w:left w:val="single" w:sz="2" w:space="0" w:color="auto"/>
              <w:bottom w:val="single" w:sz="2" w:space="0" w:color="auto"/>
              <w:right w:val="single" w:sz="2" w:space="0" w:color="auto"/>
            </w:tcBorders>
            <w:vAlign w:val="center"/>
          </w:tcPr>
          <w:p w14:paraId="61E46007"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44CCC1" w14:textId="77777777" w:rsidR="00F73301" w:rsidRPr="00F73301" w:rsidRDefault="00F73301" w:rsidP="008C49B7">
            <w:pPr>
              <w:snapToGrid w:val="0"/>
              <w:jc w:val="right"/>
              <w:rPr>
                <w:rFonts w:ascii="Times New Roman" w:eastAsia="宋体" w:hAnsi="Times New Roman" w:cs="Times New Roman"/>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14:paraId="176FCFB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174,366,042.49</w:t>
            </w:r>
          </w:p>
        </w:tc>
        <w:tc>
          <w:tcPr>
            <w:tcW w:w="1137" w:type="dxa"/>
            <w:tcBorders>
              <w:top w:val="single" w:sz="2" w:space="0" w:color="auto"/>
              <w:left w:val="single" w:sz="2" w:space="0" w:color="auto"/>
              <w:bottom w:val="single" w:sz="2" w:space="0" w:color="auto"/>
              <w:right w:val="single" w:sz="2" w:space="0" w:color="auto"/>
            </w:tcBorders>
            <w:vAlign w:val="center"/>
          </w:tcPr>
          <w:p w14:paraId="37819EB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w:t>
            </w:r>
          </w:p>
        </w:tc>
      </w:tr>
    </w:tbl>
    <w:p w14:paraId="3E8F2418"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468843E"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8A5E8A3"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47" w:name="_Toc989135"/>
      <w:r w:rsidRPr="00F73301">
        <w:rPr>
          <w:rFonts w:ascii="Times New Roman" w:eastAsia="宋体" w:hAnsi="Times New Roman" w:cs="Times New Roman"/>
          <w:b/>
          <w:bCs/>
          <w:sz w:val="24"/>
          <w:szCs w:val="24"/>
        </w:rPr>
        <w:lastRenderedPageBreak/>
        <w:t>32. Other non-current liabilities</w:t>
      </w:r>
      <w:bookmarkEnd w:id="247"/>
    </w:p>
    <w:p w14:paraId="5FDA6BD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EC653B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67DA8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37CC4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A3B79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4F0B1E6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985E56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Capacity deposits received</w:t>
            </w:r>
          </w:p>
        </w:tc>
        <w:tc>
          <w:tcPr>
            <w:tcW w:w="3213" w:type="dxa"/>
            <w:tcBorders>
              <w:top w:val="single" w:sz="2" w:space="0" w:color="auto"/>
              <w:left w:val="single" w:sz="2" w:space="0" w:color="auto"/>
              <w:bottom w:val="single" w:sz="2" w:space="0" w:color="auto"/>
              <w:right w:val="single" w:sz="2" w:space="0" w:color="auto"/>
            </w:tcBorders>
            <w:vAlign w:val="center"/>
          </w:tcPr>
          <w:p w14:paraId="20BE5F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354,050,938.00</w:t>
            </w:r>
          </w:p>
        </w:tc>
        <w:tc>
          <w:tcPr>
            <w:tcW w:w="3213" w:type="dxa"/>
            <w:tcBorders>
              <w:top w:val="single" w:sz="2" w:space="0" w:color="auto"/>
              <w:left w:val="single" w:sz="2" w:space="0" w:color="auto"/>
              <w:bottom w:val="single" w:sz="2" w:space="0" w:color="auto"/>
              <w:right w:val="single" w:sz="2" w:space="0" w:color="auto"/>
            </w:tcBorders>
            <w:vAlign w:val="center"/>
          </w:tcPr>
          <w:p w14:paraId="4251969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319,316,563.00</w:t>
            </w:r>
          </w:p>
        </w:tc>
      </w:tr>
      <w:tr w:rsidR="00F73301" w:rsidRPr="00F73301" w14:paraId="37A020A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9754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323549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354,050,938.00</w:t>
            </w:r>
          </w:p>
        </w:tc>
        <w:tc>
          <w:tcPr>
            <w:tcW w:w="3213" w:type="dxa"/>
            <w:tcBorders>
              <w:top w:val="single" w:sz="2" w:space="0" w:color="auto"/>
              <w:left w:val="single" w:sz="2" w:space="0" w:color="auto"/>
              <w:bottom w:val="single" w:sz="2" w:space="0" w:color="auto"/>
              <w:right w:val="single" w:sz="2" w:space="0" w:color="auto"/>
            </w:tcBorders>
            <w:vAlign w:val="center"/>
          </w:tcPr>
          <w:p w14:paraId="4156BD1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319,316,563.00</w:t>
            </w:r>
          </w:p>
        </w:tc>
      </w:tr>
    </w:tbl>
    <w:p w14:paraId="15105FBD"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30357F52"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F624655"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48" w:name="_Toc989136"/>
      <w:r w:rsidRPr="00F73301">
        <w:rPr>
          <w:rFonts w:ascii="Times New Roman" w:eastAsia="宋体" w:hAnsi="Times New Roman" w:cs="Times New Roman"/>
          <w:b/>
          <w:bCs/>
          <w:sz w:val="24"/>
          <w:szCs w:val="24"/>
        </w:rPr>
        <w:t>33. Share capital</w:t>
      </w:r>
      <w:bookmarkEnd w:id="248"/>
    </w:p>
    <w:p w14:paraId="4830E0A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204"/>
        <w:gridCol w:w="1205"/>
        <w:gridCol w:w="1205"/>
        <w:gridCol w:w="1205"/>
        <w:gridCol w:w="1205"/>
        <w:gridCol w:w="1205"/>
        <w:gridCol w:w="1205"/>
        <w:gridCol w:w="1205"/>
      </w:tblGrid>
      <w:tr w:rsidR="00F73301" w:rsidRPr="00F73301" w14:paraId="1720BD5A" w14:textId="77777777" w:rsidTr="0001208F">
        <w:trPr>
          <w:jc w:val="center"/>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2836B9" w14:textId="77777777" w:rsidR="00F73301" w:rsidRPr="00F73301" w:rsidRDefault="00F73301" w:rsidP="008C49B7">
            <w:pPr>
              <w:snapToGrid w:val="0"/>
              <w:rPr>
                <w:rFonts w:ascii="Times New Roman" w:eastAsia="等线" w:hAnsi="Times New Roman" w:cs="Times New Roman"/>
                <w:sz w:val="18"/>
                <w:szCs w:val="18"/>
              </w:rPr>
            </w:pP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C823F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5C1761A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Increase/Decrease (+/-)</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0A886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3934EEEC" w14:textId="77777777" w:rsidTr="0001208F">
        <w:trPr>
          <w:jc w:val="center"/>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0CF3EB" w14:textId="77777777" w:rsidR="00F73301" w:rsidRPr="00F73301" w:rsidRDefault="00F73301" w:rsidP="008C49B7">
            <w:pPr>
              <w:snapToGrid w:val="0"/>
              <w:rPr>
                <w:rFonts w:ascii="Times New Roman" w:eastAsia="等线" w:hAnsi="Times New Roman" w:cs="Times New Roman"/>
                <w:sz w:val="18"/>
                <w:szCs w:val="18"/>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F6707D" w14:textId="77777777" w:rsidR="00F73301" w:rsidRPr="00F73301" w:rsidRDefault="00F73301" w:rsidP="008C49B7">
            <w:pPr>
              <w:snapToGrid w:val="0"/>
              <w:rPr>
                <w:rFonts w:ascii="Times New Roman" w:eastAsia="等线"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646376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Issue of new shares</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EC7B1D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Bonus shares</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DFEA65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Provident fund transferred to shares</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D40A05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353F4A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Subtotal</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DEB790"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64BEE545"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EBEA4E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shares</w:t>
            </w:r>
          </w:p>
        </w:tc>
        <w:tc>
          <w:tcPr>
            <w:tcW w:w="1205" w:type="dxa"/>
            <w:tcBorders>
              <w:top w:val="single" w:sz="2" w:space="0" w:color="auto"/>
              <w:left w:val="single" w:sz="2" w:space="0" w:color="auto"/>
              <w:bottom w:val="single" w:sz="2" w:space="0" w:color="auto"/>
              <w:right w:val="single" w:sz="2" w:space="0" w:color="auto"/>
            </w:tcBorders>
            <w:vAlign w:val="center"/>
          </w:tcPr>
          <w:p w14:paraId="32C8411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512,772,787.00</w:t>
            </w:r>
          </w:p>
        </w:tc>
        <w:tc>
          <w:tcPr>
            <w:tcW w:w="1205" w:type="dxa"/>
            <w:tcBorders>
              <w:top w:val="single" w:sz="2" w:space="0" w:color="auto"/>
              <w:left w:val="single" w:sz="2" w:space="0" w:color="auto"/>
              <w:bottom w:val="single" w:sz="2" w:space="0" w:color="auto"/>
              <w:right w:val="single" w:sz="2" w:space="0" w:color="auto"/>
            </w:tcBorders>
            <w:vAlign w:val="center"/>
          </w:tcPr>
          <w:p w14:paraId="477560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28,679,000.00</w:t>
            </w:r>
          </w:p>
        </w:tc>
        <w:tc>
          <w:tcPr>
            <w:tcW w:w="1205" w:type="dxa"/>
            <w:tcBorders>
              <w:top w:val="single" w:sz="2" w:space="0" w:color="auto"/>
              <w:left w:val="single" w:sz="2" w:space="0" w:color="auto"/>
              <w:bottom w:val="single" w:sz="2" w:space="0" w:color="auto"/>
              <w:right w:val="single" w:sz="2" w:space="0" w:color="auto"/>
            </w:tcBorders>
            <w:vAlign w:val="center"/>
          </w:tcPr>
          <w:p w14:paraId="7D161FF2"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4D491E8"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9EE4905"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574398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28,679,000.00</w:t>
            </w:r>
          </w:p>
        </w:tc>
        <w:tc>
          <w:tcPr>
            <w:tcW w:w="1205" w:type="dxa"/>
            <w:tcBorders>
              <w:top w:val="single" w:sz="2" w:space="0" w:color="auto"/>
              <w:left w:val="single" w:sz="2" w:space="0" w:color="auto"/>
              <w:bottom w:val="single" w:sz="2" w:space="0" w:color="auto"/>
              <w:right w:val="single" w:sz="2" w:space="0" w:color="auto"/>
            </w:tcBorders>
            <w:vAlign w:val="center"/>
          </w:tcPr>
          <w:p w14:paraId="16D0D66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541,451,787.00</w:t>
            </w:r>
          </w:p>
        </w:tc>
      </w:tr>
    </w:tbl>
    <w:p w14:paraId="0A6E6176"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033938B1" w14:textId="72A209E5" w:rsidR="00F73301" w:rsidRPr="00F73301" w:rsidRDefault="00D47065"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r w:rsidRPr="00D47065">
        <w:rPr>
          <w:rFonts w:ascii="Times New Roman" w:eastAsia="宋体" w:hAnsi="Times New Roman" w:cs="Times New Roman"/>
          <w:kern w:val="0"/>
          <w:sz w:val="24"/>
          <w:szCs w:val="24"/>
        </w:rPr>
        <w:t xml:space="preserve">By virtue of the </w:t>
      </w:r>
      <w:r w:rsidRPr="006B0D45">
        <w:rPr>
          <w:rFonts w:ascii="Times New Roman" w:eastAsia="宋体" w:hAnsi="Times New Roman" w:cs="Times New Roman"/>
          <w:i/>
          <w:iCs/>
          <w:kern w:val="0"/>
          <w:sz w:val="24"/>
          <w:szCs w:val="24"/>
        </w:rPr>
        <w:t xml:space="preserve">Reply on the Approval of the Initial Public Offering of Global Depositary Receipts and Listing on the SIX Swiss Exchange by Yangzhou </w:t>
      </w:r>
      <w:proofErr w:type="spellStart"/>
      <w:r w:rsidRPr="006B0D45">
        <w:rPr>
          <w:rFonts w:ascii="Times New Roman" w:eastAsia="宋体" w:hAnsi="Times New Roman" w:cs="Times New Roman"/>
          <w:i/>
          <w:iCs/>
          <w:kern w:val="0"/>
          <w:sz w:val="24"/>
          <w:szCs w:val="24"/>
        </w:rPr>
        <w:t>Yangjie</w:t>
      </w:r>
      <w:proofErr w:type="spellEnd"/>
      <w:r w:rsidRPr="006B0D45">
        <w:rPr>
          <w:rFonts w:ascii="Times New Roman" w:eastAsia="宋体" w:hAnsi="Times New Roman" w:cs="Times New Roman"/>
          <w:i/>
          <w:iCs/>
          <w:kern w:val="0"/>
          <w:sz w:val="24"/>
          <w:szCs w:val="24"/>
        </w:rPr>
        <w:t xml:space="preserve"> Electronic Technology Co., Ltd.</w:t>
      </w:r>
      <w:r w:rsidRPr="00D47065">
        <w:rPr>
          <w:rFonts w:ascii="Times New Roman" w:eastAsia="宋体" w:hAnsi="Times New Roman" w:cs="Times New Roman"/>
          <w:kern w:val="0"/>
          <w:sz w:val="24"/>
          <w:szCs w:val="24"/>
        </w:rPr>
        <w:t xml:space="preserve"> (ZH.J.X.K. [2023] No. 606) from the China Securities Regulatory Commission (hereinafter referred to as the "CSRC") and upon approval of SIX Exchange Regulation AG, the Company issued and listed on the SIX Swiss Exchange on April 18, 2023. Full name on GDR: Yangzhou </w:t>
      </w:r>
      <w:proofErr w:type="spellStart"/>
      <w:r w:rsidRPr="00D47065">
        <w:rPr>
          <w:rFonts w:ascii="Times New Roman" w:eastAsia="宋体" w:hAnsi="Times New Roman" w:cs="Times New Roman"/>
          <w:kern w:val="0"/>
          <w:sz w:val="24"/>
          <w:szCs w:val="24"/>
        </w:rPr>
        <w:t>Yangjie</w:t>
      </w:r>
      <w:proofErr w:type="spellEnd"/>
      <w:r w:rsidRPr="00D47065">
        <w:rPr>
          <w:rFonts w:ascii="Times New Roman" w:eastAsia="宋体" w:hAnsi="Times New Roman" w:cs="Times New Roman"/>
          <w:kern w:val="0"/>
          <w:sz w:val="24"/>
          <w:szCs w:val="24"/>
        </w:rPr>
        <w:t xml:space="preserve"> Electronic Technology Co., Ltd., stock code: YJET.</w:t>
      </w:r>
      <w:r w:rsidRPr="00D47065" w:rsidDel="00D47065">
        <w:rPr>
          <w:rFonts w:ascii="Times New Roman" w:eastAsia="宋体" w:hAnsi="Times New Roman" w:cs="Times New Roman"/>
          <w:kern w:val="0"/>
          <w:sz w:val="24"/>
          <w:szCs w:val="24"/>
        </w:rPr>
        <w:t xml:space="preserve"> </w:t>
      </w:r>
      <w:bookmarkStart w:id="249" w:name="_Toc989137"/>
      <w:r w:rsidR="00F73301" w:rsidRPr="00F73301">
        <w:rPr>
          <w:rFonts w:ascii="Times New Roman" w:eastAsia="宋体" w:hAnsi="Times New Roman" w:cs="Times New Roman"/>
          <w:b/>
          <w:bCs/>
          <w:sz w:val="24"/>
          <w:szCs w:val="24"/>
        </w:rPr>
        <w:t>34. Capital reserve</w:t>
      </w:r>
      <w:bookmarkEnd w:id="249"/>
    </w:p>
    <w:p w14:paraId="454083EA"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36D95E6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1188E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BD7E5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EA50F4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47BC5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410E2C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24593B6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C06D13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Capital premium (share premium)</w:t>
            </w:r>
          </w:p>
        </w:tc>
        <w:tc>
          <w:tcPr>
            <w:tcW w:w="1928" w:type="dxa"/>
            <w:tcBorders>
              <w:top w:val="single" w:sz="2" w:space="0" w:color="auto"/>
              <w:left w:val="single" w:sz="2" w:space="0" w:color="auto"/>
              <w:bottom w:val="single" w:sz="2" w:space="0" w:color="auto"/>
              <w:right w:val="single" w:sz="2" w:space="0" w:color="auto"/>
            </w:tcBorders>
            <w:vAlign w:val="center"/>
          </w:tcPr>
          <w:p w14:paraId="3C95B9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2,514,305,774.98</w:t>
            </w:r>
          </w:p>
        </w:tc>
        <w:tc>
          <w:tcPr>
            <w:tcW w:w="1928" w:type="dxa"/>
            <w:tcBorders>
              <w:top w:val="single" w:sz="2" w:space="0" w:color="auto"/>
              <w:left w:val="single" w:sz="2" w:space="0" w:color="auto"/>
              <w:bottom w:val="single" w:sz="2" w:space="0" w:color="auto"/>
              <w:right w:val="single" w:sz="2" w:space="0" w:color="auto"/>
            </w:tcBorders>
            <w:vAlign w:val="center"/>
          </w:tcPr>
          <w:p w14:paraId="56F6464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1,428,893,461.35</w:t>
            </w:r>
          </w:p>
        </w:tc>
        <w:tc>
          <w:tcPr>
            <w:tcW w:w="1928" w:type="dxa"/>
            <w:tcBorders>
              <w:top w:val="single" w:sz="2" w:space="0" w:color="auto"/>
              <w:left w:val="single" w:sz="2" w:space="0" w:color="auto"/>
              <w:bottom w:val="single" w:sz="2" w:space="0" w:color="auto"/>
              <w:right w:val="single" w:sz="2" w:space="0" w:color="auto"/>
            </w:tcBorders>
            <w:vAlign w:val="center"/>
          </w:tcPr>
          <w:p w14:paraId="40F33C4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E5B6C5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3,943,199,236.33</w:t>
            </w:r>
          </w:p>
        </w:tc>
      </w:tr>
      <w:tr w:rsidR="00F73301" w:rsidRPr="00F73301" w14:paraId="2D6C63A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497FF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capital reserve</w:t>
            </w:r>
          </w:p>
        </w:tc>
        <w:tc>
          <w:tcPr>
            <w:tcW w:w="1928" w:type="dxa"/>
            <w:tcBorders>
              <w:top w:val="single" w:sz="2" w:space="0" w:color="auto"/>
              <w:left w:val="single" w:sz="2" w:space="0" w:color="auto"/>
              <w:bottom w:val="single" w:sz="2" w:space="0" w:color="auto"/>
              <w:right w:val="single" w:sz="2" w:space="0" w:color="auto"/>
            </w:tcBorders>
            <w:vAlign w:val="center"/>
          </w:tcPr>
          <w:p w14:paraId="34BE14F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70,284,468.76</w:t>
            </w:r>
          </w:p>
        </w:tc>
        <w:tc>
          <w:tcPr>
            <w:tcW w:w="1928" w:type="dxa"/>
            <w:tcBorders>
              <w:top w:val="single" w:sz="2" w:space="0" w:color="auto"/>
              <w:left w:val="single" w:sz="2" w:space="0" w:color="auto"/>
              <w:bottom w:val="single" w:sz="2" w:space="0" w:color="auto"/>
              <w:right w:val="single" w:sz="2" w:space="0" w:color="auto"/>
            </w:tcBorders>
            <w:vAlign w:val="center"/>
          </w:tcPr>
          <w:p w14:paraId="7B3849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19,269,720.00</w:t>
            </w:r>
          </w:p>
        </w:tc>
        <w:tc>
          <w:tcPr>
            <w:tcW w:w="1928" w:type="dxa"/>
            <w:tcBorders>
              <w:top w:val="single" w:sz="2" w:space="0" w:color="auto"/>
              <w:left w:val="single" w:sz="2" w:space="0" w:color="auto"/>
              <w:bottom w:val="single" w:sz="2" w:space="0" w:color="auto"/>
              <w:right w:val="single" w:sz="2" w:space="0" w:color="auto"/>
            </w:tcBorders>
            <w:vAlign w:val="center"/>
          </w:tcPr>
          <w:p w14:paraId="39615143"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577510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89,554,188.76</w:t>
            </w:r>
          </w:p>
        </w:tc>
      </w:tr>
      <w:tr w:rsidR="00F73301" w:rsidRPr="00F73301" w14:paraId="5DA7AE5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376C3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133F211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2,584,590,243.74</w:t>
            </w:r>
          </w:p>
        </w:tc>
        <w:tc>
          <w:tcPr>
            <w:tcW w:w="1928" w:type="dxa"/>
            <w:tcBorders>
              <w:top w:val="single" w:sz="2" w:space="0" w:color="auto"/>
              <w:left w:val="single" w:sz="2" w:space="0" w:color="auto"/>
              <w:bottom w:val="single" w:sz="2" w:space="0" w:color="auto"/>
              <w:right w:val="single" w:sz="2" w:space="0" w:color="auto"/>
            </w:tcBorders>
            <w:vAlign w:val="center"/>
          </w:tcPr>
          <w:p w14:paraId="77E5688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1,448,163,181.35</w:t>
            </w:r>
          </w:p>
        </w:tc>
        <w:tc>
          <w:tcPr>
            <w:tcW w:w="1928" w:type="dxa"/>
            <w:tcBorders>
              <w:top w:val="single" w:sz="2" w:space="0" w:color="auto"/>
              <w:left w:val="single" w:sz="2" w:space="0" w:color="auto"/>
              <w:bottom w:val="single" w:sz="2" w:space="0" w:color="auto"/>
              <w:right w:val="single" w:sz="2" w:space="0" w:color="auto"/>
            </w:tcBorders>
            <w:vAlign w:val="center"/>
          </w:tcPr>
          <w:p w14:paraId="36E75EC7"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52BD56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4,032,753,425.09</w:t>
            </w:r>
          </w:p>
        </w:tc>
      </w:tr>
    </w:tbl>
    <w:p w14:paraId="04D7D6C3"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 including a description of the increase or decrease for the current period and the reasons for the change:</w:t>
      </w:r>
    </w:p>
    <w:p w14:paraId="6756AF2F"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1) The increase in capital reserve (share premium) in the current period was RMB1,428,893,461.35. See the notes about capital shares to this financial statement for details.</w:t>
      </w:r>
    </w:p>
    <w:p w14:paraId="038B8EB2"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2) The Company implements equity-settled share-based payment. In the current period, employee services in exchange for equity-settled share-based payment totaled RMB19,269,720.00, and other capital reserve was increased accordingly.</w:t>
      </w:r>
    </w:p>
    <w:p w14:paraId="1BEDF65E"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250" w:name="_Toc989138"/>
      <w:r w:rsidRPr="00F73301">
        <w:rPr>
          <w:rFonts w:ascii="Times New Roman" w:eastAsia="宋体" w:hAnsi="Times New Roman" w:cs="Times New Roman"/>
          <w:b/>
          <w:bCs/>
          <w:sz w:val="24"/>
          <w:szCs w:val="24"/>
        </w:rPr>
        <w:t>35. Other comprehensive income</w:t>
      </w:r>
      <w:bookmarkEnd w:id="250"/>
    </w:p>
    <w:p w14:paraId="1311345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1071"/>
        <w:gridCol w:w="1071"/>
        <w:gridCol w:w="1071"/>
        <w:gridCol w:w="1071"/>
        <w:gridCol w:w="1071"/>
        <w:gridCol w:w="1071"/>
        <w:gridCol w:w="1071"/>
      </w:tblGrid>
      <w:tr w:rsidR="00F73301" w:rsidRPr="00F73301" w14:paraId="3FFF924D" w14:textId="77777777" w:rsidTr="0001208F">
        <w:trPr>
          <w:jc w:val="center"/>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12A0D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3B01A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7605443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160D0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63FB5E40" w14:textId="77777777" w:rsidTr="0001208F">
        <w:trPr>
          <w:jc w:val="center"/>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9C6100" w14:textId="77777777" w:rsidR="00F73301" w:rsidRPr="00F73301" w:rsidRDefault="00F73301" w:rsidP="008C49B7">
            <w:pPr>
              <w:snapToGrid w:val="0"/>
              <w:rPr>
                <w:rFonts w:ascii="Times New Roman" w:eastAsia="等线" w:hAnsi="Times New Roman" w:cs="Times New Roman"/>
                <w:sz w:val="18"/>
                <w:szCs w:val="18"/>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C420C59" w14:textId="77777777" w:rsidR="00F73301" w:rsidRPr="00F73301" w:rsidRDefault="00F73301" w:rsidP="008C49B7">
            <w:pPr>
              <w:snapToGrid w:val="0"/>
              <w:rPr>
                <w:rFonts w:ascii="Times New Roman" w:eastAsia="等线"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CE099E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 before income tax</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F7C4E2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Less: OCI previously recognized but transferred to profit or loss in the </w:t>
            </w:r>
            <w:r w:rsidRPr="00F73301">
              <w:rPr>
                <w:rFonts w:ascii="Times New Roman" w:eastAsia="宋体" w:hAnsi="Times New Roman" w:cs="Times New Roman"/>
                <w:sz w:val="18"/>
                <w:szCs w:val="18"/>
              </w:rPr>
              <w:lastRenderedPageBreak/>
              <w:t>current period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ECE892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 xml:space="preserve">Less: Recorded in other comprehensive income in prior period and </w:t>
            </w:r>
            <w:r w:rsidRPr="00F73301">
              <w:rPr>
                <w:rFonts w:ascii="Times New Roman" w:eastAsia="宋体" w:hAnsi="Times New Roman" w:cs="Times New Roman"/>
                <w:sz w:val="18"/>
                <w:szCs w:val="18"/>
              </w:rPr>
              <w:lastRenderedPageBreak/>
              <w:t>transferred in retained earnings in the current period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470815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Less: Income tax</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B1F078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Attributable to parent company</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0718C5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Attributable minority shareholders after tax</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225A9E"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B4A360C" w14:textId="77777777" w:rsidTr="0001208F">
        <w:trPr>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D5BAB0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Other comprehensive income that may subsequently be reclassified to profit or loss</w:t>
            </w:r>
          </w:p>
        </w:tc>
        <w:tc>
          <w:tcPr>
            <w:tcW w:w="1071" w:type="dxa"/>
            <w:tcBorders>
              <w:top w:val="single" w:sz="2" w:space="0" w:color="auto"/>
              <w:left w:val="single" w:sz="2" w:space="0" w:color="auto"/>
              <w:bottom w:val="single" w:sz="2" w:space="0" w:color="auto"/>
              <w:right w:val="single" w:sz="2" w:space="0" w:color="auto"/>
            </w:tcBorders>
            <w:vAlign w:val="center"/>
          </w:tcPr>
          <w:p w14:paraId="00BCBCA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28,166,283.84</w:t>
            </w:r>
          </w:p>
        </w:tc>
        <w:tc>
          <w:tcPr>
            <w:tcW w:w="1071" w:type="dxa"/>
            <w:tcBorders>
              <w:top w:val="single" w:sz="2" w:space="0" w:color="auto"/>
              <w:left w:val="single" w:sz="2" w:space="0" w:color="auto"/>
              <w:bottom w:val="single" w:sz="2" w:space="0" w:color="auto"/>
              <w:right w:val="single" w:sz="2" w:space="0" w:color="auto"/>
            </w:tcBorders>
            <w:vAlign w:val="center"/>
          </w:tcPr>
          <w:p w14:paraId="639D2FD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1071" w:type="dxa"/>
            <w:tcBorders>
              <w:top w:val="single" w:sz="2" w:space="0" w:color="auto"/>
              <w:left w:val="single" w:sz="2" w:space="0" w:color="auto"/>
              <w:bottom w:val="single" w:sz="2" w:space="0" w:color="auto"/>
              <w:right w:val="single" w:sz="2" w:space="0" w:color="auto"/>
            </w:tcBorders>
            <w:vAlign w:val="center"/>
          </w:tcPr>
          <w:p w14:paraId="20417CF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B64BD1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2B70AA0"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31F6BD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1071" w:type="dxa"/>
            <w:tcBorders>
              <w:top w:val="single" w:sz="2" w:space="0" w:color="auto"/>
              <w:left w:val="single" w:sz="2" w:space="0" w:color="auto"/>
              <w:bottom w:val="single" w:sz="2" w:space="0" w:color="auto"/>
              <w:right w:val="single" w:sz="2" w:space="0" w:color="auto"/>
            </w:tcBorders>
            <w:vAlign w:val="center"/>
          </w:tcPr>
          <w:p w14:paraId="577947DC"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2C6AF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39,234,628.37</w:t>
            </w:r>
          </w:p>
        </w:tc>
      </w:tr>
      <w:tr w:rsidR="00F73301" w:rsidRPr="00F73301" w14:paraId="19C1E557" w14:textId="77777777" w:rsidTr="0001208F">
        <w:trPr>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9086B89"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Differences arising from translation of foreign currency-denominated financial statements</w:t>
            </w:r>
          </w:p>
        </w:tc>
        <w:tc>
          <w:tcPr>
            <w:tcW w:w="1071" w:type="dxa"/>
            <w:tcBorders>
              <w:top w:val="single" w:sz="2" w:space="0" w:color="auto"/>
              <w:left w:val="single" w:sz="2" w:space="0" w:color="auto"/>
              <w:bottom w:val="single" w:sz="2" w:space="0" w:color="auto"/>
              <w:right w:val="single" w:sz="2" w:space="0" w:color="auto"/>
            </w:tcBorders>
            <w:vAlign w:val="center"/>
          </w:tcPr>
          <w:p w14:paraId="031246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28,166,283.84</w:t>
            </w:r>
          </w:p>
        </w:tc>
        <w:tc>
          <w:tcPr>
            <w:tcW w:w="1071" w:type="dxa"/>
            <w:tcBorders>
              <w:top w:val="single" w:sz="2" w:space="0" w:color="auto"/>
              <w:left w:val="single" w:sz="2" w:space="0" w:color="auto"/>
              <w:bottom w:val="single" w:sz="2" w:space="0" w:color="auto"/>
              <w:right w:val="single" w:sz="2" w:space="0" w:color="auto"/>
            </w:tcBorders>
            <w:vAlign w:val="center"/>
          </w:tcPr>
          <w:p w14:paraId="6F1FE88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1071" w:type="dxa"/>
            <w:tcBorders>
              <w:top w:val="single" w:sz="2" w:space="0" w:color="auto"/>
              <w:left w:val="single" w:sz="2" w:space="0" w:color="auto"/>
              <w:bottom w:val="single" w:sz="2" w:space="0" w:color="auto"/>
              <w:right w:val="single" w:sz="2" w:space="0" w:color="auto"/>
            </w:tcBorders>
            <w:vAlign w:val="center"/>
          </w:tcPr>
          <w:p w14:paraId="3627E30D"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33E4510"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6EC3A65"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892EB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1071" w:type="dxa"/>
            <w:tcBorders>
              <w:top w:val="single" w:sz="2" w:space="0" w:color="auto"/>
              <w:left w:val="single" w:sz="2" w:space="0" w:color="auto"/>
              <w:bottom w:val="single" w:sz="2" w:space="0" w:color="auto"/>
              <w:right w:val="single" w:sz="2" w:space="0" w:color="auto"/>
            </w:tcBorders>
            <w:vAlign w:val="center"/>
          </w:tcPr>
          <w:p w14:paraId="2CD3518B"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1EC1A8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39,234,628.37</w:t>
            </w:r>
          </w:p>
        </w:tc>
      </w:tr>
      <w:tr w:rsidR="00F73301" w:rsidRPr="00F73301" w14:paraId="585186FA" w14:textId="77777777" w:rsidTr="0001208F">
        <w:trPr>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E87F49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other comprehensive income</w:t>
            </w:r>
          </w:p>
        </w:tc>
        <w:tc>
          <w:tcPr>
            <w:tcW w:w="1071" w:type="dxa"/>
            <w:tcBorders>
              <w:top w:val="single" w:sz="2" w:space="0" w:color="auto"/>
              <w:left w:val="single" w:sz="2" w:space="0" w:color="auto"/>
              <w:bottom w:val="single" w:sz="2" w:space="0" w:color="auto"/>
              <w:right w:val="single" w:sz="2" w:space="0" w:color="auto"/>
            </w:tcBorders>
            <w:vAlign w:val="center"/>
          </w:tcPr>
          <w:p w14:paraId="00BF820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28,166,283.84</w:t>
            </w:r>
          </w:p>
        </w:tc>
        <w:tc>
          <w:tcPr>
            <w:tcW w:w="1071" w:type="dxa"/>
            <w:tcBorders>
              <w:top w:val="single" w:sz="2" w:space="0" w:color="auto"/>
              <w:left w:val="single" w:sz="2" w:space="0" w:color="auto"/>
              <w:bottom w:val="single" w:sz="2" w:space="0" w:color="auto"/>
              <w:right w:val="single" w:sz="2" w:space="0" w:color="auto"/>
            </w:tcBorders>
            <w:vAlign w:val="center"/>
          </w:tcPr>
          <w:p w14:paraId="4DECF8D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1071" w:type="dxa"/>
            <w:tcBorders>
              <w:top w:val="single" w:sz="2" w:space="0" w:color="auto"/>
              <w:left w:val="single" w:sz="2" w:space="0" w:color="auto"/>
              <w:bottom w:val="single" w:sz="2" w:space="0" w:color="auto"/>
              <w:right w:val="single" w:sz="2" w:space="0" w:color="auto"/>
            </w:tcBorders>
            <w:vAlign w:val="center"/>
          </w:tcPr>
          <w:p w14:paraId="17138BA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3E15D68"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7C95385"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195EF0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11,068,344.53</w:t>
            </w:r>
          </w:p>
        </w:tc>
        <w:tc>
          <w:tcPr>
            <w:tcW w:w="1071" w:type="dxa"/>
            <w:tcBorders>
              <w:top w:val="single" w:sz="2" w:space="0" w:color="auto"/>
              <w:left w:val="single" w:sz="2" w:space="0" w:color="auto"/>
              <w:bottom w:val="single" w:sz="2" w:space="0" w:color="auto"/>
              <w:right w:val="single" w:sz="2" w:space="0" w:color="auto"/>
            </w:tcBorders>
            <w:vAlign w:val="center"/>
          </w:tcPr>
          <w:p w14:paraId="4FFEE376" w14:textId="77777777" w:rsidR="00F73301" w:rsidRPr="00F73301" w:rsidRDefault="00F73301" w:rsidP="008C49B7">
            <w:pPr>
              <w:snapToGrid w:val="0"/>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06907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39,234,628.37</w:t>
            </w:r>
          </w:p>
        </w:tc>
      </w:tr>
    </w:tbl>
    <w:p w14:paraId="4AB3F79E"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 including the adjustment of the effective gain/loss on cash flow hedges to the initial recognized amount:</w:t>
      </w:r>
    </w:p>
    <w:p w14:paraId="752F459B"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318E4A03"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251" w:name="_Toc989139"/>
      <w:r w:rsidRPr="00F73301">
        <w:rPr>
          <w:rFonts w:ascii="Times New Roman" w:eastAsia="宋体" w:hAnsi="Times New Roman" w:cs="Times New Roman"/>
          <w:b/>
          <w:bCs/>
          <w:sz w:val="24"/>
          <w:szCs w:val="24"/>
        </w:rPr>
        <w:t>36. Surplus reserve</w:t>
      </w:r>
      <w:bookmarkEnd w:id="251"/>
    </w:p>
    <w:p w14:paraId="3ABA34E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2E4509D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8D27C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3C32F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7D267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39AE8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Decrease for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E917D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7E7C0F4F"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9782C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Statutory surplus reserve</w:t>
            </w:r>
          </w:p>
        </w:tc>
        <w:tc>
          <w:tcPr>
            <w:tcW w:w="1928" w:type="dxa"/>
            <w:tcBorders>
              <w:top w:val="single" w:sz="2" w:space="0" w:color="auto"/>
              <w:left w:val="single" w:sz="2" w:space="0" w:color="auto"/>
              <w:bottom w:val="single" w:sz="2" w:space="0" w:color="auto"/>
              <w:right w:val="single" w:sz="2" w:space="0" w:color="auto"/>
            </w:tcBorders>
            <w:vAlign w:val="center"/>
          </w:tcPr>
          <w:p w14:paraId="3480E7E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256,386,393.50</w:t>
            </w:r>
          </w:p>
        </w:tc>
        <w:tc>
          <w:tcPr>
            <w:tcW w:w="1928" w:type="dxa"/>
            <w:tcBorders>
              <w:top w:val="single" w:sz="2" w:space="0" w:color="auto"/>
              <w:left w:val="single" w:sz="2" w:space="0" w:color="auto"/>
              <w:bottom w:val="single" w:sz="2" w:space="0" w:color="auto"/>
              <w:right w:val="single" w:sz="2" w:space="0" w:color="auto"/>
            </w:tcBorders>
            <w:vAlign w:val="center"/>
          </w:tcPr>
          <w:p w14:paraId="504E74E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E844F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A9CF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256,386,393.50</w:t>
            </w:r>
          </w:p>
        </w:tc>
      </w:tr>
      <w:tr w:rsidR="00F73301" w:rsidRPr="00F73301" w14:paraId="6F880BAF"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64403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390125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256,386,393.50</w:t>
            </w:r>
          </w:p>
        </w:tc>
        <w:tc>
          <w:tcPr>
            <w:tcW w:w="1928" w:type="dxa"/>
            <w:tcBorders>
              <w:top w:val="single" w:sz="2" w:space="0" w:color="auto"/>
              <w:left w:val="single" w:sz="2" w:space="0" w:color="auto"/>
              <w:bottom w:val="single" w:sz="2" w:space="0" w:color="auto"/>
              <w:right w:val="single" w:sz="2" w:space="0" w:color="auto"/>
            </w:tcBorders>
            <w:vAlign w:val="center"/>
          </w:tcPr>
          <w:p w14:paraId="7C05822A"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A5F6E9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A2319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256,386,393.50</w:t>
            </w:r>
          </w:p>
        </w:tc>
      </w:tr>
    </w:tbl>
    <w:p w14:paraId="51352CB6"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including changes and reason for change:</w:t>
      </w:r>
    </w:p>
    <w:p w14:paraId="000130F1"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48BF3377"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252" w:name="_Toc989140"/>
      <w:r w:rsidRPr="00F73301">
        <w:rPr>
          <w:rFonts w:ascii="Times New Roman" w:eastAsia="宋体" w:hAnsi="Times New Roman" w:cs="Times New Roman"/>
          <w:b/>
          <w:bCs/>
          <w:sz w:val="24"/>
          <w:szCs w:val="24"/>
        </w:rPr>
        <w:t>37. Undistributed profit</w:t>
      </w:r>
      <w:bookmarkEnd w:id="252"/>
    </w:p>
    <w:p w14:paraId="6A26329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5C6F3E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70F60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9B0C1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2C766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Previous period</w:t>
            </w:r>
          </w:p>
        </w:tc>
      </w:tr>
      <w:tr w:rsidR="00F73301" w:rsidRPr="00F73301" w14:paraId="4596A1D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8D93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of retained profits in the previous period before adjustments</w:t>
            </w:r>
          </w:p>
        </w:tc>
        <w:tc>
          <w:tcPr>
            <w:tcW w:w="3213" w:type="dxa"/>
            <w:tcBorders>
              <w:top w:val="single" w:sz="2" w:space="0" w:color="auto"/>
              <w:left w:val="single" w:sz="2" w:space="0" w:color="auto"/>
              <w:bottom w:val="single" w:sz="2" w:space="0" w:color="auto"/>
              <w:right w:val="single" w:sz="2" w:space="0" w:color="auto"/>
            </w:tcBorders>
            <w:vAlign w:val="center"/>
          </w:tcPr>
          <w:p w14:paraId="3902C29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2,771,489,902.27</w:t>
            </w:r>
          </w:p>
        </w:tc>
        <w:tc>
          <w:tcPr>
            <w:tcW w:w="3213" w:type="dxa"/>
            <w:tcBorders>
              <w:top w:val="single" w:sz="2" w:space="0" w:color="auto"/>
              <w:left w:val="single" w:sz="2" w:space="0" w:color="auto"/>
              <w:bottom w:val="single" w:sz="2" w:space="0" w:color="auto"/>
              <w:right w:val="single" w:sz="2" w:space="0" w:color="auto"/>
            </w:tcBorders>
            <w:vAlign w:val="center"/>
          </w:tcPr>
          <w:p w14:paraId="39EFF4F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1,900,563,877.06</w:t>
            </w:r>
          </w:p>
        </w:tc>
      </w:tr>
      <w:tr w:rsidR="00F73301" w:rsidRPr="00F73301" w14:paraId="5CC9416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CABE3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 of retained profits after adjustments</w:t>
            </w:r>
          </w:p>
        </w:tc>
        <w:tc>
          <w:tcPr>
            <w:tcW w:w="3213" w:type="dxa"/>
            <w:tcBorders>
              <w:top w:val="single" w:sz="2" w:space="0" w:color="auto"/>
              <w:left w:val="single" w:sz="2" w:space="0" w:color="auto"/>
              <w:bottom w:val="single" w:sz="2" w:space="0" w:color="auto"/>
              <w:right w:val="single" w:sz="2" w:space="0" w:color="auto"/>
            </w:tcBorders>
            <w:vAlign w:val="center"/>
          </w:tcPr>
          <w:p w14:paraId="02EF53E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2,771,489,902.27</w:t>
            </w:r>
          </w:p>
        </w:tc>
        <w:tc>
          <w:tcPr>
            <w:tcW w:w="3213" w:type="dxa"/>
            <w:tcBorders>
              <w:top w:val="single" w:sz="2" w:space="0" w:color="auto"/>
              <w:left w:val="single" w:sz="2" w:space="0" w:color="auto"/>
              <w:bottom w:val="single" w:sz="2" w:space="0" w:color="auto"/>
              <w:right w:val="single" w:sz="2" w:space="0" w:color="auto"/>
            </w:tcBorders>
            <w:vAlign w:val="center"/>
          </w:tcPr>
          <w:p w14:paraId="32720F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1,900,563,877.06</w:t>
            </w:r>
          </w:p>
        </w:tc>
      </w:tr>
      <w:tr w:rsidR="00F73301" w:rsidRPr="00F73301" w14:paraId="20ABDFB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DFA54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Add: Net profit attributable to owners of the parent company</w:t>
            </w:r>
          </w:p>
        </w:tc>
        <w:tc>
          <w:tcPr>
            <w:tcW w:w="3213" w:type="dxa"/>
            <w:tcBorders>
              <w:top w:val="single" w:sz="2" w:space="0" w:color="auto"/>
              <w:left w:val="single" w:sz="2" w:space="0" w:color="auto"/>
              <w:bottom w:val="single" w:sz="2" w:space="0" w:color="auto"/>
              <w:right w:val="single" w:sz="2" w:space="0" w:color="auto"/>
            </w:tcBorders>
            <w:vAlign w:val="center"/>
          </w:tcPr>
          <w:p w14:paraId="31D359F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410,749,362.62</w:t>
            </w:r>
          </w:p>
        </w:tc>
        <w:tc>
          <w:tcPr>
            <w:tcW w:w="3213" w:type="dxa"/>
            <w:tcBorders>
              <w:top w:val="single" w:sz="2" w:space="0" w:color="auto"/>
              <w:left w:val="single" w:sz="2" w:space="0" w:color="auto"/>
              <w:bottom w:val="single" w:sz="2" w:space="0" w:color="auto"/>
              <w:right w:val="single" w:sz="2" w:space="0" w:color="auto"/>
            </w:tcBorders>
            <w:vAlign w:val="center"/>
          </w:tcPr>
          <w:p w14:paraId="14306BF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1,060,145,500.75</w:t>
            </w:r>
          </w:p>
        </w:tc>
      </w:tr>
      <w:tr w:rsidR="00F73301" w:rsidRPr="00F73301" w14:paraId="265F1BA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B3482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Less: Appropriation of statutory surplus reserve</w:t>
            </w:r>
          </w:p>
        </w:tc>
        <w:tc>
          <w:tcPr>
            <w:tcW w:w="3213" w:type="dxa"/>
            <w:tcBorders>
              <w:top w:val="single" w:sz="2" w:space="0" w:color="auto"/>
              <w:left w:val="single" w:sz="2" w:space="0" w:color="auto"/>
              <w:bottom w:val="single" w:sz="2" w:space="0" w:color="auto"/>
              <w:right w:val="single" w:sz="2" w:space="0" w:color="auto"/>
            </w:tcBorders>
            <w:vAlign w:val="center"/>
          </w:tcPr>
          <w:p w14:paraId="04E3C8A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946E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76,771,010.40</w:t>
            </w:r>
          </w:p>
        </w:tc>
      </w:tr>
      <w:tr w:rsidR="00F73301" w:rsidRPr="00F73301" w14:paraId="5FD7118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B5C87D"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Dividend payable on ordinary shares</w:t>
            </w:r>
          </w:p>
        </w:tc>
        <w:tc>
          <w:tcPr>
            <w:tcW w:w="3213" w:type="dxa"/>
            <w:tcBorders>
              <w:top w:val="single" w:sz="2" w:space="0" w:color="auto"/>
              <w:left w:val="single" w:sz="2" w:space="0" w:color="auto"/>
              <w:bottom w:val="single" w:sz="2" w:space="0" w:color="auto"/>
              <w:right w:val="single" w:sz="2" w:space="0" w:color="auto"/>
            </w:tcBorders>
            <w:vAlign w:val="center"/>
          </w:tcPr>
          <w:p w14:paraId="3DD93A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270,725,893.50</w:t>
            </w:r>
          </w:p>
        </w:tc>
        <w:tc>
          <w:tcPr>
            <w:tcW w:w="3213" w:type="dxa"/>
            <w:tcBorders>
              <w:top w:val="single" w:sz="2" w:space="0" w:color="auto"/>
              <w:left w:val="single" w:sz="2" w:space="0" w:color="auto"/>
              <w:bottom w:val="single" w:sz="2" w:space="0" w:color="auto"/>
              <w:right w:val="single" w:sz="2" w:space="0" w:color="auto"/>
            </w:tcBorders>
            <w:vAlign w:val="center"/>
          </w:tcPr>
          <w:p w14:paraId="51B675E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112,448,465.14</w:t>
            </w:r>
          </w:p>
        </w:tc>
      </w:tr>
      <w:tr w:rsidR="00F73301" w:rsidRPr="00F73301" w14:paraId="228ABEB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C7B79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Closing retained profits</w:t>
            </w:r>
          </w:p>
        </w:tc>
        <w:tc>
          <w:tcPr>
            <w:tcW w:w="3213" w:type="dxa"/>
            <w:tcBorders>
              <w:top w:val="single" w:sz="2" w:space="0" w:color="auto"/>
              <w:left w:val="single" w:sz="2" w:space="0" w:color="auto"/>
              <w:bottom w:val="single" w:sz="2" w:space="0" w:color="auto"/>
              <w:right w:val="single" w:sz="2" w:space="0" w:color="auto"/>
            </w:tcBorders>
            <w:vAlign w:val="center"/>
          </w:tcPr>
          <w:p w14:paraId="00D9FB8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2,911,513,371.39</w:t>
            </w:r>
          </w:p>
        </w:tc>
        <w:tc>
          <w:tcPr>
            <w:tcW w:w="3213" w:type="dxa"/>
            <w:tcBorders>
              <w:top w:val="single" w:sz="2" w:space="0" w:color="auto"/>
              <w:left w:val="single" w:sz="2" w:space="0" w:color="auto"/>
              <w:bottom w:val="single" w:sz="2" w:space="0" w:color="auto"/>
              <w:right w:val="single" w:sz="2" w:space="0" w:color="auto"/>
            </w:tcBorders>
            <w:vAlign w:val="center"/>
          </w:tcPr>
          <w:p w14:paraId="45928F2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2,771,489,902.27</w:t>
            </w:r>
          </w:p>
        </w:tc>
      </w:tr>
    </w:tbl>
    <w:p w14:paraId="3FC30E81"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List of adjustment of opening retained profits:</w:t>
      </w:r>
    </w:p>
    <w:p w14:paraId="39104228"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1) RMB0.00 of opening retained profits was affected by retrospective adjustment conducted according to the </w:t>
      </w:r>
      <w:r w:rsidRPr="00F73301">
        <w:rPr>
          <w:rFonts w:ascii="Times New Roman" w:eastAsia="宋体" w:hAnsi="Times New Roman" w:cs="Times New Roman"/>
          <w:i/>
          <w:iCs/>
          <w:sz w:val="24"/>
          <w:szCs w:val="24"/>
        </w:rPr>
        <w:t>Accounting Standards for Business Enterprises</w:t>
      </w:r>
      <w:r w:rsidRPr="00F73301">
        <w:rPr>
          <w:rFonts w:ascii="Times New Roman" w:eastAsia="宋体" w:hAnsi="Times New Roman" w:cs="Times New Roman"/>
          <w:sz w:val="24"/>
          <w:szCs w:val="24"/>
        </w:rPr>
        <w:t xml:space="preserve"> and relevant new regulations.</w:t>
      </w:r>
    </w:p>
    <w:p w14:paraId="3FC6C376"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2) RMB0.00 of opening retained profits was affected by changes in accounting policies.</w:t>
      </w:r>
    </w:p>
    <w:p w14:paraId="474551EB"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3) RMB0.00 of opening retained profits was affected by correction of significant accounting errors.</w:t>
      </w:r>
    </w:p>
    <w:p w14:paraId="49648C39"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4) RMB0.00 of opening retained profits was affected by changes in combination scope arising from same control.</w:t>
      </w:r>
    </w:p>
    <w:p w14:paraId="3164371B"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5) RMB0.00 of opening retained profits was affected totally by other adjustments.</w:t>
      </w:r>
    </w:p>
    <w:p w14:paraId="6CA2DCD3"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253" w:name="_Toc989141"/>
      <w:r w:rsidRPr="00F73301">
        <w:rPr>
          <w:rFonts w:ascii="Times New Roman" w:eastAsia="宋体" w:hAnsi="Times New Roman" w:cs="Times New Roman"/>
          <w:b/>
          <w:bCs/>
          <w:sz w:val="24"/>
          <w:szCs w:val="24"/>
        </w:rPr>
        <w:t>38. Operating revenue and operating cost</w:t>
      </w:r>
      <w:bookmarkEnd w:id="253"/>
    </w:p>
    <w:p w14:paraId="3EFE789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7AE0D2BB" w14:textId="77777777" w:rsidTr="0001208F">
        <w:trPr>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6464D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D7E345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DAC024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60E9D0F0" w14:textId="77777777" w:rsidTr="0001208F">
        <w:trPr>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E0147E5"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2FEEB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Revenue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E4AF4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Cost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2417D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Revenue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B495F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Cost</w:t>
            </w:r>
          </w:p>
        </w:tc>
      </w:tr>
      <w:tr w:rsidR="00F73301" w:rsidRPr="00F73301" w14:paraId="0F006684"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01677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Principal business</w:t>
            </w:r>
          </w:p>
        </w:tc>
        <w:tc>
          <w:tcPr>
            <w:tcW w:w="1928" w:type="dxa"/>
            <w:tcBorders>
              <w:top w:val="single" w:sz="2" w:space="0" w:color="auto"/>
              <w:left w:val="single" w:sz="2" w:space="0" w:color="auto"/>
              <w:bottom w:val="single" w:sz="2" w:space="0" w:color="auto"/>
              <w:right w:val="single" w:sz="2" w:space="0" w:color="auto"/>
            </w:tcBorders>
            <w:vAlign w:val="center"/>
          </w:tcPr>
          <w:p w14:paraId="21EB501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2,569,092,610.29</w:t>
            </w:r>
          </w:p>
        </w:tc>
        <w:tc>
          <w:tcPr>
            <w:tcW w:w="1928" w:type="dxa"/>
            <w:tcBorders>
              <w:top w:val="single" w:sz="2" w:space="0" w:color="auto"/>
              <w:left w:val="single" w:sz="2" w:space="0" w:color="auto"/>
              <w:bottom w:val="single" w:sz="2" w:space="0" w:color="auto"/>
              <w:right w:val="single" w:sz="2" w:space="0" w:color="auto"/>
            </w:tcBorders>
            <w:vAlign w:val="center"/>
          </w:tcPr>
          <w:p w14:paraId="5B6C78F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1,827,247,216.20</w:t>
            </w:r>
          </w:p>
        </w:tc>
        <w:tc>
          <w:tcPr>
            <w:tcW w:w="1928" w:type="dxa"/>
            <w:tcBorders>
              <w:top w:val="single" w:sz="2" w:space="0" w:color="auto"/>
              <w:left w:val="single" w:sz="2" w:space="0" w:color="auto"/>
              <w:bottom w:val="single" w:sz="2" w:space="0" w:color="auto"/>
              <w:right w:val="single" w:sz="2" w:space="0" w:color="auto"/>
            </w:tcBorders>
            <w:vAlign w:val="center"/>
          </w:tcPr>
          <w:p w14:paraId="6B698A2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2,926,899,787.99</w:t>
            </w:r>
          </w:p>
        </w:tc>
        <w:tc>
          <w:tcPr>
            <w:tcW w:w="1928" w:type="dxa"/>
            <w:tcBorders>
              <w:top w:val="single" w:sz="2" w:space="0" w:color="auto"/>
              <w:left w:val="single" w:sz="2" w:space="0" w:color="auto"/>
              <w:bottom w:val="single" w:sz="2" w:space="0" w:color="auto"/>
              <w:right w:val="single" w:sz="2" w:space="0" w:color="auto"/>
            </w:tcBorders>
            <w:vAlign w:val="center"/>
          </w:tcPr>
          <w:p w14:paraId="4AE6B02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1,862,612,164.07</w:t>
            </w:r>
          </w:p>
        </w:tc>
      </w:tr>
      <w:tr w:rsidR="00F73301" w:rsidRPr="00F73301" w14:paraId="07BF539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699F1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business</w:t>
            </w:r>
          </w:p>
        </w:tc>
        <w:tc>
          <w:tcPr>
            <w:tcW w:w="1928" w:type="dxa"/>
            <w:tcBorders>
              <w:top w:val="single" w:sz="2" w:space="0" w:color="auto"/>
              <w:left w:val="single" w:sz="2" w:space="0" w:color="auto"/>
              <w:bottom w:val="single" w:sz="2" w:space="0" w:color="auto"/>
              <w:right w:val="single" w:sz="2" w:space="0" w:color="auto"/>
            </w:tcBorders>
            <w:vAlign w:val="center"/>
          </w:tcPr>
          <w:p w14:paraId="7808CD4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55,649,776.33</w:t>
            </w:r>
          </w:p>
        </w:tc>
        <w:tc>
          <w:tcPr>
            <w:tcW w:w="1928" w:type="dxa"/>
            <w:tcBorders>
              <w:top w:val="single" w:sz="2" w:space="0" w:color="auto"/>
              <w:left w:val="single" w:sz="2" w:space="0" w:color="auto"/>
              <w:bottom w:val="single" w:sz="2" w:space="0" w:color="auto"/>
              <w:right w:val="single" w:sz="2" w:space="0" w:color="auto"/>
            </w:tcBorders>
            <w:vAlign w:val="center"/>
          </w:tcPr>
          <w:p w14:paraId="04B734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7,081,542.08</w:t>
            </w:r>
          </w:p>
        </w:tc>
        <w:tc>
          <w:tcPr>
            <w:tcW w:w="1928" w:type="dxa"/>
            <w:tcBorders>
              <w:top w:val="single" w:sz="2" w:space="0" w:color="auto"/>
              <w:left w:val="single" w:sz="2" w:space="0" w:color="auto"/>
              <w:bottom w:val="single" w:sz="2" w:space="0" w:color="auto"/>
              <w:right w:val="single" w:sz="2" w:space="0" w:color="auto"/>
            </w:tcBorders>
            <w:vAlign w:val="center"/>
          </w:tcPr>
          <w:p w14:paraId="036B658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24,418,891.46</w:t>
            </w:r>
          </w:p>
        </w:tc>
        <w:tc>
          <w:tcPr>
            <w:tcW w:w="1928" w:type="dxa"/>
            <w:tcBorders>
              <w:top w:val="single" w:sz="2" w:space="0" w:color="auto"/>
              <w:left w:val="single" w:sz="2" w:space="0" w:color="auto"/>
              <w:bottom w:val="single" w:sz="2" w:space="0" w:color="auto"/>
              <w:right w:val="single" w:sz="2" w:space="0" w:color="auto"/>
            </w:tcBorders>
            <w:vAlign w:val="center"/>
          </w:tcPr>
          <w:p w14:paraId="4A21A4E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16,675,202.00</w:t>
            </w:r>
          </w:p>
        </w:tc>
      </w:tr>
      <w:tr w:rsidR="00F73301" w:rsidRPr="00F73301" w14:paraId="423BA651"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F6610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73F54AF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2448F3F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1,834,328,758.28</w:t>
            </w:r>
          </w:p>
        </w:tc>
        <w:tc>
          <w:tcPr>
            <w:tcW w:w="1928" w:type="dxa"/>
            <w:tcBorders>
              <w:top w:val="single" w:sz="2" w:space="0" w:color="auto"/>
              <w:left w:val="single" w:sz="2" w:space="0" w:color="auto"/>
              <w:bottom w:val="single" w:sz="2" w:space="0" w:color="auto"/>
              <w:right w:val="single" w:sz="2" w:space="0" w:color="auto"/>
            </w:tcBorders>
            <w:vAlign w:val="center"/>
          </w:tcPr>
          <w:p w14:paraId="1DC515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2,951,318,679.45</w:t>
            </w:r>
          </w:p>
        </w:tc>
        <w:tc>
          <w:tcPr>
            <w:tcW w:w="1928" w:type="dxa"/>
            <w:tcBorders>
              <w:top w:val="single" w:sz="2" w:space="0" w:color="auto"/>
              <w:left w:val="single" w:sz="2" w:space="0" w:color="auto"/>
              <w:bottom w:val="single" w:sz="2" w:space="0" w:color="auto"/>
              <w:right w:val="single" w:sz="2" w:space="0" w:color="auto"/>
            </w:tcBorders>
            <w:vAlign w:val="center"/>
          </w:tcPr>
          <w:p w14:paraId="2CCCA75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1,879,287,366.07</w:t>
            </w:r>
          </w:p>
        </w:tc>
      </w:tr>
    </w:tbl>
    <w:p w14:paraId="05684DB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Relevant information of revenue:</w:t>
      </w:r>
    </w:p>
    <w:p w14:paraId="0D7B1D1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2DBDA07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187FA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Category of contracts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E62A9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Segment 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FDE06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Segment 2</w:t>
            </w:r>
          </w:p>
        </w:tc>
        <w:tc>
          <w:tcPr>
            <w:tcW w:w="1928" w:type="dxa"/>
            <w:tcBorders>
              <w:top w:val="single" w:sz="2" w:space="0" w:color="auto"/>
              <w:left w:val="single" w:sz="2" w:space="0" w:color="auto"/>
              <w:bottom w:val="single" w:sz="2" w:space="0" w:color="auto"/>
              <w:right w:val="single" w:sz="2" w:space="0" w:color="auto"/>
            </w:tcBorders>
            <w:vAlign w:val="center"/>
          </w:tcPr>
          <w:p w14:paraId="379632DF" w14:textId="77777777" w:rsidR="00F73301" w:rsidRPr="00F73301" w:rsidRDefault="00F73301" w:rsidP="008C49B7">
            <w:pPr>
              <w:snapToGrid w:val="0"/>
              <w:jc w:val="center"/>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2A66F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r>
      <w:tr w:rsidR="00F73301" w:rsidRPr="00F73301" w14:paraId="7B357E3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C1198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Product categories</w:t>
            </w:r>
          </w:p>
        </w:tc>
        <w:tc>
          <w:tcPr>
            <w:tcW w:w="1928" w:type="dxa"/>
            <w:tcBorders>
              <w:top w:val="single" w:sz="2" w:space="0" w:color="auto"/>
              <w:left w:val="single" w:sz="2" w:space="0" w:color="auto"/>
              <w:bottom w:val="single" w:sz="2" w:space="0" w:color="auto"/>
              <w:right w:val="single" w:sz="2" w:space="0" w:color="auto"/>
            </w:tcBorders>
            <w:vAlign w:val="center"/>
          </w:tcPr>
          <w:p w14:paraId="30FCD09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6DDA2EE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6473BA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5C82B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r>
      <w:tr w:rsidR="00F73301" w:rsidRPr="00F73301" w14:paraId="5691E74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3894A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AB577A"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47E5D9"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49797F"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C6B16F"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0C246A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3662AE0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Semiconductor components</w:t>
            </w:r>
          </w:p>
        </w:tc>
        <w:tc>
          <w:tcPr>
            <w:tcW w:w="1928" w:type="dxa"/>
            <w:tcBorders>
              <w:top w:val="single" w:sz="2" w:space="0" w:color="auto"/>
              <w:left w:val="single" w:sz="2" w:space="0" w:color="auto"/>
              <w:bottom w:val="single" w:sz="2" w:space="0" w:color="auto"/>
              <w:right w:val="single" w:sz="2" w:space="0" w:color="auto"/>
            </w:tcBorders>
            <w:vAlign w:val="center"/>
          </w:tcPr>
          <w:p w14:paraId="02BAA8C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2,218,061,362.39</w:t>
            </w:r>
          </w:p>
        </w:tc>
        <w:tc>
          <w:tcPr>
            <w:tcW w:w="1928" w:type="dxa"/>
            <w:tcBorders>
              <w:top w:val="single" w:sz="2" w:space="0" w:color="auto"/>
              <w:left w:val="single" w:sz="2" w:space="0" w:color="auto"/>
              <w:bottom w:val="single" w:sz="2" w:space="0" w:color="auto"/>
              <w:right w:val="single" w:sz="2" w:space="0" w:color="auto"/>
            </w:tcBorders>
            <w:vAlign w:val="center"/>
          </w:tcPr>
          <w:p w14:paraId="4DE954D3"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B67F288"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DD007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2,218,061,362.39</w:t>
            </w:r>
          </w:p>
        </w:tc>
      </w:tr>
      <w:tr w:rsidR="00F73301" w:rsidRPr="00F73301" w14:paraId="3CD1DBF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581CEB8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Semiconductor chips</w:t>
            </w:r>
          </w:p>
        </w:tc>
        <w:tc>
          <w:tcPr>
            <w:tcW w:w="1928" w:type="dxa"/>
            <w:tcBorders>
              <w:top w:val="single" w:sz="2" w:space="0" w:color="auto"/>
              <w:left w:val="single" w:sz="2" w:space="0" w:color="auto"/>
              <w:bottom w:val="single" w:sz="2" w:space="0" w:color="auto"/>
              <w:right w:val="single" w:sz="2" w:space="0" w:color="auto"/>
            </w:tcBorders>
            <w:vAlign w:val="center"/>
          </w:tcPr>
          <w:p w14:paraId="68846DB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260,095,604.95</w:t>
            </w:r>
          </w:p>
        </w:tc>
        <w:tc>
          <w:tcPr>
            <w:tcW w:w="1928" w:type="dxa"/>
            <w:tcBorders>
              <w:top w:val="single" w:sz="2" w:space="0" w:color="auto"/>
              <w:left w:val="single" w:sz="2" w:space="0" w:color="auto"/>
              <w:bottom w:val="single" w:sz="2" w:space="0" w:color="auto"/>
              <w:right w:val="single" w:sz="2" w:space="0" w:color="auto"/>
            </w:tcBorders>
            <w:vAlign w:val="center"/>
          </w:tcPr>
          <w:p w14:paraId="3B72C16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C717849"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8205E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260,095,604.95</w:t>
            </w:r>
          </w:p>
        </w:tc>
      </w:tr>
      <w:tr w:rsidR="00F73301" w:rsidRPr="00F73301" w14:paraId="42B3D60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59EFC6E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Semiconductor silicon wafers</w:t>
            </w:r>
          </w:p>
        </w:tc>
        <w:tc>
          <w:tcPr>
            <w:tcW w:w="1928" w:type="dxa"/>
            <w:tcBorders>
              <w:top w:val="single" w:sz="2" w:space="0" w:color="auto"/>
              <w:left w:val="single" w:sz="2" w:space="0" w:color="auto"/>
              <w:bottom w:val="single" w:sz="2" w:space="0" w:color="auto"/>
              <w:right w:val="single" w:sz="2" w:space="0" w:color="auto"/>
            </w:tcBorders>
            <w:vAlign w:val="center"/>
          </w:tcPr>
          <w:p w14:paraId="5EAE6C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90,935,642.95</w:t>
            </w:r>
          </w:p>
        </w:tc>
        <w:tc>
          <w:tcPr>
            <w:tcW w:w="1928" w:type="dxa"/>
            <w:tcBorders>
              <w:top w:val="single" w:sz="2" w:space="0" w:color="auto"/>
              <w:left w:val="single" w:sz="2" w:space="0" w:color="auto"/>
              <w:bottom w:val="single" w:sz="2" w:space="0" w:color="auto"/>
              <w:right w:val="single" w:sz="2" w:space="0" w:color="auto"/>
            </w:tcBorders>
            <w:vAlign w:val="center"/>
          </w:tcPr>
          <w:p w14:paraId="648B0940"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4EEBA23"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5679B0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90,935,642.95</w:t>
            </w:r>
          </w:p>
        </w:tc>
      </w:tr>
      <w:tr w:rsidR="00F73301" w:rsidRPr="00F73301" w14:paraId="6C6629F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0826AD0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business</w:t>
            </w:r>
          </w:p>
        </w:tc>
        <w:tc>
          <w:tcPr>
            <w:tcW w:w="1928" w:type="dxa"/>
            <w:tcBorders>
              <w:top w:val="single" w:sz="2" w:space="0" w:color="auto"/>
              <w:left w:val="single" w:sz="2" w:space="0" w:color="auto"/>
              <w:bottom w:val="single" w:sz="2" w:space="0" w:color="auto"/>
              <w:right w:val="single" w:sz="2" w:space="0" w:color="auto"/>
            </w:tcBorders>
            <w:vAlign w:val="center"/>
          </w:tcPr>
          <w:p w14:paraId="4EC7A6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55,649,776.33</w:t>
            </w:r>
          </w:p>
        </w:tc>
        <w:tc>
          <w:tcPr>
            <w:tcW w:w="1928" w:type="dxa"/>
            <w:tcBorders>
              <w:top w:val="single" w:sz="2" w:space="0" w:color="auto"/>
              <w:left w:val="single" w:sz="2" w:space="0" w:color="auto"/>
              <w:bottom w:val="single" w:sz="2" w:space="0" w:color="auto"/>
              <w:right w:val="single" w:sz="2" w:space="0" w:color="auto"/>
            </w:tcBorders>
            <w:vAlign w:val="center"/>
          </w:tcPr>
          <w:p w14:paraId="5C47893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F6908D5"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B84B0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55,649,776.33</w:t>
            </w:r>
          </w:p>
        </w:tc>
      </w:tr>
      <w:tr w:rsidR="00F73301" w:rsidRPr="00F73301" w14:paraId="30AA030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2665079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0CE0959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1ED810CF"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209A333"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6C6B8B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r>
      <w:tr w:rsidR="00F73301" w:rsidRPr="00F73301" w14:paraId="48F675A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41F6C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Classification by operating region</w:t>
            </w:r>
          </w:p>
        </w:tc>
        <w:tc>
          <w:tcPr>
            <w:tcW w:w="1928" w:type="dxa"/>
            <w:tcBorders>
              <w:top w:val="single" w:sz="2" w:space="0" w:color="auto"/>
              <w:left w:val="single" w:sz="2" w:space="0" w:color="auto"/>
              <w:bottom w:val="single" w:sz="2" w:space="0" w:color="auto"/>
              <w:right w:val="single" w:sz="2" w:space="0" w:color="auto"/>
            </w:tcBorders>
            <w:vAlign w:val="center"/>
          </w:tcPr>
          <w:p w14:paraId="4EA44F8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108D0E0C"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E60A7D2"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D12E56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r>
      <w:tr w:rsidR="00F73301" w:rsidRPr="00F73301" w14:paraId="4FB2FF7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0C897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601A4F8"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228DAB"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A1AF37"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5CB9F81"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521CFF3E"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2100404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Domestic</w:t>
            </w:r>
          </w:p>
        </w:tc>
        <w:tc>
          <w:tcPr>
            <w:tcW w:w="1928" w:type="dxa"/>
            <w:tcBorders>
              <w:top w:val="single" w:sz="2" w:space="0" w:color="auto"/>
              <w:left w:val="single" w:sz="2" w:space="0" w:color="auto"/>
              <w:bottom w:val="single" w:sz="2" w:space="0" w:color="auto"/>
              <w:right w:val="single" w:sz="2" w:space="0" w:color="auto"/>
            </w:tcBorders>
            <w:vAlign w:val="center"/>
          </w:tcPr>
          <w:p w14:paraId="21AE53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1,985,604,059.05</w:t>
            </w:r>
          </w:p>
        </w:tc>
        <w:tc>
          <w:tcPr>
            <w:tcW w:w="1928" w:type="dxa"/>
            <w:tcBorders>
              <w:top w:val="single" w:sz="2" w:space="0" w:color="auto"/>
              <w:left w:val="single" w:sz="2" w:space="0" w:color="auto"/>
              <w:bottom w:val="single" w:sz="2" w:space="0" w:color="auto"/>
              <w:right w:val="single" w:sz="2" w:space="0" w:color="auto"/>
            </w:tcBorders>
            <w:vAlign w:val="center"/>
          </w:tcPr>
          <w:p w14:paraId="37B6396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4C5DA8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55DFF6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1,985,604,059.05</w:t>
            </w:r>
          </w:p>
        </w:tc>
      </w:tr>
      <w:tr w:rsidR="00F73301" w:rsidRPr="00F73301" w14:paraId="3247718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3D78D7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Overseas</w:t>
            </w:r>
          </w:p>
        </w:tc>
        <w:tc>
          <w:tcPr>
            <w:tcW w:w="1928" w:type="dxa"/>
            <w:tcBorders>
              <w:top w:val="single" w:sz="2" w:space="0" w:color="auto"/>
              <w:left w:val="single" w:sz="2" w:space="0" w:color="auto"/>
              <w:bottom w:val="single" w:sz="2" w:space="0" w:color="auto"/>
              <w:right w:val="single" w:sz="2" w:space="0" w:color="auto"/>
            </w:tcBorders>
            <w:vAlign w:val="center"/>
          </w:tcPr>
          <w:p w14:paraId="5FDDD16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639,138,327.57</w:t>
            </w:r>
          </w:p>
        </w:tc>
        <w:tc>
          <w:tcPr>
            <w:tcW w:w="1928" w:type="dxa"/>
            <w:tcBorders>
              <w:top w:val="single" w:sz="2" w:space="0" w:color="auto"/>
              <w:left w:val="single" w:sz="2" w:space="0" w:color="auto"/>
              <w:bottom w:val="single" w:sz="2" w:space="0" w:color="auto"/>
              <w:right w:val="single" w:sz="2" w:space="0" w:color="auto"/>
            </w:tcBorders>
            <w:vAlign w:val="center"/>
          </w:tcPr>
          <w:p w14:paraId="5BB8310A"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43E42C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39550B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639,138,327.57</w:t>
            </w:r>
          </w:p>
        </w:tc>
      </w:tr>
      <w:tr w:rsidR="00F73301" w:rsidRPr="00F73301" w14:paraId="4D1FAE61"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79DBF09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05AA67F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756339B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AAAB450"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1D46B2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r>
      <w:tr w:rsidR="00F73301" w:rsidRPr="00F73301" w14:paraId="326C544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37198B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Market or customer type</w:t>
            </w:r>
          </w:p>
        </w:tc>
        <w:tc>
          <w:tcPr>
            <w:tcW w:w="1928" w:type="dxa"/>
            <w:tcBorders>
              <w:top w:val="single" w:sz="2" w:space="0" w:color="auto"/>
              <w:left w:val="single" w:sz="2" w:space="0" w:color="auto"/>
              <w:bottom w:val="single" w:sz="2" w:space="0" w:color="auto"/>
              <w:right w:val="single" w:sz="2" w:space="0" w:color="auto"/>
            </w:tcBorders>
            <w:vAlign w:val="center"/>
          </w:tcPr>
          <w:p w14:paraId="47FC1D9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E07E86C"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06C446A"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4894D6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231006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E9C22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CAC311"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AA15AD"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0E8386"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D87C9A"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4E20AA5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0CE85A50" w14:textId="77777777" w:rsidR="00F73301" w:rsidRPr="00F73301" w:rsidRDefault="00F73301" w:rsidP="008C49B7">
            <w:pPr>
              <w:snapToGrid w:val="0"/>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8DD7712"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32DB65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BBA2345"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EE7CFE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CBB29D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338D2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Contract type</w:t>
            </w:r>
          </w:p>
        </w:tc>
        <w:tc>
          <w:tcPr>
            <w:tcW w:w="1928" w:type="dxa"/>
            <w:tcBorders>
              <w:top w:val="single" w:sz="2" w:space="0" w:color="auto"/>
              <w:left w:val="single" w:sz="2" w:space="0" w:color="auto"/>
              <w:bottom w:val="single" w:sz="2" w:space="0" w:color="auto"/>
              <w:right w:val="single" w:sz="2" w:space="0" w:color="auto"/>
            </w:tcBorders>
            <w:vAlign w:val="center"/>
          </w:tcPr>
          <w:p w14:paraId="12BB81F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E7698CF"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6D1052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BBEAB3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D86ADD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419E7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69D26A"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B9FE68"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61A3B7"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D26557"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08B9982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02C81F40" w14:textId="77777777" w:rsidR="00F73301" w:rsidRPr="00F73301" w:rsidRDefault="00F73301" w:rsidP="008C49B7">
            <w:pPr>
              <w:snapToGrid w:val="0"/>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2637D5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DCB669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F2AA6D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2502C1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A50AC9F"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30FB40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Classification by time of commodity transfer</w:t>
            </w:r>
          </w:p>
        </w:tc>
        <w:tc>
          <w:tcPr>
            <w:tcW w:w="1928" w:type="dxa"/>
            <w:tcBorders>
              <w:top w:val="single" w:sz="2" w:space="0" w:color="auto"/>
              <w:left w:val="single" w:sz="2" w:space="0" w:color="auto"/>
              <w:bottom w:val="single" w:sz="2" w:space="0" w:color="auto"/>
              <w:right w:val="single" w:sz="2" w:space="0" w:color="auto"/>
            </w:tcBorders>
            <w:vAlign w:val="center"/>
          </w:tcPr>
          <w:p w14:paraId="1C79C3B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0656EBA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F9C004C"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EC4432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r>
      <w:tr w:rsidR="00F73301" w:rsidRPr="00F73301" w14:paraId="2C2CCAB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3FB22D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751642"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AE3AEA0"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AF295C"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D2845D"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D92E7E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4D6A7E2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Recognized at a point in time</w:t>
            </w:r>
          </w:p>
        </w:tc>
        <w:tc>
          <w:tcPr>
            <w:tcW w:w="1928" w:type="dxa"/>
            <w:tcBorders>
              <w:top w:val="single" w:sz="2" w:space="0" w:color="auto"/>
              <w:left w:val="single" w:sz="2" w:space="0" w:color="auto"/>
              <w:bottom w:val="single" w:sz="2" w:space="0" w:color="auto"/>
              <w:right w:val="single" w:sz="2" w:space="0" w:color="auto"/>
            </w:tcBorders>
            <w:vAlign w:val="center"/>
          </w:tcPr>
          <w:p w14:paraId="0976F25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333CC33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D19B7E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EB0BE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r>
      <w:tr w:rsidR="00F73301" w:rsidRPr="00F73301" w14:paraId="7680040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07D7511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6A4E1CB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51B192D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45C336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02DC23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r>
      <w:tr w:rsidR="00F73301" w:rsidRPr="00F73301" w14:paraId="223B485F"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286BA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Classification by contract term</w:t>
            </w:r>
          </w:p>
        </w:tc>
        <w:tc>
          <w:tcPr>
            <w:tcW w:w="1928" w:type="dxa"/>
            <w:tcBorders>
              <w:top w:val="single" w:sz="2" w:space="0" w:color="auto"/>
              <w:left w:val="single" w:sz="2" w:space="0" w:color="auto"/>
              <w:bottom w:val="single" w:sz="2" w:space="0" w:color="auto"/>
              <w:right w:val="single" w:sz="2" w:space="0" w:color="auto"/>
            </w:tcBorders>
            <w:vAlign w:val="center"/>
          </w:tcPr>
          <w:p w14:paraId="31B68A02"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2D94C3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4E8E03"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1AAD85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659FEC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541D2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EF6DA8"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4EB5FA"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A7F988"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11CBBB6"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E8C6CD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458FBA9C" w14:textId="77777777" w:rsidR="00F73301" w:rsidRPr="00F73301" w:rsidRDefault="00F73301" w:rsidP="008C49B7">
            <w:pPr>
              <w:snapToGrid w:val="0"/>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5F6D3D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92A429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5496004"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AF5460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76D982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371B1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Classification by sales channel</w:t>
            </w:r>
          </w:p>
        </w:tc>
        <w:tc>
          <w:tcPr>
            <w:tcW w:w="1928" w:type="dxa"/>
            <w:tcBorders>
              <w:top w:val="single" w:sz="2" w:space="0" w:color="auto"/>
              <w:left w:val="single" w:sz="2" w:space="0" w:color="auto"/>
              <w:bottom w:val="single" w:sz="2" w:space="0" w:color="auto"/>
              <w:right w:val="single" w:sz="2" w:space="0" w:color="auto"/>
            </w:tcBorders>
            <w:vAlign w:val="center"/>
          </w:tcPr>
          <w:p w14:paraId="3918002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8CB939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4EAE2FF"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2133F3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E946B1E"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738C6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DD2826"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5A1B83"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DE4509"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0B38F3"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6F0E125C"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6EDE1126" w14:textId="77777777" w:rsidR="00F73301" w:rsidRPr="00F73301" w:rsidRDefault="00F73301" w:rsidP="008C49B7">
            <w:pPr>
              <w:snapToGrid w:val="0"/>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844C1EF"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0D0D3A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65481B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30201D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4F839E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E3518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70BB76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c>
          <w:tcPr>
            <w:tcW w:w="1928" w:type="dxa"/>
            <w:tcBorders>
              <w:top w:val="single" w:sz="2" w:space="0" w:color="auto"/>
              <w:left w:val="single" w:sz="2" w:space="0" w:color="auto"/>
              <w:bottom w:val="single" w:sz="2" w:space="0" w:color="auto"/>
              <w:right w:val="single" w:sz="2" w:space="0" w:color="auto"/>
            </w:tcBorders>
            <w:vAlign w:val="center"/>
          </w:tcPr>
          <w:p w14:paraId="62BDA06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FC08217"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74B75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r>
    </w:tbl>
    <w:p w14:paraId="21D211DC"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Information about performance obligations:</w:t>
      </w:r>
    </w:p>
    <w:p w14:paraId="1303EE94" w14:textId="77777777" w:rsidR="00F73301" w:rsidRPr="00F73301" w:rsidRDefault="00F73301" w:rsidP="008A539F">
      <w:pPr>
        <w:widowControl/>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None </w:t>
      </w:r>
    </w:p>
    <w:p w14:paraId="18E46C73"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Information in relation to the transaction price apportioned to the residual contract performance obligation:</w:t>
      </w:r>
    </w:p>
    <w:p w14:paraId="0E213299"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At the end of the Reporting Period, the revenue corresponding to the performance obligations that have been contracted but have not been performed or completed is RMB1,230,183,131.43, of which RMB1,041,522,971.45 is expected to be recognized in fiscal 2023, and RMB188,660,159.98 in 2024, and RMB0.00 in 2025.</w:t>
      </w:r>
    </w:p>
    <w:p w14:paraId="2A9EE19D"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C420932"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7C678FBD"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54" w:name="_Toc989142"/>
      <w:r w:rsidRPr="00F73301">
        <w:rPr>
          <w:rFonts w:ascii="Times New Roman" w:eastAsia="宋体" w:hAnsi="Times New Roman" w:cs="Times New Roman"/>
          <w:b/>
          <w:bCs/>
          <w:sz w:val="24"/>
          <w:szCs w:val="24"/>
        </w:rPr>
        <w:t>39. Taxes and surcharges</w:t>
      </w:r>
      <w:bookmarkEnd w:id="254"/>
    </w:p>
    <w:p w14:paraId="2C0237E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0CDB18B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28591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EE809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C8651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3169835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4F298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Urban maintenance and construction tax</w:t>
            </w:r>
          </w:p>
        </w:tc>
        <w:tc>
          <w:tcPr>
            <w:tcW w:w="3213" w:type="dxa"/>
            <w:tcBorders>
              <w:top w:val="single" w:sz="2" w:space="0" w:color="auto"/>
              <w:left w:val="single" w:sz="2" w:space="0" w:color="auto"/>
              <w:bottom w:val="single" w:sz="2" w:space="0" w:color="auto"/>
              <w:right w:val="single" w:sz="2" w:space="0" w:color="auto"/>
            </w:tcBorders>
            <w:vAlign w:val="center"/>
          </w:tcPr>
          <w:p w14:paraId="13F8D0C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7,300,574.91</w:t>
            </w:r>
          </w:p>
        </w:tc>
        <w:tc>
          <w:tcPr>
            <w:tcW w:w="3213" w:type="dxa"/>
            <w:tcBorders>
              <w:top w:val="single" w:sz="2" w:space="0" w:color="auto"/>
              <w:left w:val="single" w:sz="2" w:space="0" w:color="auto"/>
              <w:bottom w:val="single" w:sz="2" w:space="0" w:color="auto"/>
              <w:right w:val="single" w:sz="2" w:space="0" w:color="auto"/>
            </w:tcBorders>
            <w:vAlign w:val="center"/>
          </w:tcPr>
          <w:p w14:paraId="4B6D0BC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595,082.01</w:t>
            </w:r>
          </w:p>
        </w:tc>
      </w:tr>
      <w:tr w:rsidR="00F73301" w:rsidRPr="00F73301" w14:paraId="6114FA8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E0ADB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Education surcharge</w:t>
            </w:r>
          </w:p>
        </w:tc>
        <w:tc>
          <w:tcPr>
            <w:tcW w:w="3213" w:type="dxa"/>
            <w:tcBorders>
              <w:top w:val="single" w:sz="2" w:space="0" w:color="auto"/>
              <w:left w:val="single" w:sz="2" w:space="0" w:color="auto"/>
              <w:bottom w:val="single" w:sz="2" w:space="0" w:color="auto"/>
              <w:right w:val="single" w:sz="2" w:space="0" w:color="auto"/>
            </w:tcBorders>
            <w:vAlign w:val="center"/>
          </w:tcPr>
          <w:p w14:paraId="417460A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3,209,930.51</w:t>
            </w:r>
          </w:p>
        </w:tc>
        <w:tc>
          <w:tcPr>
            <w:tcW w:w="3213" w:type="dxa"/>
            <w:tcBorders>
              <w:top w:val="single" w:sz="2" w:space="0" w:color="auto"/>
              <w:left w:val="single" w:sz="2" w:space="0" w:color="auto"/>
              <w:bottom w:val="single" w:sz="2" w:space="0" w:color="auto"/>
              <w:right w:val="single" w:sz="2" w:space="0" w:color="auto"/>
            </w:tcBorders>
            <w:vAlign w:val="center"/>
          </w:tcPr>
          <w:p w14:paraId="28ABC79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360,666.05</w:t>
            </w:r>
          </w:p>
        </w:tc>
      </w:tr>
      <w:tr w:rsidR="00F73301" w:rsidRPr="00F73301" w14:paraId="3E0B2DE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DB942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Property tax</w:t>
            </w:r>
          </w:p>
        </w:tc>
        <w:tc>
          <w:tcPr>
            <w:tcW w:w="3213" w:type="dxa"/>
            <w:tcBorders>
              <w:top w:val="single" w:sz="2" w:space="0" w:color="auto"/>
              <w:left w:val="single" w:sz="2" w:space="0" w:color="auto"/>
              <w:bottom w:val="single" w:sz="2" w:space="0" w:color="auto"/>
              <w:right w:val="single" w:sz="2" w:space="0" w:color="auto"/>
            </w:tcBorders>
            <w:vAlign w:val="center"/>
          </w:tcPr>
          <w:p w14:paraId="0ECFCC8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3,238,639.23</w:t>
            </w:r>
          </w:p>
        </w:tc>
        <w:tc>
          <w:tcPr>
            <w:tcW w:w="3213" w:type="dxa"/>
            <w:tcBorders>
              <w:top w:val="single" w:sz="2" w:space="0" w:color="auto"/>
              <w:left w:val="single" w:sz="2" w:space="0" w:color="auto"/>
              <w:bottom w:val="single" w:sz="2" w:space="0" w:color="auto"/>
              <w:right w:val="single" w:sz="2" w:space="0" w:color="auto"/>
            </w:tcBorders>
            <w:vAlign w:val="center"/>
          </w:tcPr>
          <w:p w14:paraId="54E7072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2,619,778.61</w:t>
            </w:r>
          </w:p>
        </w:tc>
      </w:tr>
      <w:tr w:rsidR="00F73301" w:rsidRPr="00F73301" w14:paraId="746CA6A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CC79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Land use tax</w:t>
            </w:r>
          </w:p>
        </w:tc>
        <w:tc>
          <w:tcPr>
            <w:tcW w:w="3213" w:type="dxa"/>
            <w:tcBorders>
              <w:top w:val="single" w:sz="2" w:space="0" w:color="auto"/>
              <w:left w:val="single" w:sz="2" w:space="0" w:color="auto"/>
              <w:bottom w:val="single" w:sz="2" w:space="0" w:color="auto"/>
              <w:right w:val="single" w:sz="2" w:space="0" w:color="auto"/>
            </w:tcBorders>
            <w:vAlign w:val="center"/>
          </w:tcPr>
          <w:p w14:paraId="0FB2C3E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1,255,191.85</w:t>
            </w:r>
          </w:p>
        </w:tc>
        <w:tc>
          <w:tcPr>
            <w:tcW w:w="3213" w:type="dxa"/>
            <w:tcBorders>
              <w:top w:val="single" w:sz="2" w:space="0" w:color="auto"/>
              <w:left w:val="single" w:sz="2" w:space="0" w:color="auto"/>
              <w:bottom w:val="single" w:sz="2" w:space="0" w:color="auto"/>
              <w:right w:val="single" w:sz="2" w:space="0" w:color="auto"/>
            </w:tcBorders>
            <w:vAlign w:val="center"/>
          </w:tcPr>
          <w:p w14:paraId="5813388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714,582.80</w:t>
            </w:r>
          </w:p>
        </w:tc>
      </w:tr>
      <w:tr w:rsidR="00F73301" w:rsidRPr="00F73301" w14:paraId="6E972C9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42281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Stamp duty</w:t>
            </w:r>
          </w:p>
        </w:tc>
        <w:tc>
          <w:tcPr>
            <w:tcW w:w="3213" w:type="dxa"/>
            <w:tcBorders>
              <w:top w:val="single" w:sz="2" w:space="0" w:color="auto"/>
              <w:left w:val="single" w:sz="2" w:space="0" w:color="auto"/>
              <w:bottom w:val="single" w:sz="2" w:space="0" w:color="auto"/>
              <w:right w:val="single" w:sz="2" w:space="0" w:color="auto"/>
            </w:tcBorders>
            <w:vAlign w:val="center"/>
          </w:tcPr>
          <w:p w14:paraId="1007CE1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2,342,692.02</w:t>
            </w:r>
          </w:p>
        </w:tc>
        <w:tc>
          <w:tcPr>
            <w:tcW w:w="3213" w:type="dxa"/>
            <w:tcBorders>
              <w:top w:val="single" w:sz="2" w:space="0" w:color="auto"/>
              <w:left w:val="single" w:sz="2" w:space="0" w:color="auto"/>
              <w:bottom w:val="single" w:sz="2" w:space="0" w:color="auto"/>
              <w:right w:val="single" w:sz="2" w:space="0" w:color="auto"/>
            </w:tcBorders>
            <w:vAlign w:val="center"/>
          </w:tcPr>
          <w:p w14:paraId="167A583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991,286.85</w:t>
            </w:r>
          </w:p>
        </w:tc>
      </w:tr>
      <w:tr w:rsidR="00F73301" w:rsidRPr="00F73301" w14:paraId="121598A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8968B4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Local education surcharge</w:t>
            </w:r>
          </w:p>
        </w:tc>
        <w:tc>
          <w:tcPr>
            <w:tcW w:w="3213" w:type="dxa"/>
            <w:tcBorders>
              <w:top w:val="single" w:sz="2" w:space="0" w:color="auto"/>
              <w:left w:val="single" w:sz="2" w:space="0" w:color="auto"/>
              <w:bottom w:val="single" w:sz="2" w:space="0" w:color="auto"/>
              <w:right w:val="single" w:sz="2" w:space="0" w:color="auto"/>
            </w:tcBorders>
            <w:vAlign w:val="center"/>
          </w:tcPr>
          <w:p w14:paraId="026AD8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2,139,953.67</w:t>
            </w:r>
          </w:p>
        </w:tc>
        <w:tc>
          <w:tcPr>
            <w:tcW w:w="3213" w:type="dxa"/>
            <w:tcBorders>
              <w:top w:val="single" w:sz="2" w:space="0" w:color="auto"/>
              <w:left w:val="single" w:sz="2" w:space="0" w:color="auto"/>
              <w:bottom w:val="single" w:sz="2" w:space="0" w:color="auto"/>
              <w:right w:val="single" w:sz="2" w:space="0" w:color="auto"/>
            </w:tcBorders>
            <w:vAlign w:val="center"/>
          </w:tcPr>
          <w:p w14:paraId="5810A84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60,723.24</w:t>
            </w:r>
          </w:p>
        </w:tc>
      </w:tr>
      <w:tr w:rsidR="00F73301" w:rsidRPr="00F73301" w14:paraId="546D487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18CE5E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Environmental protection tax</w:t>
            </w:r>
          </w:p>
        </w:tc>
        <w:tc>
          <w:tcPr>
            <w:tcW w:w="3213" w:type="dxa"/>
            <w:tcBorders>
              <w:top w:val="single" w:sz="2" w:space="0" w:color="auto"/>
              <w:left w:val="single" w:sz="2" w:space="0" w:color="auto"/>
              <w:bottom w:val="single" w:sz="2" w:space="0" w:color="auto"/>
              <w:right w:val="single" w:sz="2" w:space="0" w:color="auto"/>
            </w:tcBorders>
            <w:vAlign w:val="center"/>
          </w:tcPr>
          <w:p w14:paraId="755C961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10,388.49</w:t>
            </w:r>
          </w:p>
        </w:tc>
        <w:tc>
          <w:tcPr>
            <w:tcW w:w="3213" w:type="dxa"/>
            <w:tcBorders>
              <w:top w:val="single" w:sz="2" w:space="0" w:color="auto"/>
              <w:left w:val="single" w:sz="2" w:space="0" w:color="auto"/>
              <w:bottom w:val="single" w:sz="2" w:space="0" w:color="auto"/>
              <w:right w:val="single" w:sz="2" w:space="0" w:color="auto"/>
            </w:tcBorders>
            <w:vAlign w:val="center"/>
          </w:tcPr>
          <w:p w14:paraId="7BF72C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224,278.94</w:t>
            </w:r>
          </w:p>
        </w:tc>
      </w:tr>
      <w:tr w:rsidR="00F73301" w:rsidRPr="00F73301" w14:paraId="0285644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F82F4D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Local water conservancy fund</w:t>
            </w:r>
          </w:p>
        </w:tc>
        <w:tc>
          <w:tcPr>
            <w:tcW w:w="3213" w:type="dxa"/>
            <w:tcBorders>
              <w:top w:val="single" w:sz="2" w:space="0" w:color="auto"/>
              <w:left w:val="single" w:sz="2" w:space="0" w:color="auto"/>
              <w:bottom w:val="single" w:sz="2" w:space="0" w:color="auto"/>
              <w:right w:val="single" w:sz="2" w:space="0" w:color="auto"/>
            </w:tcBorders>
            <w:vAlign w:val="center"/>
          </w:tcPr>
          <w:p w14:paraId="5DF7F1F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31,243.37</w:t>
            </w:r>
          </w:p>
        </w:tc>
        <w:tc>
          <w:tcPr>
            <w:tcW w:w="3213" w:type="dxa"/>
            <w:tcBorders>
              <w:top w:val="single" w:sz="2" w:space="0" w:color="auto"/>
              <w:left w:val="single" w:sz="2" w:space="0" w:color="auto"/>
              <w:bottom w:val="single" w:sz="2" w:space="0" w:color="auto"/>
              <w:right w:val="single" w:sz="2" w:space="0" w:color="auto"/>
            </w:tcBorders>
            <w:vAlign w:val="center"/>
          </w:tcPr>
          <w:p w14:paraId="0C0A4F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11,663.45</w:t>
            </w:r>
          </w:p>
        </w:tc>
      </w:tr>
      <w:tr w:rsidR="00F73301" w:rsidRPr="00F73301" w14:paraId="1AF220E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65CBB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264615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19,528,614.05</w:t>
            </w:r>
          </w:p>
        </w:tc>
        <w:tc>
          <w:tcPr>
            <w:tcW w:w="3213" w:type="dxa"/>
            <w:tcBorders>
              <w:top w:val="single" w:sz="2" w:space="0" w:color="auto"/>
              <w:left w:val="single" w:sz="2" w:space="0" w:color="auto"/>
              <w:bottom w:val="single" w:sz="2" w:space="0" w:color="auto"/>
              <w:right w:val="single" w:sz="2" w:space="0" w:color="auto"/>
            </w:tcBorders>
            <w:vAlign w:val="center"/>
          </w:tcPr>
          <w:p w14:paraId="69C08D1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5,578,061.95</w:t>
            </w:r>
          </w:p>
        </w:tc>
      </w:tr>
    </w:tbl>
    <w:p w14:paraId="55E4D419"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46A993EE"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729CEAEC"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55" w:name="_Toc989143"/>
      <w:r w:rsidRPr="00F73301">
        <w:rPr>
          <w:rFonts w:ascii="Times New Roman" w:eastAsia="宋体" w:hAnsi="Times New Roman" w:cs="Times New Roman"/>
          <w:b/>
          <w:bCs/>
          <w:sz w:val="24"/>
          <w:szCs w:val="24"/>
        </w:rPr>
        <w:t>40. Selling expenses</w:t>
      </w:r>
      <w:bookmarkEnd w:id="255"/>
    </w:p>
    <w:p w14:paraId="08ED5B4B"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4A1158F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D413F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0E4AF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5E989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23469FE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68EA95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Employee benefits</w:t>
            </w:r>
          </w:p>
        </w:tc>
        <w:tc>
          <w:tcPr>
            <w:tcW w:w="3213" w:type="dxa"/>
            <w:tcBorders>
              <w:top w:val="single" w:sz="2" w:space="0" w:color="auto"/>
              <w:left w:val="single" w:sz="2" w:space="0" w:color="auto"/>
              <w:bottom w:val="single" w:sz="2" w:space="0" w:color="auto"/>
              <w:right w:val="single" w:sz="2" w:space="0" w:color="auto"/>
            </w:tcBorders>
            <w:vAlign w:val="center"/>
          </w:tcPr>
          <w:p w14:paraId="7A0420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78,791,198.44</w:t>
            </w:r>
          </w:p>
        </w:tc>
        <w:tc>
          <w:tcPr>
            <w:tcW w:w="3213" w:type="dxa"/>
            <w:tcBorders>
              <w:top w:val="single" w:sz="2" w:space="0" w:color="auto"/>
              <w:left w:val="single" w:sz="2" w:space="0" w:color="auto"/>
              <w:bottom w:val="single" w:sz="2" w:space="0" w:color="auto"/>
              <w:right w:val="single" w:sz="2" w:space="0" w:color="auto"/>
            </w:tcBorders>
            <w:vAlign w:val="center"/>
          </w:tcPr>
          <w:p w14:paraId="0B4CFB0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62,208,983.12</w:t>
            </w:r>
          </w:p>
        </w:tc>
      </w:tr>
      <w:tr w:rsidR="00F73301" w:rsidRPr="00F73301" w14:paraId="7B100F1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770ED0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Office expenses</w:t>
            </w:r>
          </w:p>
        </w:tc>
        <w:tc>
          <w:tcPr>
            <w:tcW w:w="3213" w:type="dxa"/>
            <w:tcBorders>
              <w:top w:val="single" w:sz="2" w:space="0" w:color="auto"/>
              <w:left w:val="single" w:sz="2" w:space="0" w:color="auto"/>
              <w:bottom w:val="single" w:sz="2" w:space="0" w:color="auto"/>
              <w:right w:val="single" w:sz="2" w:space="0" w:color="auto"/>
            </w:tcBorders>
            <w:vAlign w:val="center"/>
          </w:tcPr>
          <w:p w14:paraId="72431C4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11,911,339.18</w:t>
            </w:r>
          </w:p>
        </w:tc>
        <w:tc>
          <w:tcPr>
            <w:tcW w:w="3213" w:type="dxa"/>
            <w:tcBorders>
              <w:top w:val="single" w:sz="2" w:space="0" w:color="auto"/>
              <w:left w:val="single" w:sz="2" w:space="0" w:color="auto"/>
              <w:bottom w:val="single" w:sz="2" w:space="0" w:color="auto"/>
              <w:right w:val="single" w:sz="2" w:space="0" w:color="auto"/>
            </w:tcBorders>
            <w:vAlign w:val="center"/>
          </w:tcPr>
          <w:p w14:paraId="139FF89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16,900,890.34</w:t>
            </w:r>
          </w:p>
        </w:tc>
      </w:tr>
      <w:tr w:rsidR="00F73301" w:rsidRPr="00F73301" w14:paraId="086937D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220EB6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Business traveling expenses</w:t>
            </w:r>
          </w:p>
        </w:tc>
        <w:tc>
          <w:tcPr>
            <w:tcW w:w="3213" w:type="dxa"/>
            <w:tcBorders>
              <w:top w:val="single" w:sz="2" w:space="0" w:color="auto"/>
              <w:left w:val="single" w:sz="2" w:space="0" w:color="auto"/>
              <w:bottom w:val="single" w:sz="2" w:space="0" w:color="auto"/>
              <w:right w:val="single" w:sz="2" w:space="0" w:color="auto"/>
            </w:tcBorders>
            <w:vAlign w:val="center"/>
          </w:tcPr>
          <w:p w14:paraId="33F4CCC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6,010,476.02</w:t>
            </w:r>
          </w:p>
        </w:tc>
        <w:tc>
          <w:tcPr>
            <w:tcW w:w="3213" w:type="dxa"/>
            <w:tcBorders>
              <w:top w:val="single" w:sz="2" w:space="0" w:color="auto"/>
              <w:left w:val="single" w:sz="2" w:space="0" w:color="auto"/>
              <w:bottom w:val="single" w:sz="2" w:space="0" w:color="auto"/>
              <w:right w:val="single" w:sz="2" w:space="0" w:color="auto"/>
            </w:tcBorders>
            <w:vAlign w:val="center"/>
          </w:tcPr>
          <w:p w14:paraId="5160C4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1,751,559.01</w:t>
            </w:r>
          </w:p>
        </w:tc>
      </w:tr>
      <w:tr w:rsidR="00F73301" w:rsidRPr="00F73301" w14:paraId="361071B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7902C7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Business entertainment expenses</w:t>
            </w:r>
          </w:p>
        </w:tc>
        <w:tc>
          <w:tcPr>
            <w:tcW w:w="3213" w:type="dxa"/>
            <w:tcBorders>
              <w:top w:val="single" w:sz="2" w:space="0" w:color="auto"/>
              <w:left w:val="single" w:sz="2" w:space="0" w:color="auto"/>
              <w:bottom w:val="single" w:sz="2" w:space="0" w:color="auto"/>
              <w:right w:val="single" w:sz="2" w:space="0" w:color="auto"/>
            </w:tcBorders>
            <w:vAlign w:val="center"/>
          </w:tcPr>
          <w:p w14:paraId="01079B2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4,416,146.14</w:t>
            </w:r>
          </w:p>
        </w:tc>
        <w:tc>
          <w:tcPr>
            <w:tcW w:w="3213" w:type="dxa"/>
            <w:tcBorders>
              <w:top w:val="single" w:sz="2" w:space="0" w:color="auto"/>
              <w:left w:val="single" w:sz="2" w:space="0" w:color="auto"/>
              <w:bottom w:val="single" w:sz="2" w:space="0" w:color="auto"/>
              <w:right w:val="single" w:sz="2" w:space="0" w:color="auto"/>
            </w:tcBorders>
            <w:vAlign w:val="center"/>
          </w:tcPr>
          <w:p w14:paraId="1BD784D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2,265,388.39</w:t>
            </w:r>
          </w:p>
        </w:tc>
      </w:tr>
      <w:tr w:rsidR="00F73301" w:rsidRPr="00F73301" w14:paraId="5BA62E1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FE6781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Business publicity fees</w:t>
            </w:r>
          </w:p>
        </w:tc>
        <w:tc>
          <w:tcPr>
            <w:tcW w:w="3213" w:type="dxa"/>
            <w:tcBorders>
              <w:top w:val="single" w:sz="2" w:space="0" w:color="auto"/>
              <w:left w:val="single" w:sz="2" w:space="0" w:color="auto"/>
              <w:bottom w:val="single" w:sz="2" w:space="0" w:color="auto"/>
              <w:right w:val="single" w:sz="2" w:space="0" w:color="auto"/>
            </w:tcBorders>
            <w:vAlign w:val="center"/>
          </w:tcPr>
          <w:p w14:paraId="379AECC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2,769,456.88</w:t>
            </w:r>
          </w:p>
        </w:tc>
        <w:tc>
          <w:tcPr>
            <w:tcW w:w="3213" w:type="dxa"/>
            <w:tcBorders>
              <w:top w:val="single" w:sz="2" w:space="0" w:color="auto"/>
              <w:left w:val="single" w:sz="2" w:space="0" w:color="auto"/>
              <w:bottom w:val="single" w:sz="2" w:space="0" w:color="auto"/>
              <w:right w:val="single" w:sz="2" w:space="0" w:color="auto"/>
            </w:tcBorders>
            <w:vAlign w:val="center"/>
          </w:tcPr>
          <w:p w14:paraId="4D79FB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726,494.57</w:t>
            </w:r>
          </w:p>
        </w:tc>
      </w:tr>
      <w:tr w:rsidR="00F73301" w:rsidRPr="00F73301" w14:paraId="3073528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141FC8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Equity-settled share-based payments</w:t>
            </w:r>
          </w:p>
        </w:tc>
        <w:tc>
          <w:tcPr>
            <w:tcW w:w="3213" w:type="dxa"/>
            <w:tcBorders>
              <w:top w:val="single" w:sz="2" w:space="0" w:color="auto"/>
              <w:left w:val="single" w:sz="2" w:space="0" w:color="auto"/>
              <w:bottom w:val="single" w:sz="2" w:space="0" w:color="auto"/>
              <w:right w:val="single" w:sz="2" w:space="0" w:color="auto"/>
            </w:tcBorders>
            <w:vAlign w:val="center"/>
          </w:tcPr>
          <w:p w14:paraId="2B824D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3,491,005.00</w:t>
            </w:r>
          </w:p>
        </w:tc>
        <w:tc>
          <w:tcPr>
            <w:tcW w:w="3213" w:type="dxa"/>
            <w:tcBorders>
              <w:top w:val="single" w:sz="2" w:space="0" w:color="auto"/>
              <w:left w:val="single" w:sz="2" w:space="0" w:color="auto"/>
              <w:bottom w:val="single" w:sz="2" w:space="0" w:color="auto"/>
              <w:right w:val="single" w:sz="2" w:space="0" w:color="auto"/>
            </w:tcBorders>
            <w:vAlign w:val="center"/>
          </w:tcPr>
          <w:p w14:paraId="40E1C5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6,251,349.93</w:t>
            </w:r>
          </w:p>
        </w:tc>
      </w:tr>
      <w:tr w:rsidR="00F73301" w:rsidRPr="00F73301" w14:paraId="2B4A020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33172F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3213" w:type="dxa"/>
            <w:tcBorders>
              <w:top w:val="single" w:sz="2" w:space="0" w:color="auto"/>
              <w:left w:val="single" w:sz="2" w:space="0" w:color="auto"/>
              <w:bottom w:val="single" w:sz="2" w:space="0" w:color="auto"/>
              <w:right w:val="single" w:sz="2" w:space="0" w:color="auto"/>
            </w:tcBorders>
            <w:vAlign w:val="center"/>
          </w:tcPr>
          <w:p w14:paraId="2B15100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2,634,739.49</w:t>
            </w:r>
          </w:p>
        </w:tc>
        <w:tc>
          <w:tcPr>
            <w:tcW w:w="3213" w:type="dxa"/>
            <w:tcBorders>
              <w:top w:val="single" w:sz="2" w:space="0" w:color="auto"/>
              <w:left w:val="single" w:sz="2" w:space="0" w:color="auto"/>
              <w:bottom w:val="single" w:sz="2" w:space="0" w:color="auto"/>
              <w:right w:val="single" w:sz="2" w:space="0" w:color="auto"/>
            </w:tcBorders>
            <w:vAlign w:val="center"/>
          </w:tcPr>
          <w:p w14:paraId="6213C3C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3,925,012.24</w:t>
            </w:r>
          </w:p>
        </w:tc>
      </w:tr>
      <w:tr w:rsidR="00F73301" w:rsidRPr="00F73301" w14:paraId="7BA282A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3CBFD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2298EA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110,024,361.15</w:t>
            </w:r>
          </w:p>
        </w:tc>
        <w:tc>
          <w:tcPr>
            <w:tcW w:w="3213" w:type="dxa"/>
            <w:tcBorders>
              <w:top w:val="single" w:sz="2" w:space="0" w:color="auto"/>
              <w:left w:val="single" w:sz="2" w:space="0" w:color="auto"/>
              <w:bottom w:val="single" w:sz="2" w:space="0" w:color="auto"/>
              <w:right w:val="single" w:sz="2" w:space="0" w:color="auto"/>
            </w:tcBorders>
            <w:vAlign w:val="center"/>
          </w:tcPr>
          <w:p w14:paraId="5F7A8D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94,029,677.60</w:t>
            </w:r>
          </w:p>
        </w:tc>
      </w:tr>
    </w:tbl>
    <w:p w14:paraId="247C03B0"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44A62C83"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606728F"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56" w:name="_Toc989144"/>
      <w:r w:rsidRPr="00F73301">
        <w:rPr>
          <w:rFonts w:ascii="Times New Roman" w:eastAsia="宋体" w:hAnsi="Times New Roman" w:cs="Times New Roman"/>
          <w:b/>
          <w:bCs/>
          <w:sz w:val="24"/>
          <w:szCs w:val="24"/>
        </w:rPr>
        <w:t>41. Administrative expenses</w:t>
      </w:r>
      <w:bookmarkEnd w:id="256"/>
    </w:p>
    <w:p w14:paraId="3065B10A"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9DA50E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45A55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E5239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92628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7D9B0A7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75F47F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Employee benefits</w:t>
            </w:r>
          </w:p>
        </w:tc>
        <w:tc>
          <w:tcPr>
            <w:tcW w:w="3213" w:type="dxa"/>
            <w:tcBorders>
              <w:top w:val="single" w:sz="2" w:space="0" w:color="auto"/>
              <w:left w:val="single" w:sz="2" w:space="0" w:color="auto"/>
              <w:bottom w:val="single" w:sz="2" w:space="0" w:color="auto"/>
              <w:right w:val="single" w:sz="2" w:space="0" w:color="auto"/>
            </w:tcBorders>
            <w:vAlign w:val="center"/>
          </w:tcPr>
          <w:p w14:paraId="0D58036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66,357,952.81</w:t>
            </w:r>
          </w:p>
        </w:tc>
        <w:tc>
          <w:tcPr>
            <w:tcW w:w="3213" w:type="dxa"/>
            <w:tcBorders>
              <w:top w:val="single" w:sz="2" w:space="0" w:color="auto"/>
              <w:left w:val="single" w:sz="2" w:space="0" w:color="auto"/>
              <w:bottom w:val="single" w:sz="2" w:space="0" w:color="auto"/>
              <w:right w:val="single" w:sz="2" w:space="0" w:color="auto"/>
            </w:tcBorders>
            <w:vAlign w:val="center"/>
          </w:tcPr>
          <w:p w14:paraId="048857C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66,200,499.38</w:t>
            </w:r>
          </w:p>
        </w:tc>
      </w:tr>
      <w:tr w:rsidR="00F73301" w:rsidRPr="00F73301" w14:paraId="47A5CA1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FEE178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Depreciation and amortization</w:t>
            </w:r>
          </w:p>
        </w:tc>
        <w:tc>
          <w:tcPr>
            <w:tcW w:w="3213" w:type="dxa"/>
            <w:tcBorders>
              <w:top w:val="single" w:sz="2" w:space="0" w:color="auto"/>
              <w:left w:val="single" w:sz="2" w:space="0" w:color="auto"/>
              <w:bottom w:val="single" w:sz="2" w:space="0" w:color="auto"/>
              <w:right w:val="single" w:sz="2" w:space="0" w:color="auto"/>
            </w:tcBorders>
            <w:vAlign w:val="center"/>
          </w:tcPr>
          <w:p w14:paraId="2C0A7AA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28,649,694.35</w:t>
            </w:r>
          </w:p>
        </w:tc>
        <w:tc>
          <w:tcPr>
            <w:tcW w:w="3213" w:type="dxa"/>
            <w:tcBorders>
              <w:top w:val="single" w:sz="2" w:space="0" w:color="auto"/>
              <w:left w:val="single" w:sz="2" w:space="0" w:color="auto"/>
              <w:bottom w:val="single" w:sz="2" w:space="0" w:color="auto"/>
              <w:right w:val="single" w:sz="2" w:space="0" w:color="auto"/>
            </w:tcBorders>
            <w:vAlign w:val="center"/>
          </w:tcPr>
          <w:p w14:paraId="290F36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17,523,848.28</w:t>
            </w:r>
          </w:p>
        </w:tc>
      </w:tr>
      <w:tr w:rsidR="00F73301" w:rsidRPr="00F73301" w14:paraId="74A0BB2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E464CD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Intermediary service fees</w:t>
            </w:r>
          </w:p>
        </w:tc>
        <w:tc>
          <w:tcPr>
            <w:tcW w:w="3213" w:type="dxa"/>
            <w:tcBorders>
              <w:top w:val="single" w:sz="2" w:space="0" w:color="auto"/>
              <w:left w:val="single" w:sz="2" w:space="0" w:color="auto"/>
              <w:bottom w:val="single" w:sz="2" w:space="0" w:color="auto"/>
              <w:right w:val="single" w:sz="2" w:space="0" w:color="auto"/>
            </w:tcBorders>
            <w:vAlign w:val="center"/>
          </w:tcPr>
          <w:p w14:paraId="29FF8DD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4,763,265.21</w:t>
            </w:r>
          </w:p>
        </w:tc>
        <w:tc>
          <w:tcPr>
            <w:tcW w:w="3213" w:type="dxa"/>
            <w:tcBorders>
              <w:top w:val="single" w:sz="2" w:space="0" w:color="auto"/>
              <w:left w:val="single" w:sz="2" w:space="0" w:color="auto"/>
              <w:bottom w:val="single" w:sz="2" w:space="0" w:color="auto"/>
              <w:right w:val="single" w:sz="2" w:space="0" w:color="auto"/>
            </w:tcBorders>
            <w:vAlign w:val="center"/>
          </w:tcPr>
          <w:p w14:paraId="4BF0EC2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4,764,888.46</w:t>
            </w:r>
          </w:p>
        </w:tc>
      </w:tr>
      <w:tr w:rsidR="00F73301" w:rsidRPr="00F73301" w14:paraId="7FF3726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539CF3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Office expenses</w:t>
            </w:r>
          </w:p>
        </w:tc>
        <w:tc>
          <w:tcPr>
            <w:tcW w:w="3213" w:type="dxa"/>
            <w:tcBorders>
              <w:top w:val="single" w:sz="2" w:space="0" w:color="auto"/>
              <w:left w:val="single" w:sz="2" w:space="0" w:color="auto"/>
              <w:bottom w:val="single" w:sz="2" w:space="0" w:color="auto"/>
              <w:right w:val="single" w:sz="2" w:space="0" w:color="auto"/>
            </w:tcBorders>
            <w:vAlign w:val="center"/>
          </w:tcPr>
          <w:p w14:paraId="25CE71D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7,715,339.27</w:t>
            </w:r>
          </w:p>
        </w:tc>
        <w:tc>
          <w:tcPr>
            <w:tcW w:w="3213" w:type="dxa"/>
            <w:tcBorders>
              <w:top w:val="single" w:sz="2" w:space="0" w:color="auto"/>
              <w:left w:val="single" w:sz="2" w:space="0" w:color="auto"/>
              <w:bottom w:val="single" w:sz="2" w:space="0" w:color="auto"/>
              <w:right w:val="single" w:sz="2" w:space="0" w:color="auto"/>
            </w:tcBorders>
            <w:vAlign w:val="center"/>
          </w:tcPr>
          <w:p w14:paraId="7BF1A2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7,024,679.83</w:t>
            </w:r>
          </w:p>
        </w:tc>
      </w:tr>
      <w:tr w:rsidR="00F73301" w:rsidRPr="00F73301" w14:paraId="17CAF18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978769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Business entertainment expenses</w:t>
            </w:r>
          </w:p>
        </w:tc>
        <w:tc>
          <w:tcPr>
            <w:tcW w:w="3213" w:type="dxa"/>
            <w:tcBorders>
              <w:top w:val="single" w:sz="2" w:space="0" w:color="auto"/>
              <w:left w:val="single" w:sz="2" w:space="0" w:color="auto"/>
              <w:bottom w:val="single" w:sz="2" w:space="0" w:color="auto"/>
              <w:right w:val="single" w:sz="2" w:space="0" w:color="auto"/>
            </w:tcBorders>
            <w:vAlign w:val="center"/>
          </w:tcPr>
          <w:p w14:paraId="5D6965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1,188,478.18</w:t>
            </w:r>
          </w:p>
        </w:tc>
        <w:tc>
          <w:tcPr>
            <w:tcW w:w="3213" w:type="dxa"/>
            <w:tcBorders>
              <w:top w:val="single" w:sz="2" w:space="0" w:color="auto"/>
              <w:left w:val="single" w:sz="2" w:space="0" w:color="auto"/>
              <w:bottom w:val="single" w:sz="2" w:space="0" w:color="auto"/>
              <w:right w:val="single" w:sz="2" w:space="0" w:color="auto"/>
            </w:tcBorders>
            <w:vAlign w:val="center"/>
          </w:tcPr>
          <w:p w14:paraId="2F66DA2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1,875,201.05</w:t>
            </w:r>
          </w:p>
        </w:tc>
      </w:tr>
      <w:tr w:rsidR="00F73301" w:rsidRPr="00F73301" w14:paraId="7EA3DC4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FA114E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Business traveling expenses</w:t>
            </w:r>
          </w:p>
        </w:tc>
        <w:tc>
          <w:tcPr>
            <w:tcW w:w="3213" w:type="dxa"/>
            <w:tcBorders>
              <w:top w:val="single" w:sz="2" w:space="0" w:color="auto"/>
              <w:left w:val="single" w:sz="2" w:space="0" w:color="auto"/>
              <w:bottom w:val="single" w:sz="2" w:space="0" w:color="auto"/>
              <w:right w:val="single" w:sz="2" w:space="0" w:color="auto"/>
            </w:tcBorders>
            <w:vAlign w:val="center"/>
          </w:tcPr>
          <w:p w14:paraId="41AB864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1,112,363.09</w:t>
            </w:r>
          </w:p>
        </w:tc>
        <w:tc>
          <w:tcPr>
            <w:tcW w:w="3213" w:type="dxa"/>
            <w:tcBorders>
              <w:top w:val="single" w:sz="2" w:space="0" w:color="auto"/>
              <w:left w:val="single" w:sz="2" w:space="0" w:color="auto"/>
              <w:bottom w:val="single" w:sz="2" w:space="0" w:color="auto"/>
              <w:right w:val="single" w:sz="2" w:space="0" w:color="auto"/>
            </w:tcBorders>
            <w:vAlign w:val="center"/>
          </w:tcPr>
          <w:p w14:paraId="6C4A6F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370,125.51</w:t>
            </w:r>
          </w:p>
        </w:tc>
      </w:tr>
      <w:tr w:rsidR="00F73301" w:rsidRPr="00F73301" w14:paraId="6BA5A9D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F45C5B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Equity-settled share-based payments</w:t>
            </w:r>
          </w:p>
        </w:tc>
        <w:tc>
          <w:tcPr>
            <w:tcW w:w="3213" w:type="dxa"/>
            <w:tcBorders>
              <w:top w:val="single" w:sz="2" w:space="0" w:color="auto"/>
              <w:left w:val="single" w:sz="2" w:space="0" w:color="auto"/>
              <w:bottom w:val="single" w:sz="2" w:space="0" w:color="auto"/>
              <w:right w:val="single" w:sz="2" w:space="0" w:color="auto"/>
            </w:tcBorders>
            <w:vAlign w:val="center"/>
          </w:tcPr>
          <w:p w14:paraId="62BDD89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10,081,102.50</w:t>
            </w:r>
          </w:p>
        </w:tc>
        <w:tc>
          <w:tcPr>
            <w:tcW w:w="3213" w:type="dxa"/>
            <w:tcBorders>
              <w:top w:val="single" w:sz="2" w:space="0" w:color="auto"/>
              <w:left w:val="single" w:sz="2" w:space="0" w:color="auto"/>
              <w:bottom w:val="single" w:sz="2" w:space="0" w:color="auto"/>
              <w:right w:val="single" w:sz="2" w:space="0" w:color="auto"/>
            </w:tcBorders>
            <w:vAlign w:val="center"/>
          </w:tcPr>
          <w:p w14:paraId="2829EE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5,720,574.93</w:t>
            </w:r>
          </w:p>
        </w:tc>
      </w:tr>
      <w:tr w:rsidR="00F73301" w:rsidRPr="00F73301" w14:paraId="20174EE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D72B8B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3213" w:type="dxa"/>
            <w:tcBorders>
              <w:top w:val="single" w:sz="2" w:space="0" w:color="auto"/>
              <w:left w:val="single" w:sz="2" w:space="0" w:color="auto"/>
              <w:bottom w:val="single" w:sz="2" w:space="0" w:color="auto"/>
              <w:right w:val="single" w:sz="2" w:space="0" w:color="auto"/>
            </w:tcBorders>
            <w:vAlign w:val="center"/>
          </w:tcPr>
          <w:p w14:paraId="4524085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6,329,244.30</w:t>
            </w:r>
          </w:p>
        </w:tc>
        <w:tc>
          <w:tcPr>
            <w:tcW w:w="3213" w:type="dxa"/>
            <w:tcBorders>
              <w:top w:val="single" w:sz="2" w:space="0" w:color="auto"/>
              <w:left w:val="single" w:sz="2" w:space="0" w:color="auto"/>
              <w:bottom w:val="single" w:sz="2" w:space="0" w:color="auto"/>
              <w:right w:val="single" w:sz="2" w:space="0" w:color="auto"/>
            </w:tcBorders>
            <w:vAlign w:val="center"/>
          </w:tcPr>
          <w:p w14:paraId="1260A14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7,374,478.23</w:t>
            </w:r>
          </w:p>
        </w:tc>
      </w:tr>
      <w:tr w:rsidR="00F73301" w:rsidRPr="00F73301" w14:paraId="76F6E13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3A92F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1723E2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126,197,439.71</w:t>
            </w:r>
          </w:p>
        </w:tc>
        <w:tc>
          <w:tcPr>
            <w:tcW w:w="3213" w:type="dxa"/>
            <w:tcBorders>
              <w:top w:val="single" w:sz="2" w:space="0" w:color="auto"/>
              <w:left w:val="single" w:sz="2" w:space="0" w:color="auto"/>
              <w:bottom w:val="single" w:sz="2" w:space="0" w:color="auto"/>
              <w:right w:val="single" w:sz="2" w:space="0" w:color="auto"/>
            </w:tcBorders>
            <w:vAlign w:val="center"/>
          </w:tcPr>
          <w:p w14:paraId="56BBA0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110,854,295.67</w:t>
            </w:r>
          </w:p>
        </w:tc>
      </w:tr>
    </w:tbl>
    <w:p w14:paraId="782AEF6A"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Other notes</w:t>
      </w:r>
    </w:p>
    <w:p w14:paraId="222FC034"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1CED46C3"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57" w:name="_Toc989145"/>
      <w:r w:rsidRPr="00F73301">
        <w:rPr>
          <w:rFonts w:ascii="Times New Roman" w:eastAsia="宋体" w:hAnsi="Times New Roman" w:cs="Times New Roman"/>
          <w:b/>
          <w:bCs/>
          <w:sz w:val="24"/>
          <w:szCs w:val="24"/>
        </w:rPr>
        <w:t>42. R&amp;D expenses</w:t>
      </w:r>
      <w:bookmarkEnd w:id="257"/>
    </w:p>
    <w:p w14:paraId="55C05F5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4D6CFF8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163E6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65FA2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3A44C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36ED34C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9949F1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Employee benefits</w:t>
            </w:r>
          </w:p>
        </w:tc>
        <w:tc>
          <w:tcPr>
            <w:tcW w:w="3213" w:type="dxa"/>
            <w:tcBorders>
              <w:top w:val="single" w:sz="2" w:space="0" w:color="auto"/>
              <w:left w:val="single" w:sz="2" w:space="0" w:color="auto"/>
              <w:bottom w:val="single" w:sz="2" w:space="0" w:color="auto"/>
              <w:right w:val="single" w:sz="2" w:space="0" w:color="auto"/>
            </w:tcBorders>
            <w:vAlign w:val="center"/>
          </w:tcPr>
          <w:p w14:paraId="05A8DB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73,810,062.59</w:t>
            </w:r>
          </w:p>
        </w:tc>
        <w:tc>
          <w:tcPr>
            <w:tcW w:w="3213" w:type="dxa"/>
            <w:tcBorders>
              <w:top w:val="single" w:sz="2" w:space="0" w:color="auto"/>
              <w:left w:val="single" w:sz="2" w:space="0" w:color="auto"/>
              <w:bottom w:val="single" w:sz="2" w:space="0" w:color="auto"/>
              <w:right w:val="single" w:sz="2" w:space="0" w:color="auto"/>
            </w:tcBorders>
            <w:vAlign w:val="center"/>
          </w:tcPr>
          <w:p w14:paraId="3A0041E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63,007,518.15</w:t>
            </w:r>
          </w:p>
        </w:tc>
      </w:tr>
      <w:tr w:rsidR="00F73301" w:rsidRPr="00F73301" w14:paraId="12C389A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50D90E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Direct inputs</w:t>
            </w:r>
          </w:p>
        </w:tc>
        <w:tc>
          <w:tcPr>
            <w:tcW w:w="3213" w:type="dxa"/>
            <w:tcBorders>
              <w:top w:val="single" w:sz="2" w:space="0" w:color="auto"/>
              <w:left w:val="single" w:sz="2" w:space="0" w:color="auto"/>
              <w:bottom w:val="single" w:sz="2" w:space="0" w:color="auto"/>
              <w:right w:val="single" w:sz="2" w:space="0" w:color="auto"/>
            </w:tcBorders>
            <w:vAlign w:val="center"/>
          </w:tcPr>
          <w:p w14:paraId="347DB2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71,837,929.23</w:t>
            </w:r>
          </w:p>
        </w:tc>
        <w:tc>
          <w:tcPr>
            <w:tcW w:w="3213" w:type="dxa"/>
            <w:tcBorders>
              <w:top w:val="single" w:sz="2" w:space="0" w:color="auto"/>
              <w:left w:val="single" w:sz="2" w:space="0" w:color="auto"/>
              <w:bottom w:val="single" w:sz="2" w:space="0" w:color="auto"/>
              <w:right w:val="single" w:sz="2" w:space="0" w:color="auto"/>
            </w:tcBorders>
            <w:vAlign w:val="center"/>
          </w:tcPr>
          <w:p w14:paraId="5535F9F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76,974,794.10</w:t>
            </w:r>
          </w:p>
        </w:tc>
      </w:tr>
      <w:tr w:rsidR="00F73301" w:rsidRPr="00F73301" w14:paraId="5B0DCE1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2843DA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Depreciation and amortization</w:t>
            </w:r>
          </w:p>
        </w:tc>
        <w:tc>
          <w:tcPr>
            <w:tcW w:w="3213" w:type="dxa"/>
            <w:tcBorders>
              <w:top w:val="single" w:sz="2" w:space="0" w:color="auto"/>
              <w:left w:val="single" w:sz="2" w:space="0" w:color="auto"/>
              <w:bottom w:val="single" w:sz="2" w:space="0" w:color="auto"/>
              <w:right w:val="single" w:sz="2" w:space="0" w:color="auto"/>
            </w:tcBorders>
            <w:vAlign w:val="center"/>
          </w:tcPr>
          <w:p w14:paraId="563E312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9,251,602.13</w:t>
            </w:r>
          </w:p>
        </w:tc>
        <w:tc>
          <w:tcPr>
            <w:tcW w:w="3213" w:type="dxa"/>
            <w:tcBorders>
              <w:top w:val="single" w:sz="2" w:space="0" w:color="auto"/>
              <w:left w:val="single" w:sz="2" w:space="0" w:color="auto"/>
              <w:bottom w:val="single" w:sz="2" w:space="0" w:color="auto"/>
              <w:right w:val="single" w:sz="2" w:space="0" w:color="auto"/>
            </w:tcBorders>
            <w:vAlign w:val="center"/>
          </w:tcPr>
          <w:p w14:paraId="2AF02D7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6,850,313.86</w:t>
            </w:r>
          </w:p>
        </w:tc>
      </w:tr>
      <w:tr w:rsidR="00F73301" w:rsidRPr="00F73301" w14:paraId="5E06A7A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BA8B66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Commissioned R&amp;D expenses</w:t>
            </w:r>
          </w:p>
        </w:tc>
        <w:tc>
          <w:tcPr>
            <w:tcW w:w="3213" w:type="dxa"/>
            <w:tcBorders>
              <w:top w:val="single" w:sz="2" w:space="0" w:color="auto"/>
              <w:left w:val="single" w:sz="2" w:space="0" w:color="auto"/>
              <w:bottom w:val="single" w:sz="2" w:space="0" w:color="auto"/>
              <w:right w:val="single" w:sz="2" w:space="0" w:color="auto"/>
            </w:tcBorders>
            <w:vAlign w:val="center"/>
          </w:tcPr>
          <w:p w14:paraId="526A6A0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1,383,665.46</w:t>
            </w:r>
          </w:p>
        </w:tc>
        <w:tc>
          <w:tcPr>
            <w:tcW w:w="3213" w:type="dxa"/>
            <w:tcBorders>
              <w:top w:val="single" w:sz="2" w:space="0" w:color="auto"/>
              <w:left w:val="single" w:sz="2" w:space="0" w:color="auto"/>
              <w:bottom w:val="single" w:sz="2" w:space="0" w:color="auto"/>
              <w:right w:val="single" w:sz="2" w:space="0" w:color="auto"/>
            </w:tcBorders>
            <w:vAlign w:val="center"/>
          </w:tcPr>
          <w:p w14:paraId="57727B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1,107,495.06</w:t>
            </w:r>
          </w:p>
        </w:tc>
      </w:tr>
      <w:tr w:rsidR="00F73301" w:rsidRPr="00F73301" w14:paraId="3366836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05A676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Consultant certification fees</w:t>
            </w:r>
          </w:p>
        </w:tc>
        <w:tc>
          <w:tcPr>
            <w:tcW w:w="3213" w:type="dxa"/>
            <w:tcBorders>
              <w:top w:val="single" w:sz="2" w:space="0" w:color="auto"/>
              <w:left w:val="single" w:sz="2" w:space="0" w:color="auto"/>
              <w:bottom w:val="single" w:sz="2" w:space="0" w:color="auto"/>
              <w:right w:val="single" w:sz="2" w:space="0" w:color="auto"/>
            </w:tcBorders>
            <w:vAlign w:val="center"/>
          </w:tcPr>
          <w:p w14:paraId="673D4A3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170,095.31</w:t>
            </w:r>
          </w:p>
        </w:tc>
        <w:tc>
          <w:tcPr>
            <w:tcW w:w="3213" w:type="dxa"/>
            <w:tcBorders>
              <w:top w:val="single" w:sz="2" w:space="0" w:color="auto"/>
              <w:left w:val="single" w:sz="2" w:space="0" w:color="auto"/>
              <w:bottom w:val="single" w:sz="2" w:space="0" w:color="auto"/>
              <w:right w:val="single" w:sz="2" w:space="0" w:color="auto"/>
            </w:tcBorders>
            <w:vAlign w:val="center"/>
          </w:tcPr>
          <w:p w14:paraId="3555B0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1,521,140.53</w:t>
            </w:r>
          </w:p>
        </w:tc>
      </w:tr>
      <w:tr w:rsidR="00F73301" w:rsidRPr="00F73301" w14:paraId="51E7283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ECC01F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Equity-settled share-based payments</w:t>
            </w:r>
          </w:p>
        </w:tc>
        <w:tc>
          <w:tcPr>
            <w:tcW w:w="3213" w:type="dxa"/>
            <w:tcBorders>
              <w:top w:val="single" w:sz="2" w:space="0" w:color="auto"/>
              <w:left w:val="single" w:sz="2" w:space="0" w:color="auto"/>
              <w:bottom w:val="single" w:sz="2" w:space="0" w:color="auto"/>
              <w:right w:val="single" w:sz="2" w:space="0" w:color="auto"/>
            </w:tcBorders>
            <w:vAlign w:val="center"/>
          </w:tcPr>
          <w:p w14:paraId="73749B7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4,027,710.00</w:t>
            </w:r>
          </w:p>
        </w:tc>
        <w:tc>
          <w:tcPr>
            <w:tcW w:w="3213" w:type="dxa"/>
            <w:tcBorders>
              <w:top w:val="single" w:sz="2" w:space="0" w:color="auto"/>
              <w:left w:val="single" w:sz="2" w:space="0" w:color="auto"/>
              <w:bottom w:val="single" w:sz="2" w:space="0" w:color="auto"/>
              <w:right w:val="single" w:sz="2" w:space="0" w:color="auto"/>
            </w:tcBorders>
            <w:vAlign w:val="center"/>
          </w:tcPr>
          <w:p w14:paraId="5B7C7D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4,529,280.15</w:t>
            </w:r>
          </w:p>
        </w:tc>
      </w:tr>
      <w:tr w:rsidR="00F73301" w:rsidRPr="00F73301" w14:paraId="560CBF9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BFE668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3213" w:type="dxa"/>
            <w:tcBorders>
              <w:top w:val="single" w:sz="2" w:space="0" w:color="auto"/>
              <w:left w:val="single" w:sz="2" w:space="0" w:color="auto"/>
              <w:bottom w:val="single" w:sz="2" w:space="0" w:color="auto"/>
              <w:right w:val="single" w:sz="2" w:space="0" w:color="auto"/>
            </w:tcBorders>
            <w:vAlign w:val="center"/>
          </w:tcPr>
          <w:p w14:paraId="59AF0F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4,856,119.70</w:t>
            </w:r>
          </w:p>
        </w:tc>
        <w:tc>
          <w:tcPr>
            <w:tcW w:w="3213" w:type="dxa"/>
            <w:tcBorders>
              <w:top w:val="single" w:sz="2" w:space="0" w:color="auto"/>
              <w:left w:val="single" w:sz="2" w:space="0" w:color="auto"/>
              <w:bottom w:val="single" w:sz="2" w:space="0" w:color="auto"/>
              <w:right w:val="single" w:sz="2" w:space="0" w:color="auto"/>
            </w:tcBorders>
            <w:vAlign w:val="center"/>
          </w:tcPr>
          <w:p w14:paraId="2C01A4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6,272,897.86</w:t>
            </w:r>
          </w:p>
        </w:tc>
      </w:tr>
      <w:tr w:rsidR="00F73301" w:rsidRPr="00F73301" w14:paraId="464D597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1EB1D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2E9A32F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165,337,184.42</w:t>
            </w:r>
          </w:p>
        </w:tc>
        <w:tc>
          <w:tcPr>
            <w:tcW w:w="3213" w:type="dxa"/>
            <w:tcBorders>
              <w:top w:val="single" w:sz="2" w:space="0" w:color="auto"/>
              <w:left w:val="single" w:sz="2" w:space="0" w:color="auto"/>
              <w:bottom w:val="single" w:sz="2" w:space="0" w:color="auto"/>
              <w:right w:val="single" w:sz="2" w:space="0" w:color="auto"/>
            </w:tcBorders>
            <w:vAlign w:val="center"/>
          </w:tcPr>
          <w:p w14:paraId="6CA30D9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160,263,439.71</w:t>
            </w:r>
          </w:p>
        </w:tc>
      </w:tr>
    </w:tbl>
    <w:p w14:paraId="206DC43C"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E0DE666"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64C9E29"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58" w:name="_Toc989146"/>
      <w:r w:rsidRPr="00F73301">
        <w:rPr>
          <w:rFonts w:ascii="Times New Roman" w:eastAsia="宋体" w:hAnsi="Times New Roman" w:cs="Times New Roman"/>
          <w:b/>
          <w:bCs/>
          <w:sz w:val="24"/>
          <w:szCs w:val="24"/>
        </w:rPr>
        <w:t>43. Financial expenses</w:t>
      </w:r>
      <w:bookmarkEnd w:id="258"/>
    </w:p>
    <w:p w14:paraId="245C7332"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110C8E6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BC190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18456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2A8A6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6889FDA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9BFB7F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3B027C6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17,116,999.97</w:t>
            </w:r>
          </w:p>
        </w:tc>
        <w:tc>
          <w:tcPr>
            <w:tcW w:w="3213" w:type="dxa"/>
            <w:tcBorders>
              <w:top w:val="single" w:sz="2" w:space="0" w:color="auto"/>
              <w:left w:val="single" w:sz="2" w:space="0" w:color="auto"/>
              <w:bottom w:val="single" w:sz="2" w:space="0" w:color="auto"/>
              <w:right w:val="single" w:sz="2" w:space="0" w:color="auto"/>
            </w:tcBorders>
            <w:vAlign w:val="center"/>
          </w:tcPr>
          <w:p w14:paraId="696BD2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7,880,163.33</w:t>
            </w:r>
          </w:p>
        </w:tc>
      </w:tr>
      <w:tr w:rsidR="00F73301" w:rsidRPr="00F73301" w14:paraId="0B7CE81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0D44C3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income</w:t>
            </w:r>
          </w:p>
        </w:tc>
        <w:tc>
          <w:tcPr>
            <w:tcW w:w="3213" w:type="dxa"/>
            <w:tcBorders>
              <w:top w:val="single" w:sz="2" w:space="0" w:color="auto"/>
              <w:left w:val="single" w:sz="2" w:space="0" w:color="auto"/>
              <w:bottom w:val="single" w:sz="2" w:space="0" w:color="auto"/>
              <w:right w:val="single" w:sz="2" w:space="0" w:color="auto"/>
            </w:tcBorders>
            <w:vAlign w:val="center"/>
          </w:tcPr>
          <w:p w14:paraId="3B7D2A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-33,927,810.88</w:t>
            </w:r>
          </w:p>
        </w:tc>
        <w:tc>
          <w:tcPr>
            <w:tcW w:w="3213" w:type="dxa"/>
            <w:tcBorders>
              <w:top w:val="single" w:sz="2" w:space="0" w:color="auto"/>
              <w:left w:val="single" w:sz="2" w:space="0" w:color="auto"/>
              <w:bottom w:val="single" w:sz="2" w:space="0" w:color="auto"/>
              <w:right w:val="single" w:sz="2" w:space="0" w:color="auto"/>
            </w:tcBorders>
            <w:vAlign w:val="center"/>
          </w:tcPr>
          <w:p w14:paraId="4BC624C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-5,963,598.68</w:t>
            </w:r>
          </w:p>
        </w:tc>
      </w:tr>
      <w:tr w:rsidR="00F73301" w:rsidRPr="00F73301" w14:paraId="3A326BA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1E17ED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Gains or losses on foreign exchange</w:t>
            </w:r>
          </w:p>
        </w:tc>
        <w:tc>
          <w:tcPr>
            <w:tcW w:w="3213" w:type="dxa"/>
            <w:tcBorders>
              <w:top w:val="single" w:sz="2" w:space="0" w:color="auto"/>
              <w:left w:val="single" w:sz="2" w:space="0" w:color="auto"/>
              <w:bottom w:val="single" w:sz="2" w:space="0" w:color="auto"/>
              <w:right w:val="single" w:sz="2" w:space="0" w:color="auto"/>
            </w:tcBorders>
            <w:vAlign w:val="center"/>
          </w:tcPr>
          <w:p w14:paraId="52CCFEC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-94,458,141.44</w:t>
            </w:r>
          </w:p>
        </w:tc>
        <w:tc>
          <w:tcPr>
            <w:tcW w:w="3213" w:type="dxa"/>
            <w:tcBorders>
              <w:top w:val="single" w:sz="2" w:space="0" w:color="auto"/>
              <w:left w:val="single" w:sz="2" w:space="0" w:color="auto"/>
              <w:bottom w:val="single" w:sz="2" w:space="0" w:color="auto"/>
              <w:right w:val="single" w:sz="2" w:space="0" w:color="auto"/>
            </w:tcBorders>
            <w:vAlign w:val="center"/>
          </w:tcPr>
          <w:p w14:paraId="1D5753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-17,117,031.53</w:t>
            </w:r>
          </w:p>
        </w:tc>
      </w:tr>
      <w:tr w:rsidR="00F73301" w:rsidRPr="00F73301" w14:paraId="4DDF5EA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B58513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Unrecognized financing expenses</w:t>
            </w:r>
          </w:p>
        </w:tc>
        <w:tc>
          <w:tcPr>
            <w:tcW w:w="3213" w:type="dxa"/>
            <w:tcBorders>
              <w:top w:val="single" w:sz="2" w:space="0" w:color="auto"/>
              <w:left w:val="single" w:sz="2" w:space="0" w:color="auto"/>
              <w:bottom w:val="single" w:sz="2" w:space="0" w:color="auto"/>
              <w:right w:val="single" w:sz="2" w:space="0" w:color="auto"/>
            </w:tcBorders>
            <w:vAlign w:val="center"/>
          </w:tcPr>
          <w:p w14:paraId="46306E4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694,174.35</w:t>
            </w:r>
          </w:p>
        </w:tc>
        <w:tc>
          <w:tcPr>
            <w:tcW w:w="3213" w:type="dxa"/>
            <w:tcBorders>
              <w:top w:val="single" w:sz="2" w:space="0" w:color="auto"/>
              <w:left w:val="single" w:sz="2" w:space="0" w:color="auto"/>
              <w:bottom w:val="single" w:sz="2" w:space="0" w:color="auto"/>
              <w:right w:val="single" w:sz="2" w:space="0" w:color="auto"/>
            </w:tcBorders>
            <w:vAlign w:val="center"/>
          </w:tcPr>
          <w:p w14:paraId="4B0304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166,697.23</w:t>
            </w:r>
          </w:p>
        </w:tc>
      </w:tr>
      <w:tr w:rsidR="00F73301" w:rsidRPr="00F73301" w14:paraId="142EB24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D3F96A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3213" w:type="dxa"/>
            <w:tcBorders>
              <w:top w:val="single" w:sz="2" w:space="0" w:color="auto"/>
              <w:left w:val="single" w:sz="2" w:space="0" w:color="auto"/>
              <w:bottom w:val="single" w:sz="2" w:space="0" w:color="auto"/>
              <w:right w:val="single" w:sz="2" w:space="0" w:color="auto"/>
            </w:tcBorders>
            <w:vAlign w:val="center"/>
          </w:tcPr>
          <w:p w14:paraId="5B8402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1,344,186.63</w:t>
            </w:r>
          </w:p>
        </w:tc>
        <w:tc>
          <w:tcPr>
            <w:tcW w:w="3213" w:type="dxa"/>
            <w:tcBorders>
              <w:top w:val="single" w:sz="2" w:space="0" w:color="auto"/>
              <w:left w:val="single" w:sz="2" w:space="0" w:color="auto"/>
              <w:bottom w:val="single" w:sz="2" w:space="0" w:color="auto"/>
              <w:right w:val="single" w:sz="2" w:space="0" w:color="auto"/>
            </w:tcBorders>
            <w:vAlign w:val="center"/>
          </w:tcPr>
          <w:p w14:paraId="7250789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1,669,786.09</w:t>
            </w:r>
          </w:p>
        </w:tc>
      </w:tr>
      <w:tr w:rsidR="00F73301" w:rsidRPr="00F73301" w14:paraId="17ED743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798EC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78674B5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-109,230,591.37</w:t>
            </w:r>
          </w:p>
        </w:tc>
        <w:tc>
          <w:tcPr>
            <w:tcW w:w="3213" w:type="dxa"/>
            <w:tcBorders>
              <w:top w:val="single" w:sz="2" w:space="0" w:color="auto"/>
              <w:left w:val="single" w:sz="2" w:space="0" w:color="auto"/>
              <w:bottom w:val="single" w:sz="2" w:space="0" w:color="auto"/>
              <w:right w:val="single" w:sz="2" w:space="0" w:color="auto"/>
            </w:tcBorders>
            <w:vAlign w:val="center"/>
          </w:tcPr>
          <w:p w14:paraId="2DC2741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-13,363,983.56</w:t>
            </w:r>
          </w:p>
        </w:tc>
      </w:tr>
    </w:tbl>
    <w:p w14:paraId="0B8F7F14"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B0ADEBC"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B0F9C2E"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59" w:name="_Toc989147"/>
      <w:r w:rsidRPr="00F73301">
        <w:rPr>
          <w:rFonts w:ascii="Times New Roman" w:eastAsia="宋体" w:hAnsi="Times New Roman" w:cs="Times New Roman"/>
          <w:b/>
          <w:bCs/>
          <w:sz w:val="24"/>
          <w:szCs w:val="24"/>
        </w:rPr>
        <w:t>44. Other income</w:t>
      </w:r>
      <w:bookmarkEnd w:id="259"/>
    </w:p>
    <w:p w14:paraId="70E747E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42FF3A3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BF70A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Sources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51351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6EBAC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20404B6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468D0A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Government grants related to income</w:t>
            </w:r>
          </w:p>
        </w:tc>
        <w:tc>
          <w:tcPr>
            <w:tcW w:w="3213" w:type="dxa"/>
            <w:tcBorders>
              <w:top w:val="single" w:sz="2" w:space="0" w:color="auto"/>
              <w:left w:val="single" w:sz="2" w:space="0" w:color="auto"/>
              <w:bottom w:val="single" w:sz="2" w:space="0" w:color="auto"/>
              <w:right w:val="single" w:sz="2" w:space="0" w:color="auto"/>
            </w:tcBorders>
            <w:vAlign w:val="center"/>
          </w:tcPr>
          <w:p w14:paraId="541988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6,566,745.77</w:t>
            </w:r>
          </w:p>
        </w:tc>
        <w:tc>
          <w:tcPr>
            <w:tcW w:w="3213" w:type="dxa"/>
            <w:tcBorders>
              <w:top w:val="single" w:sz="2" w:space="0" w:color="auto"/>
              <w:left w:val="single" w:sz="2" w:space="0" w:color="auto"/>
              <w:bottom w:val="single" w:sz="2" w:space="0" w:color="auto"/>
              <w:right w:val="single" w:sz="2" w:space="0" w:color="auto"/>
            </w:tcBorders>
            <w:vAlign w:val="center"/>
          </w:tcPr>
          <w:p w14:paraId="72A432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3,511,118.88</w:t>
            </w:r>
          </w:p>
        </w:tc>
      </w:tr>
      <w:tr w:rsidR="00F73301" w:rsidRPr="00F73301" w14:paraId="6133379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D99D03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Government grants related to assets</w:t>
            </w:r>
          </w:p>
        </w:tc>
        <w:tc>
          <w:tcPr>
            <w:tcW w:w="3213" w:type="dxa"/>
            <w:tcBorders>
              <w:top w:val="single" w:sz="2" w:space="0" w:color="auto"/>
              <w:left w:val="single" w:sz="2" w:space="0" w:color="auto"/>
              <w:bottom w:val="single" w:sz="2" w:space="0" w:color="auto"/>
              <w:right w:val="single" w:sz="2" w:space="0" w:color="auto"/>
            </w:tcBorders>
            <w:vAlign w:val="center"/>
          </w:tcPr>
          <w:p w14:paraId="70D4A1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15,189,259.77</w:t>
            </w:r>
          </w:p>
        </w:tc>
        <w:tc>
          <w:tcPr>
            <w:tcW w:w="3213" w:type="dxa"/>
            <w:tcBorders>
              <w:top w:val="single" w:sz="2" w:space="0" w:color="auto"/>
              <w:left w:val="single" w:sz="2" w:space="0" w:color="auto"/>
              <w:bottom w:val="single" w:sz="2" w:space="0" w:color="auto"/>
              <w:right w:val="single" w:sz="2" w:space="0" w:color="auto"/>
            </w:tcBorders>
            <w:vAlign w:val="center"/>
          </w:tcPr>
          <w:p w14:paraId="284459B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11,269,726.00</w:t>
            </w:r>
          </w:p>
        </w:tc>
      </w:tr>
      <w:tr w:rsidR="00F73301" w:rsidRPr="00F73301" w14:paraId="1CFE065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4E99CB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112CE2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21,756,005.54</w:t>
            </w:r>
          </w:p>
        </w:tc>
        <w:tc>
          <w:tcPr>
            <w:tcW w:w="3213" w:type="dxa"/>
            <w:tcBorders>
              <w:top w:val="single" w:sz="2" w:space="0" w:color="auto"/>
              <w:left w:val="single" w:sz="2" w:space="0" w:color="auto"/>
              <w:bottom w:val="single" w:sz="2" w:space="0" w:color="auto"/>
              <w:right w:val="single" w:sz="2" w:space="0" w:color="auto"/>
            </w:tcBorders>
            <w:vAlign w:val="center"/>
          </w:tcPr>
          <w:p w14:paraId="01EDDB2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14,780,844.88</w:t>
            </w:r>
          </w:p>
        </w:tc>
      </w:tr>
    </w:tbl>
    <w:p w14:paraId="584726C1"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60" w:name="_Toc989148"/>
      <w:r w:rsidRPr="00F73301">
        <w:rPr>
          <w:rFonts w:ascii="Times New Roman" w:eastAsia="宋体" w:hAnsi="Times New Roman" w:cs="Times New Roman"/>
          <w:b/>
          <w:bCs/>
          <w:sz w:val="24"/>
          <w:szCs w:val="24"/>
        </w:rPr>
        <w:t>45. Investment income</w:t>
      </w:r>
      <w:bookmarkEnd w:id="260"/>
    </w:p>
    <w:p w14:paraId="3CA6AC7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79CD5EA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32BF0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D71DB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9B31A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1D4EE3E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B4742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long-term equity investments under equity method</w:t>
            </w:r>
          </w:p>
        </w:tc>
        <w:tc>
          <w:tcPr>
            <w:tcW w:w="3213" w:type="dxa"/>
            <w:tcBorders>
              <w:top w:val="single" w:sz="2" w:space="0" w:color="auto"/>
              <w:left w:val="single" w:sz="2" w:space="0" w:color="auto"/>
              <w:bottom w:val="single" w:sz="2" w:space="0" w:color="auto"/>
              <w:right w:val="single" w:sz="2" w:space="0" w:color="auto"/>
            </w:tcBorders>
            <w:vAlign w:val="center"/>
          </w:tcPr>
          <w:p w14:paraId="63D9979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27,806,362.44</w:t>
            </w:r>
          </w:p>
        </w:tc>
        <w:tc>
          <w:tcPr>
            <w:tcW w:w="3213" w:type="dxa"/>
            <w:tcBorders>
              <w:top w:val="single" w:sz="2" w:space="0" w:color="auto"/>
              <w:left w:val="single" w:sz="2" w:space="0" w:color="auto"/>
              <w:bottom w:val="single" w:sz="2" w:space="0" w:color="auto"/>
              <w:right w:val="single" w:sz="2" w:space="0" w:color="auto"/>
            </w:tcBorders>
            <w:vAlign w:val="center"/>
          </w:tcPr>
          <w:p w14:paraId="2D9A8E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-349,114.45</w:t>
            </w:r>
          </w:p>
        </w:tc>
      </w:tr>
      <w:tr w:rsidR="00F73301" w:rsidRPr="00F73301" w14:paraId="3A61FD6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8A859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disposal of long-term equity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3B33B5D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8,746,986.58</w:t>
            </w:r>
          </w:p>
        </w:tc>
        <w:tc>
          <w:tcPr>
            <w:tcW w:w="3213" w:type="dxa"/>
            <w:tcBorders>
              <w:top w:val="single" w:sz="2" w:space="0" w:color="auto"/>
              <w:left w:val="single" w:sz="2" w:space="0" w:color="auto"/>
              <w:bottom w:val="single" w:sz="2" w:space="0" w:color="auto"/>
              <w:right w:val="single" w:sz="2" w:space="0" w:color="auto"/>
            </w:tcBorders>
            <w:vAlign w:val="center"/>
          </w:tcPr>
          <w:p w14:paraId="49D2E32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997A27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C4434C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other non-current financial assets</w:t>
            </w:r>
          </w:p>
        </w:tc>
        <w:tc>
          <w:tcPr>
            <w:tcW w:w="3213" w:type="dxa"/>
            <w:tcBorders>
              <w:top w:val="single" w:sz="2" w:space="0" w:color="auto"/>
              <w:left w:val="single" w:sz="2" w:space="0" w:color="auto"/>
              <w:bottom w:val="single" w:sz="2" w:space="0" w:color="auto"/>
              <w:right w:val="single" w:sz="2" w:space="0" w:color="auto"/>
            </w:tcBorders>
            <w:vAlign w:val="center"/>
          </w:tcPr>
          <w:p w14:paraId="3FA8E17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DEC77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3,172,883.12</w:t>
            </w:r>
          </w:p>
        </w:tc>
      </w:tr>
      <w:tr w:rsidR="00F73301" w:rsidRPr="00F73301" w14:paraId="6C36138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93F539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financial products</w:t>
            </w:r>
          </w:p>
        </w:tc>
        <w:tc>
          <w:tcPr>
            <w:tcW w:w="3213" w:type="dxa"/>
            <w:tcBorders>
              <w:top w:val="single" w:sz="2" w:space="0" w:color="auto"/>
              <w:left w:val="single" w:sz="2" w:space="0" w:color="auto"/>
              <w:bottom w:val="single" w:sz="2" w:space="0" w:color="auto"/>
              <w:right w:val="single" w:sz="2" w:space="0" w:color="auto"/>
            </w:tcBorders>
            <w:vAlign w:val="center"/>
          </w:tcPr>
          <w:p w14:paraId="3D779F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1,694,478.14</w:t>
            </w:r>
          </w:p>
        </w:tc>
        <w:tc>
          <w:tcPr>
            <w:tcW w:w="3213" w:type="dxa"/>
            <w:tcBorders>
              <w:top w:val="single" w:sz="2" w:space="0" w:color="auto"/>
              <w:left w:val="single" w:sz="2" w:space="0" w:color="auto"/>
              <w:bottom w:val="single" w:sz="2" w:space="0" w:color="auto"/>
              <w:right w:val="single" w:sz="2" w:space="0" w:color="auto"/>
            </w:tcBorders>
            <w:vAlign w:val="center"/>
          </w:tcPr>
          <w:p w14:paraId="3128259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12,366,335.06</w:t>
            </w:r>
          </w:p>
        </w:tc>
      </w:tr>
      <w:tr w:rsidR="00F73301" w:rsidRPr="00F73301" w14:paraId="4CED874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197F27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income from discounted notes</w:t>
            </w:r>
          </w:p>
        </w:tc>
        <w:tc>
          <w:tcPr>
            <w:tcW w:w="3213" w:type="dxa"/>
            <w:tcBorders>
              <w:top w:val="single" w:sz="2" w:space="0" w:color="auto"/>
              <w:left w:val="single" w:sz="2" w:space="0" w:color="auto"/>
              <w:bottom w:val="single" w:sz="2" w:space="0" w:color="auto"/>
              <w:right w:val="single" w:sz="2" w:space="0" w:color="auto"/>
            </w:tcBorders>
            <w:vAlign w:val="center"/>
          </w:tcPr>
          <w:p w14:paraId="6D3CAF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-2,779,687.55</w:t>
            </w:r>
          </w:p>
        </w:tc>
        <w:tc>
          <w:tcPr>
            <w:tcW w:w="3213" w:type="dxa"/>
            <w:tcBorders>
              <w:top w:val="single" w:sz="2" w:space="0" w:color="auto"/>
              <w:left w:val="single" w:sz="2" w:space="0" w:color="auto"/>
              <w:bottom w:val="single" w:sz="2" w:space="0" w:color="auto"/>
              <w:right w:val="single" w:sz="2" w:space="0" w:color="auto"/>
            </w:tcBorders>
            <w:vAlign w:val="center"/>
          </w:tcPr>
          <w:p w14:paraId="4C17ED0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-2,725,092.18</w:t>
            </w:r>
          </w:p>
        </w:tc>
      </w:tr>
      <w:tr w:rsidR="00F73301" w:rsidRPr="00F73301" w14:paraId="0D87531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F6C79A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forward foreign exchange settlement and others</w:t>
            </w:r>
          </w:p>
        </w:tc>
        <w:tc>
          <w:tcPr>
            <w:tcW w:w="3213" w:type="dxa"/>
            <w:tcBorders>
              <w:top w:val="single" w:sz="2" w:space="0" w:color="auto"/>
              <w:left w:val="single" w:sz="2" w:space="0" w:color="auto"/>
              <w:bottom w:val="single" w:sz="2" w:space="0" w:color="auto"/>
              <w:right w:val="single" w:sz="2" w:space="0" w:color="auto"/>
            </w:tcBorders>
            <w:vAlign w:val="center"/>
          </w:tcPr>
          <w:p w14:paraId="0F84C07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D918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3,617,963.27</w:t>
            </w:r>
          </w:p>
        </w:tc>
      </w:tr>
      <w:tr w:rsidR="00F73301" w:rsidRPr="00F73301" w14:paraId="1334B68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8A731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296E10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35,468,139.61</w:t>
            </w:r>
          </w:p>
        </w:tc>
        <w:tc>
          <w:tcPr>
            <w:tcW w:w="3213" w:type="dxa"/>
            <w:tcBorders>
              <w:top w:val="single" w:sz="2" w:space="0" w:color="auto"/>
              <w:left w:val="single" w:sz="2" w:space="0" w:color="auto"/>
              <w:bottom w:val="single" w:sz="2" w:space="0" w:color="auto"/>
              <w:right w:val="single" w:sz="2" w:space="0" w:color="auto"/>
            </w:tcBorders>
            <w:vAlign w:val="center"/>
          </w:tcPr>
          <w:p w14:paraId="7E8A1A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16,082,974.82</w:t>
            </w:r>
          </w:p>
        </w:tc>
      </w:tr>
    </w:tbl>
    <w:p w14:paraId="684AF570"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EB6C3D3"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4832BF9"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61" w:name="_Toc989149"/>
      <w:r w:rsidRPr="00F73301">
        <w:rPr>
          <w:rFonts w:ascii="Times New Roman" w:eastAsia="宋体" w:hAnsi="Times New Roman" w:cs="Times New Roman"/>
          <w:b/>
          <w:bCs/>
          <w:sz w:val="24"/>
          <w:szCs w:val="24"/>
        </w:rPr>
        <w:t>46. Gains on changes in fair value</w:t>
      </w:r>
      <w:bookmarkEnd w:id="261"/>
    </w:p>
    <w:p w14:paraId="173AE3C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19933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3FECA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Sources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65B8F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7521A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6B661B9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6625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Held-for-trading financial assets</w:t>
            </w:r>
          </w:p>
        </w:tc>
        <w:tc>
          <w:tcPr>
            <w:tcW w:w="3213" w:type="dxa"/>
            <w:tcBorders>
              <w:top w:val="single" w:sz="2" w:space="0" w:color="auto"/>
              <w:left w:val="single" w:sz="2" w:space="0" w:color="auto"/>
              <w:bottom w:val="single" w:sz="2" w:space="0" w:color="auto"/>
              <w:right w:val="single" w:sz="2" w:space="0" w:color="auto"/>
            </w:tcBorders>
            <w:vAlign w:val="center"/>
          </w:tcPr>
          <w:p w14:paraId="1037673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-15,580,233.35</w:t>
            </w:r>
          </w:p>
        </w:tc>
        <w:tc>
          <w:tcPr>
            <w:tcW w:w="3213" w:type="dxa"/>
            <w:tcBorders>
              <w:top w:val="single" w:sz="2" w:space="0" w:color="auto"/>
              <w:left w:val="single" w:sz="2" w:space="0" w:color="auto"/>
              <w:bottom w:val="single" w:sz="2" w:space="0" w:color="auto"/>
              <w:right w:val="single" w:sz="2" w:space="0" w:color="auto"/>
            </w:tcBorders>
            <w:vAlign w:val="center"/>
          </w:tcPr>
          <w:p w14:paraId="387E96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-11,218,254.41</w:t>
            </w:r>
          </w:p>
        </w:tc>
      </w:tr>
      <w:tr w:rsidR="00F73301" w:rsidRPr="00F73301" w14:paraId="0F64EA3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3D86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1E595AA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-15,580,233.35</w:t>
            </w:r>
          </w:p>
        </w:tc>
        <w:tc>
          <w:tcPr>
            <w:tcW w:w="3213" w:type="dxa"/>
            <w:tcBorders>
              <w:top w:val="single" w:sz="2" w:space="0" w:color="auto"/>
              <w:left w:val="single" w:sz="2" w:space="0" w:color="auto"/>
              <w:bottom w:val="single" w:sz="2" w:space="0" w:color="auto"/>
              <w:right w:val="single" w:sz="2" w:space="0" w:color="auto"/>
            </w:tcBorders>
            <w:vAlign w:val="center"/>
          </w:tcPr>
          <w:p w14:paraId="64F7BE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-11,218,254.41</w:t>
            </w:r>
          </w:p>
        </w:tc>
      </w:tr>
    </w:tbl>
    <w:p w14:paraId="2D79D81C"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36647061"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46381AA5"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62" w:name="_Toc989150"/>
      <w:r w:rsidRPr="00F73301">
        <w:rPr>
          <w:rFonts w:ascii="Times New Roman" w:eastAsia="宋体" w:hAnsi="Times New Roman" w:cs="Times New Roman"/>
          <w:b/>
          <w:bCs/>
          <w:sz w:val="24"/>
          <w:szCs w:val="24"/>
        </w:rPr>
        <w:t>47. Credit impairment loss</w:t>
      </w:r>
      <w:bookmarkEnd w:id="262"/>
    </w:p>
    <w:p w14:paraId="71630AD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05C867C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A5128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C4DF9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C3A61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45E9DBF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42DF0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Loss on bad debts from other 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44736B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557,625.51</w:t>
            </w:r>
          </w:p>
        </w:tc>
        <w:tc>
          <w:tcPr>
            <w:tcW w:w="3213" w:type="dxa"/>
            <w:tcBorders>
              <w:top w:val="single" w:sz="2" w:space="0" w:color="auto"/>
              <w:left w:val="single" w:sz="2" w:space="0" w:color="auto"/>
              <w:bottom w:val="single" w:sz="2" w:space="0" w:color="auto"/>
              <w:right w:val="single" w:sz="2" w:space="0" w:color="auto"/>
            </w:tcBorders>
            <w:vAlign w:val="center"/>
          </w:tcPr>
          <w:p w14:paraId="1B0265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-1,945,822.48</w:t>
            </w:r>
          </w:p>
        </w:tc>
      </w:tr>
      <w:tr w:rsidR="00F73301" w:rsidRPr="00F73301" w14:paraId="23AA45E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7A93FB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Loss on bad debts from 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72FE42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-14,447,206.56</w:t>
            </w:r>
          </w:p>
        </w:tc>
        <w:tc>
          <w:tcPr>
            <w:tcW w:w="3213" w:type="dxa"/>
            <w:tcBorders>
              <w:top w:val="single" w:sz="2" w:space="0" w:color="auto"/>
              <w:left w:val="single" w:sz="2" w:space="0" w:color="auto"/>
              <w:bottom w:val="single" w:sz="2" w:space="0" w:color="auto"/>
              <w:right w:val="single" w:sz="2" w:space="0" w:color="auto"/>
            </w:tcBorders>
            <w:vAlign w:val="center"/>
          </w:tcPr>
          <w:p w14:paraId="1F41356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-12,649,343.10</w:t>
            </w:r>
          </w:p>
        </w:tc>
      </w:tr>
      <w:tr w:rsidR="00F73301" w:rsidRPr="00F73301" w14:paraId="58707C0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494D9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5532986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-13,889,581.05</w:t>
            </w:r>
          </w:p>
        </w:tc>
        <w:tc>
          <w:tcPr>
            <w:tcW w:w="3213" w:type="dxa"/>
            <w:tcBorders>
              <w:top w:val="single" w:sz="2" w:space="0" w:color="auto"/>
              <w:left w:val="single" w:sz="2" w:space="0" w:color="auto"/>
              <w:bottom w:val="single" w:sz="2" w:space="0" w:color="auto"/>
              <w:right w:val="single" w:sz="2" w:space="0" w:color="auto"/>
            </w:tcBorders>
            <w:vAlign w:val="center"/>
          </w:tcPr>
          <w:p w14:paraId="110DC5F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-14,595,165.58</w:t>
            </w:r>
          </w:p>
        </w:tc>
      </w:tr>
    </w:tbl>
    <w:p w14:paraId="6E54116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A2D9BD4"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2BFD907"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63" w:name="_Toc989151"/>
      <w:r w:rsidRPr="00F73301">
        <w:rPr>
          <w:rFonts w:ascii="Times New Roman" w:eastAsia="宋体" w:hAnsi="Times New Roman" w:cs="Times New Roman"/>
          <w:b/>
          <w:bCs/>
          <w:sz w:val="24"/>
          <w:szCs w:val="24"/>
        </w:rPr>
        <w:t>48. Assets impairment loss</w:t>
      </w:r>
      <w:bookmarkEnd w:id="263"/>
    </w:p>
    <w:p w14:paraId="04F5A03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728554C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0EFF3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61E08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EEBA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418B12E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11961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Inventory Falling Price Loss and Impairment Provision for Contract Performance Costs</w:t>
            </w:r>
          </w:p>
        </w:tc>
        <w:tc>
          <w:tcPr>
            <w:tcW w:w="3213" w:type="dxa"/>
            <w:tcBorders>
              <w:top w:val="single" w:sz="2" w:space="0" w:color="auto"/>
              <w:left w:val="single" w:sz="2" w:space="0" w:color="auto"/>
              <w:bottom w:val="single" w:sz="2" w:space="0" w:color="auto"/>
              <w:right w:val="single" w:sz="2" w:space="0" w:color="auto"/>
            </w:tcBorders>
            <w:vAlign w:val="center"/>
          </w:tcPr>
          <w:p w14:paraId="3DB763F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-27,191,500.99</w:t>
            </w:r>
          </w:p>
        </w:tc>
        <w:tc>
          <w:tcPr>
            <w:tcW w:w="3213" w:type="dxa"/>
            <w:tcBorders>
              <w:top w:val="single" w:sz="2" w:space="0" w:color="auto"/>
              <w:left w:val="single" w:sz="2" w:space="0" w:color="auto"/>
              <w:bottom w:val="single" w:sz="2" w:space="0" w:color="auto"/>
              <w:right w:val="single" w:sz="2" w:space="0" w:color="auto"/>
            </w:tcBorders>
            <w:vAlign w:val="center"/>
          </w:tcPr>
          <w:p w14:paraId="3F83E23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-12,866,842.09</w:t>
            </w:r>
          </w:p>
        </w:tc>
      </w:tr>
      <w:tr w:rsidR="00F73301" w:rsidRPr="00F73301" w14:paraId="56D1B19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61127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1A0E445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-27,191,500.99</w:t>
            </w:r>
          </w:p>
        </w:tc>
        <w:tc>
          <w:tcPr>
            <w:tcW w:w="3213" w:type="dxa"/>
            <w:tcBorders>
              <w:top w:val="single" w:sz="2" w:space="0" w:color="auto"/>
              <w:left w:val="single" w:sz="2" w:space="0" w:color="auto"/>
              <w:bottom w:val="single" w:sz="2" w:space="0" w:color="auto"/>
              <w:right w:val="single" w:sz="2" w:space="0" w:color="auto"/>
            </w:tcBorders>
            <w:vAlign w:val="center"/>
          </w:tcPr>
          <w:p w14:paraId="305F65D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-12,866,842.09</w:t>
            </w:r>
          </w:p>
        </w:tc>
      </w:tr>
    </w:tbl>
    <w:p w14:paraId="4597675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5C6555BE"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69736A3"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64" w:name="_Toc989152"/>
      <w:r w:rsidRPr="00F73301">
        <w:rPr>
          <w:rFonts w:ascii="Times New Roman" w:eastAsia="宋体" w:hAnsi="Times New Roman" w:cs="Times New Roman"/>
          <w:b/>
          <w:bCs/>
          <w:sz w:val="24"/>
          <w:szCs w:val="24"/>
        </w:rPr>
        <w:t>49. Gains on asset disposal</w:t>
      </w:r>
      <w:bookmarkEnd w:id="264"/>
    </w:p>
    <w:p w14:paraId="6217D22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456AF02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E6BC5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Sources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D47E6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02B1C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20C16D2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28B6E8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Gains on disposal of fixed assets</w:t>
            </w:r>
          </w:p>
        </w:tc>
        <w:tc>
          <w:tcPr>
            <w:tcW w:w="3213" w:type="dxa"/>
            <w:tcBorders>
              <w:top w:val="single" w:sz="2" w:space="0" w:color="auto"/>
              <w:left w:val="single" w:sz="2" w:space="0" w:color="auto"/>
              <w:bottom w:val="single" w:sz="2" w:space="0" w:color="auto"/>
              <w:right w:val="single" w:sz="2" w:space="0" w:color="auto"/>
            </w:tcBorders>
            <w:vAlign w:val="center"/>
          </w:tcPr>
          <w:p w14:paraId="2A1C9F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516,259.91</w:t>
            </w:r>
          </w:p>
        </w:tc>
        <w:tc>
          <w:tcPr>
            <w:tcW w:w="3213" w:type="dxa"/>
            <w:tcBorders>
              <w:top w:val="single" w:sz="2" w:space="0" w:color="auto"/>
              <w:left w:val="single" w:sz="2" w:space="0" w:color="auto"/>
              <w:bottom w:val="single" w:sz="2" w:space="0" w:color="auto"/>
              <w:right w:val="single" w:sz="2" w:space="0" w:color="auto"/>
            </w:tcBorders>
            <w:vAlign w:val="center"/>
          </w:tcPr>
          <w:p w14:paraId="272710E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616,984.20</w:t>
            </w:r>
          </w:p>
        </w:tc>
      </w:tr>
      <w:tr w:rsidR="00F73301" w:rsidRPr="00F73301" w14:paraId="27CC6B1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78634B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w:t>
            </w:r>
          </w:p>
        </w:tc>
        <w:tc>
          <w:tcPr>
            <w:tcW w:w="3213" w:type="dxa"/>
            <w:tcBorders>
              <w:top w:val="single" w:sz="2" w:space="0" w:color="auto"/>
              <w:left w:val="single" w:sz="2" w:space="0" w:color="auto"/>
              <w:bottom w:val="single" w:sz="2" w:space="0" w:color="auto"/>
              <w:right w:val="single" w:sz="2" w:space="0" w:color="auto"/>
            </w:tcBorders>
            <w:vAlign w:val="center"/>
          </w:tcPr>
          <w:p w14:paraId="32A0EA0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516,259.91</w:t>
            </w:r>
          </w:p>
        </w:tc>
        <w:tc>
          <w:tcPr>
            <w:tcW w:w="3213" w:type="dxa"/>
            <w:tcBorders>
              <w:top w:val="single" w:sz="2" w:space="0" w:color="auto"/>
              <w:left w:val="single" w:sz="2" w:space="0" w:color="auto"/>
              <w:bottom w:val="single" w:sz="2" w:space="0" w:color="auto"/>
              <w:right w:val="single" w:sz="2" w:space="0" w:color="auto"/>
            </w:tcBorders>
            <w:vAlign w:val="center"/>
          </w:tcPr>
          <w:p w14:paraId="623F0C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616,984.20</w:t>
            </w:r>
          </w:p>
        </w:tc>
      </w:tr>
    </w:tbl>
    <w:p w14:paraId="6834513A"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65" w:name="_Toc989153"/>
      <w:r w:rsidRPr="00F73301">
        <w:rPr>
          <w:rFonts w:ascii="Times New Roman" w:eastAsia="宋体" w:hAnsi="Times New Roman" w:cs="Times New Roman"/>
          <w:b/>
          <w:bCs/>
          <w:sz w:val="24"/>
          <w:szCs w:val="24"/>
        </w:rPr>
        <w:t>50. Non-operating revenue</w:t>
      </w:r>
      <w:bookmarkEnd w:id="265"/>
    </w:p>
    <w:p w14:paraId="3A1D070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3A4B5EE3"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6A41D3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00C5B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5AE641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E43637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recorded in the current non-recurring profit or loss</w:t>
            </w:r>
          </w:p>
        </w:tc>
      </w:tr>
      <w:tr w:rsidR="00F73301" w:rsidRPr="00F73301" w14:paraId="1862EC5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78840D1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Indemnity income</w:t>
            </w:r>
          </w:p>
        </w:tc>
        <w:tc>
          <w:tcPr>
            <w:tcW w:w="2410" w:type="dxa"/>
            <w:tcBorders>
              <w:top w:val="single" w:sz="2" w:space="0" w:color="auto"/>
              <w:left w:val="single" w:sz="2" w:space="0" w:color="auto"/>
              <w:bottom w:val="single" w:sz="2" w:space="0" w:color="auto"/>
              <w:right w:val="single" w:sz="2" w:space="0" w:color="auto"/>
            </w:tcBorders>
            <w:vAlign w:val="center"/>
          </w:tcPr>
          <w:p w14:paraId="7CF646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926,292.68</w:t>
            </w:r>
          </w:p>
        </w:tc>
        <w:tc>
          <w:tcPr>
            <w:tcW w:w="2410" w:type="dxa"/>
            <w:tcBorders>
              <w:top w:val="single" w:sz="2" w:space="0" w:color="auto"/>
              <w:left w:val="single" w:sz="2" w:space="0" w:color="auto"/>
              <w:bottom w:val="single" w:sz="2" w:space="0" w:color="auto"/>
              <w:right w:val="single" w:sz="2" w:space="0" w:color="auto"/>
            </w:tcBorders>
            <w:vAlign w:val="center"/>
          </w:tcPr>
          <w:p w14:paraId="0F09E9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557,552.47</w:t>
            </w:r>
          </w:p>
        </w:tc>
        <w:tc>
          <w:tcPr>
            <w:tcW w:w="2410" w:type="dxa"/>
            <w:tcBorders>
              <w:top w:val="single" w:sz="2" w:space="0" w:color="auto"/>
              <w:left w:val="single" w:sz="2" w:space="0" w:color="auto"/>
              <w:bottom w:val="single" w:sz="2" w:space="0" w:color="auto"/>
              <w:right w:val="single" w:sz="2" w:space="0" w:color="auto"/>
            </w:tcBorders>
            <w:vAlign w:val="center"/>
          </w:tcPr>
          <w:p w14:paraId="0A4BC8C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926,292.68</w:t>
            </w:r>
          </w:p>
        </w:tc>
      </w:tr>
      <w:tr w:rsidR="00F73301" w:rsidRPr="00F73301" w14:paraId="5A959F76"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2610875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2410" w:type="dxa"/>
            <w:tcBorders>
              <w:top w:val="single" w:sz="2" w:space="0" w:color="auto"/>
              <w:left w:val="single" w:sz="2" w:space="0" w:color="auto"/>
              <w:bottom w:val="single" w:sz="2" w:space="0" w:color="auto"/>
              <w:right w:val="single" w:sz="2" w:space="0" w:color="auto"/>
            </w:tcBorders>
            <w:vAlign w:val="center"/>
          </w:tcPr>
          <w:p w14:paraId="6325CD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437,624.80</w:t>
            </w:r>
          </w:p>
        </w:tc>
        <w:tc>
          <w:tcPr>
            <w:tcW w:w="2410" w:type="dxa"/>
            <w:tcBorders>
              <w:top w:val="single" w:sz="2" w:space="0" w:color="auto"/>
              <w:left w:val="single" w:sz="2" w:space="0" w:color="auto"/>
              <w:bottom w:val="single" w:sz="2" w:space="0" w:color="auto"/>
              <w:right w:val="single" w:sz="2" w:space="0" w:color="auto"/>
            </w:tcBorders>
            <w:vAlign w:val="center"/>
          </w:tcPr>
          <w:p w14:paraId="3C49BC1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855,076.44</w:t>
            </w:r>
          </w:p>
        </w:tc>
        <w:tc>
          <w:tcPr>
            <w:tcW w:w="2410" w:type="dxa"/>
            <w:tcBorders>
              <w:top w:val="single" w:sz="2" w:space="0" w:color="auto"/>
              <w:left w:val="single" w:sz="2" w:space="0" w:color="auto"/>
              <w:bottom w:val="single" w:sz="2" w:space="0" w:color="auto"/>
              <w:right w:val="single" w:sz="2" w:space="0" w:color="auto"/>
            </w:tcBorders>
            <w:vAlign w:val="center"/>
          </w:tcPr>
          <w:p w14:paraId="73C152E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437,624.80</w:t>
            </w:r>
          </w:p>
        </w:tc>
      </w:tr>
      <w:tr w:rsidR="00F73301" w:rsidRPr="00F73301" w14:paraId="7C040D9F"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913595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2410" w:type="dxa"/>
            <w:tcBorders>
              <w:top w:val="single" w:sz="2" w:space="0" w:color="auto"/>
              <w:left w:val="single" w:sz="2" w:space="0" w:color="auto"/>
              <w:bottom w:val="single" w:sz="2" w:space="0" w:color="auto"/>
              <w:right w:val="single" w:sz="2" w:space="0" w:color="auto"/>
            </w:tcBorders>
            <w:vAlign w:val="center"/>
          </w:tcPr>
          <w:p w14:paraId="365758E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1,363,917.48</w:t>
            </w:r>
          </w:p>
        </w:tc>
        <w:tc>
          <w:tcPr>
            <w:tcW w:w="2410" w:type="dxa"/>
            <w:tcBorders>
              <w:top w:val="single" w:sz="2" w:space="0" w:color="auto"/>
              <w:left w:val="single" w:sz="2" w:space="0" w:color="auto"/>
              <w:bottom w:val="single" w:sz="2" w:space="0" w:color="auto"/>
              <w:right w:val="single" w:sz="2" w:space="0" w:color="auto"/>
            </w:tcBorders>
            <w:vAlign w:val="center"/>
          </w:tcPr>
          <w:p w14:paraId="4FF9E7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1,412,628.91</w:t>
            </w:r>
          </w:p>
        </w:tc>
        <w:tc>
          <w:tcPr>
            <w:tcW w:w="2410" w:type="dxa"/>
            <w:tcBorders>
              <w:top w:val="single" w:sz="2" w:space="0" w:color="auto"/>
              <w:left w:val="single" w:sz="2" w:space="0" w:color="auto"/>
              <w:bottom w:val="single" w:sz="2" w:space="0" w:color="auto"/>
              <w:right w:val="single" w:sz="2" w:space="0" w:color="auto"/>
            </w:tcBorders>
            <w:vAlign w:val="center"/>
          </w:tcPr>
          <w:p w14:paraId="4123230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1,363,917.48</w:t>
            </w:r>
          </w:p>
        </w:tc>
      </w:tr>
    </w:tbl>
    <w:p w14:paraId="428B888B"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Government grants recorded into current profit or loss:</w:t>
      </w:r>
    </w:p>
    <w:p w14:paraId="7E02190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1071"/>
        <w:gridCol w:w="1071"/>
        <w:gridCol w:w="1071"/>
        <w:gridCol w:w="1071"/>
        <w:gridCol w:w="1071"/>
        <w:gridCol w:w="1071"/>
        <w:gridCol w:w="1071"/>
      </w:tblGrid>
      <w:tr w:rsidR="00F73301" w:rsidRPr="00F73301" w14:paraId="77B465ED" w14:textId="77777777" w:rsidTr="0001208F">
        <w:trPr>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1872E4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A06789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Distribution entity</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54DE25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Distribution reason</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7F041F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71FD3A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Whether influence the profits or </w:t>
            </w:r>
            <w:r w:rsidRPr="00F73301">
              <w:rPr>
                <w:rFonts w:ascii="Times New Roman" w:eastAsia="宋体" w:hAnsi="Times New Roman" w:cs="Times New Roman"/>
                <w:sz w:val="18"/>
                <w:szCs w:val="18"/>
              </w:rPr>
              <w:lastRenderedPageBreak/>
              <w:t>losses of the year or not</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B07CAF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Special subsidy or not</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501638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current period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153318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Previous period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FA067A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Related to assets/income</w:t>
            </w:r>
          </w:p>
        </w:tc>
      </w:tr>
    </w:tbl>
    <w:p w14:paraId="5EB723C4"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32E3FAFC"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F2054C9"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66" w:name="_Toc989154"/>
      <w:r w:rsidRPr="00F73301">
        <w:rPr>
          <w:rFonts w:ascii="Times New Roman" w:eastAsia="宋体" w:hAnsi="Times New Roman" w:cs="Times New Roman"/>
          <w:b/>
          <w:bCs/>
          <w:sz w:val="24"/>
          <w:szCs w:val="24"/>
        </w:rPr>
        <w:t>51. Non-operating expenditures</w:t>
      </w:r>
      <w:bookmarkEnd w:id="266"/>
    </w:p>
    <w:p w14:paraId="4661888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7BC7B972"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C0417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9D686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9BBD56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5F7501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recorded in the current non-recurring profit or loss</w:t>
            </w:r>
          </w:p>
        </w:tc>
      </w:tr>
      <w:tr w:rsidR="00F73301" w:rsidRPr="00F73301" w14:paraId="3882FEE9"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2254B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External donations</w:t>
            </w:r>
          </w:p>
        </w:tc>
        <w:tc>
          <w:tcPr>
            <w:tcW w:w="2410" w:type="dxa"/>
            <w:tcBorders>
              <w:top w:val="single" w:sz="2" w:space="0" w:color="auto"/>
              <w:left w:val="single" w:sz="2" w:space="0" w:color="auto"/>
              <w:bottom w:val="single" w:sz="2" w:space="0" w:color="auto"/>
              <w:right w:val="single" w:sz="2" w:space="0" w:color="auto"/>
            </w:tcBorders>
            <w:vAlign w:val="center"/>
          </w:tcPr>
          <w:p w14:paraId="18196FC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4,729,397.94</w:t>
            </w:r>
          </w:p>
        </w:tc>
        <w:tc>
          <w:tcPr>
            <w:tcW w:w="2410" w:type="dxa"/>
            <w:tcBorders>
              <w:top w:val="single" w:sz="2" w:space="0" w:color="auto"/>
              <w:left w:val="single" w:sz="2" w:space="0" w:color="auto"/>
              <w:bottom w:val="single" w:sz="2" w:space="0" w:color="auto"/>
              <w:right w:val="single" w:sz="2" w:space="0" w:color="auto"/>
            </w:tcBorders>
            <w:vAlign w:val="center"/>
          </w:tcPr>
          <w:p w14:paraId="22E15F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5,573,000.00</w:t>
            </w:r>
          </w:p>
        </w:tc>
        <w:tc>
          <w:tcPr>
            <w:tcW w:w="2410" w:type="dxa"/>
            <w:tcBorders>
              <w:top w:val="single" w:sz="2" w:space="0" w:color="auto"/>
              <w:left w:val="single" w:sz="2" w:space="0" w:color="auto"/>
              <w:bottom w:val="single" w:sz="2" w:space="0" w:color="auto"/>
              <w:right w:val="single" w:sz="2" w:space="0" w:color="auto"/>
            </w:tcBorders>
            <w:vAlign w:val="center"/>
          </w:tcPr>
          <w:p w14:paraId="3B293F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4,729,397.94</w:t>
            </w:r>
          </w:p>
        </w:tc>
      </w:tr>
      <w:tr w:rsidR="00F73301" w:rsidRPr="00F73301" w14:paraId="66173399"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147A08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Losses on damage or retirement of non-current assets</w:t>
            </w:r>
          </w:p>
        </w:tc>
        <w:tc>
          <w:tcPr>
            <w:tcW w:w="2410" w:type="dxa"/>
            <w:tcBorders>
              <w:top w:val="single" w:sz="2" w:space="0" w:color="auto"/>
              <w:left w:val="single" w:sz="2" w:space="0" w:color="auto"/>
              <w:bottom w:val="single" w:sz="2" w:space="0" w:color="auto"/>
              <w:right w:val="single" w:sz="2" w:space="0" w:color="auto"/>
            </w:tcBorders>
            <w:vAlign w:val="center"/>
          </w:tcPr>
          <w:p w14:paraId="28A08C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736,516.94</w:t>
            </w:r>
          </w:p>
        </w:tc>
        <w:tc>
          <w:tcPr>
            <w:tcW w:w="2410" w:type="dxa"/>
            <w:tcBorders>
              <w:top w:val="single" w:sz="2" w:space="0" w:color="auto"/>
              <w:left w:val="single" w:sz="2" w:space="0" w:color="auto"/>
              <w:bottom w:val="single" w:sz="2" w:space="0" w:color="auto"/>
              <w:right w:val="single" w:sz="2" w:space="0" w:color="auto"/>
            </w:tcBorders>
            <w:vAlign w:val="center"/>
          </w:tcPr>
          <w:p w14:paraId="3234BF4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751,673.55</w:t>
            </w:r>
          </w:p>
        </w:tc>
        <w:tc>
          <w:tcPr>
            <w:tcW w:w="2410" w:type="dxa"/>
            <w:tcBorders>
              <w:top w:val="single" w:sz="2" w:space="0" w:color="auto"/>
              <w:left w:val="single" w:sz="2" w:space="0" w:color="auto"/>
              <w:bottom w:val="single" w:sz="2" w:space="0" w:color="auto"/>
              <w:right w:val="single" w:sz="2" w:space="0" w:color="auto"/>
            </w:tcBorders>
            <w:vAlign w:val="center"/>
          </w:tcPr>
          <w:p w14:paraId="2C9B8A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736,516.94</w:t>
            </w:r>
          </w:p>
        </w:tc>
      </w:tr>
      <w:tr w:rsidR="00F73301" w:rsidRPr="00F73301" w14:paraId="2438B5EA"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2323686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Indemnity expenditures</w:t>
            </w:r>
          </w:p>
        </w:tc>
        <w:tc>
          <w:tcPr>
            <w:tcW w:w="2410" w:type="dxa"/>
            <w:tcBorders>
              <w:top w:val="single" w:sz="2" w:space="0" w:color="auto"/>
              <w:left w:val="single" w:sz="2" w:space="0" w:color="auto"/>
              <w:bottom w:val="single" w:sz="2" w:space="0" w:color="auto"/>
              <w:right w:val="single" w:sz="2" w:space="0" w:color="auto"/>
            </w:tcBorders>
            <w:vAlign w:val="center"/>
          </w:tcPr>
          <w:p w14:paraId="2069CA0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787,865.94</w:t>
            </w:r>
          </w:p>
        </w:tc>
        <w:tc>
          <w:tcPr>
            <w:tcW w:w="2410" w:type="dxa"/>
            <w:tcBorders>
              <w:top w:val="single" w:sz="2" w:space="0" w:color="auto"/>
              <w:left w:val="single" w:sz="2" w:space="0" w:color="auto"/>
              <w:bottom w:val="single" w:sz="2" w:space="0" w:color="auto"/>
              <w:right w:val="single" w:sz="2" w:space="0" w:color="auto"/>
            </w:tcBorders>
            <w:vAlign w:val="center"/>
          </w:tcPr>
          <w:p w14:paraId="157863BC"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696DA1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787,865.94</w:t>
            </w:r>
          </w:p>
        </w:tc>
      </w:tr>
      <w:tr w:rsidR="00F73301" w:rsidRPr="00F73301" w14:paraId="2380C84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2EA78F8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2410" w:type="dxa"/>
            <w:tcBorders>
              <w:top w:val="single" w:sz="2" w:space="0" w:color="auto"/>
              <w:left w:val="single" w:sz="2" w:space="0" w:color="auto"/>
              <w:bottom w:val="single" w:sz="2" w:space="0" w:color="auto"/>
              <w:right w:val="single" w:sz="2" w:space="0" w:color="auto"/>
            </w:tcBorders>
            <w:vAlign w:val="center"/>
          </w:tcPr>
          <w:p w14:paraId="6D39E6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305,126.99</w:t>
            </w:r>
          </w:p>
        </w:tc>
        <w:tc>
          <w:tcPr>
            <w:tcW w:w="2410" w:type="dxa"/>
            <w:tcBorders>
              <w:top w:val="single" w:sz="2" w:space="0" w:color="auto"/>
              <w:left w:val="single" w:sz="2" w:space="0" w:color="auto"/>
              <w:bottom w:val="single" w:sz="2" w:space="0" w:color="auto"/>
              <w:right w:val="single" w:sz="2" w:space="0" w:color="auto"/>
            </w:tcBorders>
            <w:vAlign w:val="center"/>
          </w:tcPr>
          <w:p w14:paraId="614854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342,941.24</w:t>
            </w:r>
          </w:p>
        </w:tc>
        <w:tc>
          <w:tcPr>
            <w:tcW w:w="2410" w:type="dxa"/>
            <w:tcBorders>
              <w:top w:val="single" w:sz="2" w:space="0" w:color="auto"/>
              <w:left w:val="single" w:sz="2" w:space="0" w:color="auto"/>
              <w:bottom w:val="single" w:sz="2" w:space="0" w:color="auto"/>
              <w:right w:val="single" w:sz="2" w:space="0" w:color="auto"/>
            </w:tcBorders>
            <w:vAlign w:val="center"/>
          </w:tcPr>
          <w:p w14:paraId="2EE1B2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305,126.99</w:t>
            </w:r>
          </w:p>
        </w:tc>
      </w:tr>
      <w:tr w:rsidR="00F73301" w:rsidRPr="00F73301" w14:paraId="22A4C9F4"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E8F082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2410" w:type="dxa"/>
            <w:tcBorders>
              <w:top w:val="single" w:sz="2" w:space="0" w:color="auto"/>
              <w:left w:val="single" w:sz="2" w:space="0" w:color="auto"/>
              <w:bottom w:val="single" w:sz="2" w:space="0" w:color="auto"/>
              <w:right w:val="single" w:sz="2" w:space="0" w:color="auto"/>
            </w:tcBorders>
            <w:vAlign w:val="center"/>
          </w:tcPr>
          <w:p w14:paraId="7038B64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6,558,907.81</w:t>
            </w:r>
          </w:p>
        </w:tc>
        <w:tc>
          <w:tcPr>
            <w:tcW w:w="2410" w:type="dxa"/>
            <w:tcBorders>
              <w:top w:val="single" w:sz="2" w:space="0" w:color="auto"/>
              <w:left w:val="single" w:sz="2" w:space="0" w:color="auto"/>
              <w:bottom w:val="single" w:sz="2" w:space="0" w:color="auto"/>
              <w:right w:val="single" w:sz="2" w:space="0" w:color="auto"/>
            </w:tcBorders>
            <w:vAlign w:val="center"/>
          </w:tcPr>
          <w:p w14:paraId="4AB4BF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6,667,614.79</w:t>
            </w:r>
          </w:p>
        </w:tc>
        <w:tc>
          <w:tcPr>
            <w:tcW w:w="2410" w:type="dxa"/>
            <w:tcBorders>
              <w:top w:val="single" w:sz="2" w:space="0" w:color="auto"/>
              <w:left w:val="single" w:sz="2" w:space="0" w:color="auto"/>
              <w:bottom w:val="single" w:sz="2" w:space="0" w:color="auto"/>
              <w:right w:val="single" w:sz="2" w:space="0" w:color="auto"/>
            </w:tcBorders>
            <w:vAlign w:val="center"/>
          </w:tcPr>
          <w:p w14:paraId="1328E34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6,558,907.81</w:t>
            </w:r>
          </w:p>
        </w:tc>
      </w:tr>
    </w:tbl>
    <w:p w14:paraId="26E46C56"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41CD8CA"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1B5840B"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67" w:name="_Toc989155"/>
      <w:r w:rsidRPr="00F73301">
        <w:rPr>
          <w:rFonts w:ascii="Times New Roman" w:eastAsia="宋体" w:hAnsi="Times New Roman" w:cs="Times New Roman"/>
          <w:b/>
          <w:bCs/>
          <w:sz w:val="24"/>
          <w:szCs w:val="24"/>
        </w:rPr>
        <w:t>52. Income tax expenses</w:t>
      </w:r>
      <w:bookmarkEnd w:id="267"/>
    </w:p>
    <w:p w14:paraId="2B97587D"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68" w:name="_Toc989156"/>
      <w:r w:rsidRPr="00F73301">
        <w:rPr>
          <w:rFonts w:ascii="Times New Roman" w:eastAsia="宋体" w:hAnsi="Times New Roman" w:cs="Times New Roman"/>
          <w:b/>
          <w:bCs/>
          <w:sz w:val="24"/>
          <w:szCs w:val="24"/>
        </w:rPr>
        <w:t>(1) List of income tax expense</w:t>
      </w:r>
      <w:bookmarkEnd w:id="268"/>
    </w:p>
    <w:p w14:paraId="682A799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3DCE238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889AC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A7CD1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72E52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47F4CA0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35860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income tax expenses</w:t>
            </w:r>
          </w:p>
        </w:tc>
        <w:tc>
          <w:tcPr>
            <w:tcW w:w="3213" w:type="dxa"/>
            <w:tcBorders>
              <w:top w:val="single" w:sz="2" w:space="0" w:color="auto"/>
              <w:left w:val="single" w:sz="2" w:space="0" w:color="auto"/>
              <w:bottom w:val="single" w:sz="2" w:space="0" w:color="auto"/>
              <w:right w:val="single" w:sz="2" w:space="0" w:color="auto"/>
            </w:tcBorders>
            <w:vAlign w:val="center"/>
          </w:tcPr>
          <w:p w14:paraId="286467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40,830,965.60</w:t>
            </w:r>
          </w:p>
        </w:tc>
        <w:tc>
          <w:tcPr>
            <w:tcW w:w="3213" w:type="dxa"/>
            <w:tcBorders>
              <w:top w:val="single" w:sz="2" w:space="0" w:color="auto"/>
              <w:left w:val="single" w:sz="2" w:space="0" w:color="auto"/>
              <w:bottom w:val="single" w:sz="2" w:space="0" w:color="auto"/>
              <w:right w:val="single" w:sz="2" w:space="0" w:color="auto"/>
            </w:tcBorders>
            <w:vAlign w:val="center"/>
          </w:tcPr>
          <w:p w14:paraId="2EDBF9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62,017,952.51</w:t>
            </w:r>
          </w:p>
        </w:tc>
      </w:tr>
      <w:tr w:rsidR="00F73301" w:rsidRPr="00F73301" w14:paraId="1E3318B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F79C4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expenses</w:t>
            </w:r>
          </w:p>
        </w:tc>
        <w:tc>
          <w:tcPr>
            <w:tcW w:w="3213" w:type="dxa"/>
            <w:tcBorders>
              <w:top w:val="single" w:sz="2" w:space="0" w:color="auto"/>
              <w:left w:val="single" w:sz="2" w:space="0" w:color="auto"/>
              <w:bottom w:val="single" w:sz="2" w:space="0" w:color="auto"/>
              <w:right w:val="single" w:sz="2" w:space="0" w:color="auto"/>
            </w:tcBorders>
            <w:vAlign w:val="center"/>
          </w:tcPr>
          <w:p w14:paraId="7A34186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28,253,519.88</w:t>
            </w:r>
          </w:p>
        </w:tc>
        <w:tc>
          <w:tcPr>
            <w:tcW w:w="3213" w:type="dxa"/>
            <w:tcBorders>
              <w:top w:val="single" w:sz="2" w:space="0" w:color="auto"/>
              <w:left w:val="single" w:sz="2" w:space="0" w:color="auto"/>
              <w:bottom w:val="single" w:sz="2" w:space="0" w:color="auto"/>
              <w:right w:val="single" w:sz="2" w:space="0" w:color="auto"/>
            </w:tcBorders>
            <w:vAlign w:val="center"/>
          </w:tcPr>
          <w:p w14:paraId="3B9A015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34,136,210.34</w:t>
            </w:r>
          </w:p>
        </w:tc>
      </w:tr>
      <w:tr w:rsidR="00F73301" w:rsidRPr="00F73301" w14:paraId="2FC4BCB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46F1D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21B910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69,084,485.48</w:t>
            </w:r>
          </w:p>
        </w:tc>
        <w:tc>
          <w:tcPr>
            <w:tcW w:w="3213" w:type="dxa"/>
            <w:tcBorders>
              <w:top w:val="single" w:sz="2" w:space="0" w:color="auto"/>
              <w:left w:val="single" w:sz="2" w:space="0" w:color="auto"/>
              <w:bottom w:val="single" w:sz="2" w:space="0" w:color="auto"/>
              <w:right w:val="single" w:sz="2" w:space="0" w:color="auto"/>
            </w:tcBorders>
            <w:vAlign w:val="center"/>
          </w:tcPr>
          <w:p w14:paraId="53C7B70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96,154,162.85</w:t>
            </w:r>
          </w:p>
        </w:tc>
      </w:tr>
    </w:tbl>
    <w:p w14:paraId="29879A89"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69" w:name="_Toc989157"/>
      <w:r w:rsidRPr="00F73301">
        <w:rPr>
          <w:rFonts w:ascii="Times New Roman" w:eastAsia="宋体" w:hAnsi="Times New Roman" w:cs="Times New Roman"/>
          <w:b/>
          <w:bCs/>
          <w:sz w:val="24"/>
          <w:szCs w:val="24"/>
        </w:rPr>
        <w:t>(2) Adjustment process of accounting profit and income tax expense</w:t>
      </w:r>
      <w:bookmarkEnd w:id="269"/>
    </w:p>
    <w:p w14:paraId="5240312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7F34A05F"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3AA14D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EEE18A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r>
      <w:tr w:rsidR="00F73301" w:rsidRPr="00F73301" w14:paraId="0ECF8B4E"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0F9575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Profit before tax</w:t>
            </w:r>
          </w:p>
        </w:tc>
        <w:tc>
          <w:tcPr>
            <w:tcW w:w="4820" w:type="dxa"/>
            <w:tcBorders>
              <w:top w:val="single" w:sz="2" w:space="0" w:color="auto"/>
              <w:left w:val="single" w:sz="2" w:space="0" w:color="auto"/>
              <w:bottom w:val="single" w:sz="2" w:space="0" w:color="auto"/>
              <w:right w:val="single" w:sz="2" w:space="0" w:color="auto"/>
            </w:tcBorders>
            <w:vAlign w:val="center"/>
          </w:tcPr>
          <w:p w14:paraId="1897B38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474,440,719.72</w:t>
            </w:r>
          </w:p>
        </w:tc>
      </w:tr>
      <w:tr w:rsidR="00F73301" w:rsidRPr="00F73301" w14:paraId="298D3488"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B1FDE7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income tax expense accounted at statutory/applicable tax rate</w:t>
            </w:r>
          </w:p>
        </w:tc>
        <w:tc>
          <w:tcPr>
            <w:tcW w:w="4820" w:type="dxa"/>
            <w:tcBorders>
              <w:top w:val="single" w:sz="2" w:space="0" w:color="auto"/>
              <w:left w:val="single" w:sz="2" w:space="0" w:color="auto"/>
              <w:bottom w:val="single" w:sz="2" w:space="0" w:color="auto"/>
              <w:right w:val="single" w:sz="2" w:space="0" w:color="auto"/>
            </w:tcBorders>
            <w:vAlign w:val="center"/>
          </w:tcPr>
          <w:p w14:paraId="20A65EB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71,166,107.96</w:t>
            </w:r>
          </w:p>
        </w:tc>
      </w:tr>
      <w:tr w:rsidR="00F73301" w:rsidRPr="00F73301" w14:paraId="66A686FE"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924FDE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Effect of different tax rate applicable to subsidiaries</w:t>
            </w:r>
          </w:p>
        </w:tc>
        <w:tc>
          <w:tcPr>
            <w:tcW w:w="4820" w:type="dxa"/>
            <w:tcBorders>
              <w:top w:val="single" w:sz="2" w:space="0" w:color="auto"/>
              <w:left w:val="single" w:sz="2" w:space="0" w:color="auto"/>
              <w:bottom w:val="single" w:sz="2" w:space="0" w:color="auto"/>
              <w:right w:val="single" w:sz="2" w:space="0" w:color="auto"/>
            </w:tcBorders>
            <w:vAlign w:val="center"/>
          </w:tcPr>
          <w:p w14:paraId="0B2D5F1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2,924,192.31</w:t>
            </w:r>
          </w:p>
        </w:tc>
      </w:tr>
      <w:tr w:rsidR="00F73301" w:rsidRPr="00F73301" w14:paraId="19BBD8F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D95A59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Effect of prior income tax reconciliation</w:t>
            </w:r>
          </w:p>
        </w:tc>
        <w:tc>
          <w:tcPr>
            <w:tcW w:w="4820" w:type="dxa"/>
            <w:tcBorders>
              <w:top w:val="single" w:sz="2" w:space="0" w:color="auto"/>
              <w:left w:val="single" w:sz="2" w:space="0" w:color="auto"/>
              <w:bottom w:val="single" w:sz="2" w:space="0" w:color="auto"/>
              <w:right w:val="single" w:sz="2" w:space="0" w:color="auto"/>
            </w:tcBorders>
            <w:vAlign w:val="center"/>
          </w:tcPr>
          <w:p w14:paraId="10FECAE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614,237.91</w:t>
            </w:r>
          </w:p>
        </w:tc>
      </w:tr>
      <w:tr w:rsidR="00F73301" w:rsidRPr="00F73301" w14:paraId="452C1F03"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67F40A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Effect of non-deductible costs, expenses and losses</w:t>
            </w:r>
          </w:p>
        </w:tc>
        <w:tc>
          <w:tcPr>
            <w:tcW w:w="4820" w:type="dxa"/>
            <w:tcBorders>
              <w:top w:val="single" w:sz="2" w:space="0" w:color="auto"/>
              <w:left w:val="single" w:sz="2" w:space="0" w:color="auto"/>
              <w:bottom w:val="single" w:sz="2" w:space="0" w:color="auto"/>
              <w:right w:val="single" w:sz="2" w:space="0" w:color="auto"/>
            </w:tcBorders>
            <w:vAlign w:val="center"/>
          </w:tcPr>
          <w:p w14:paraId="6AE097C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2,285,499.82</w:t>
            </w:r>
          </w:p>
        </w:tc>
      </w:tr>
      <w:tr w:rsidR="00F73301" w:rsidRPr="00F73301" w14:paraId="246B4E0E"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8AE8F0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Effect of utilization of deductible losses not previously recognized as deferred tax assets</w:t>
            </w:r>
          </w:p>
        </w:tc>
        <w:tc>
          <w:tcPr>
            <w:tcW w:w="4820" w:type="dxa"/>
            <w:tcBorders>
              <w:top w:val="single" w:sz="2" w:space="0" w:color="auto"/>
              <w:left w:val="single" w:sz="2" w:space="0" w:color="auto"/>
              <w:bottom w:val="single" w:sz="2" w:space="0" w:color="auto"/>
              <w:right w:val="single" w:sz="2" w:space="0" w:color="auto"/>
            </w:tcBorders>
            <w:vAlign w:val="center"/>
          </w:tcPr>
          <w:p w14:paraId="6BB1F0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-18,656.00</w:t>
            </w:r>
          </w:p>
        </w:tc>
      </w:tr>
      <w:tr w:rsidR="00F73301" w:rsidRPr="00F73301" w14:paraId="23E9435B"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39E38E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Effect of deducible temporary differences or deductible losses not recognized as deferred tax assets in the current period</w:t>
            </w:r>
          </w:p>
        </w:tc>
        <w:tc>
          <w:tcPr>
            <w:tcW w:w="4820" w:type="dxa"/>
            <w:tcBorders>
              <w:top w:val="single" w:sz="2" w:space="0" w:color="auto"/>
              <w:left w:val="single" w:sz="2" w:space="0" w:color="auto"/>
              <w:bottom w:val="single" w:sz="2" w:space="0" w:color="auto"/>
              <w:right w:val="single" w:sz="2" w:space="0" w:color="auto"/>
            </w:tcBorders>
            <w:vAlign w:val="center"/>
          </w:tcPr>
          <w:p w14:paraId="27F959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6,814,777.90</w:t>
            </w:r>
          </w:p>
        </w:tc>
      </w:tr>
      <w:tr w:rsidR="00F73301" w:rsidRPr="00F73301" w14:paraId="6D0D966F"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46C9C4D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Influence of R&amp;D and deductions</w:t>
            </w:r>
          </w:p>
        </w:tc>
        <w:tc>
          <w:tcPr>
            <w:tcW w:w="4820" w:type="dxa"/>
            <w:tcBorders>
              <w:top w:val="single" w:sz="2" w:space="0" w:color="auto"/>
              <w:left w:val="single" w:sz="2" w:space="0" w:color="auto"/>
              <w:bottom w:val="single" w:sz="2" w:space="0" w:color="auto"/>
              <w:right w:val="single" w:sz="2" w:space="0" w:color="auto"/>
            </w:tcBorders>
            <w:vAlign w:val="center"/>
          </w:tcPr>
          <w:p w14:paraId="45912A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-15,517,862.67</w:t>
            </w:r>
          </w:p>
        </w:tc>
      </w:tr>
      <w:tr w:rsidR="00F73301" w:rsidRPr="00F73301" w14:paraId="31DE609D"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3D51165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adjusted items</w:t>
            </w:r>
          </w:p>
        </w:tc>
        <w:tc>
          <w:tcPr>
            <w:tcW w:w="4820" w:type="dxa"/>
            <w:tcBorders>
              <w:top w:val="single" w:sz="2" w:space="0" w:color="auto"/>
              <w:left w:val="single" w:sz="2" w:space="0" w:color="auto"/>
              <w:bottom w:val="single" w:sz="2" w:space="0" w:color="auto"/>
              <w:right w:val="single" w:sz="2" w:space="0" w:color="auto"/>
            </w:tcBorders>
            <w:vAlign w:val="center"/>
          </w:tcPr>
          <w:p w14:paraId="6AD2BE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816,188.25</w:t>
            </w:r>
          </w:p>
        </w:tc>
      </w:tr>
      <w:tr w:rsidR="00F73301" w:rsidRPr="00F73301" w14:paraId="04F655DD"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B2D24B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Income tax expenses</w:t>
            </w:r>
          </w:p>
        </w:tc>
        <w:tc>
          <w:tcPr>
            <w:tcW w:w="4820" w:type="dxa"/>
            <w:tcBorders>
              <w:top w:val="single" w:sz="2" w:space="0" w:color="auto"/>
              <w:left w:val="single" w:sz="2" w:space="0" w:color="auto"/>
              <w:bottom w:val="single" w:sz="2" w:space="0" w:color="auto"/>
              <w:right w:val="single" w:sz="2" w:space="0" w:color="auto"/>
            </w:tcBorders>
            <w:vAlign w:val="center"/>
          </w:tcPr>
          <w:p w14:paraId="4DE5D3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69,084,485.48</w:t>
            </w:r>
          </w:p>
        </w:tc>
      </w:tr>
    </w:tbl>
    <w:p w14:paraId="7948B3BB"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752412D4"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3F33FA3"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70" w:name="_Toc989158"/>
      <w:r w:rsidRPr="00F73301">
        <w:rPr>
          <w:rFonts w:ascii="Times New Roman" w:eastAsia="宋体" w:hAnsi="Times New Roman" w:cs="Times New Roman"/>
          <w:b/>
          <w:bCs/>
          <w:sz w:val="24"/>
          <w:szCs w:val="24"/>
        </w:rPr>
        <w:t>53. Other comprehensive income</w:t>
      </w:r>
      <w:bookmarkEnd w:id="270"/>
    </w:p>
    <w:p w14:paraId="25DD03F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See Note X vii. 35 for details.</w:t>
      </w:r>
    </w:p>
    <w:p w14:paraId="2AEEEE75"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71" w:name="_Toc989159"/>
      <w:r w:rsidRPr="00F73301">
        <w:rPr>
          <w:rFonts w:ascii="Times New Roman" w:eastAsia="宋体" w:hAnsi="Times New Roman" w:cs="Times New Roman"/>
          <w:b/>
          <w:bCs/>
          <w:sz w:val="24"/>
          <w:szCs w:val="24"/>
        </w:rPr>
        <w:lastRenderedPageBreak/>
        <w:t>54. Items of cash flow statement</w:t>
      </w:r>
      <w:bookmarkEnd w:id="271"/>
    </w:p>
    <w:p w14:paraId="2B3EC769"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72" w:name="_Toc989160"/>
      <w:r w:rsidRPr="00F73301">
        <w:rPr>
          <w:rFonts w:ascii="Times New Roman" w:eastAsia="宋体" w:hAnsi="Times New Roman" w:cs="Times New Roman"/>
          <w:b/>
          <w:bCs/>
          <w:sz w:val="24"/>
          <w:szCs w:val="24"/>
        </w:rPr>
        <w:t>(1) Cash generated from other operating activities</w:t>
      </w:r>
      <w:bookmarkEnd w:id="272"/>
    </w:p>
    <w:p w14:paraId="2274D6D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06F98D5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63E6A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95677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B0354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2ACC3A0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EB0D9B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Government grants</w:t>
            </w:r>
          </w:p>
        </w:tc>
        <w:tc>
          <w:tcPr>
            <w:tcW w:w="3213" w:type="dxa"/>
            <w:tcBorders>
              <w:top w:val="single" w:sz="2" w:space="0" w:color="auto"/>
              <w:left w:val="single" w:sz="2" w:space="0" w:color="auto"/>
              <w:bottom w:val="single" w:sz="2" w:space="0" w:color="auto"/>
              <w:right w:val="single" w:sz="2" w:space="0" w:color="auto"/>
            </w:tcBorders>
            <w:vAlign w:val="center"/>
          </w:tcPr>
          <w:p w14:paraId="519D0C6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36,615,445.77</w:t>
            </w:r>
          </w:p>
        </w:tc>
        <w:tc>
          <w:tcPr>
            <w:tcW w:w="3213" w:type="dxa"/>
            <w:tcBorders>
              <w:top w:val="single" w:sz="2" w:space="0" w:color="auto"/>
              <w:left w:val="single" w:sz="2" w:space="0" w:color="auto"/>
              <w:bottom w:val="single" w:sz="2" w:space="0" w:color="auto"/>
              <w:right w:val="single" w:sz="2" w:space="0" w:color="auto"/>
            </w:tcBorders>
            <w:vAlign w:val="center"/>
          </w:tcPr>
          <w:p w14:paraId="10F1E4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74,393,161.35</w:t>
            </w:r>
          </w:p>
        </w:tc>
      </w:tr>
      <w:tr w:rsidR="00F73301" w:rsidRPr="00F73301" w14:paraId="26D5F48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7DA7BD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income</w:t>
            </w:r>
          </w:p>
        </w:tc>
        <w:tc>
          <w:tcPr>
            <w:tcW w:w="3213" w:type="dxa"/>
            <w:tcBorders>
              <w:top w:val="single" w:sz="2" w:space="0" w:color="auto"/>
              <w:left w:val="single" w:sz="2" w:space="0" w:color="auto"/>
              <w:bottom w:val="single" w:sz="2" w:space="0" w:color="auto"/>
              <w:right w:val="single" w:sz="2" w:space="0" w:color="auto"/>
            </w:tcBorders>
            <w:vAlign w:val="center"/>
          </w:tcPr>
          <w:p w14:paraId="13CE303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27,824,673.97</w:t>
            </w:r>
          </w:p>
        </w:tc>
        <w:tc>
          <w:tcPr>
            <w:tcW w:w="3213" w:type="dxa"/>
            <w:tcBorders>
              <w:top w:val="single" w:sz="2" w:space="0" w:color="auto"/>
              <w:left w:val="single" w:sz="2" w:space="0" w:color="auto"/>
              <w:bottom w:val="single" w:sz="2" w:space="0" w:color="auto"/>
              <w:right w:val="single" w:sz="2" w:space="0" w:color="auto"/>
            </w:tcBorders>
            <w:vAlign w:val="center"/>
          </w:tcPr>
          <w:p w14:paraId="681C758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5,963,408.75</w:t>
            </w:r>
          </w:p>
        </w:tc>
      </w:tr>
      <w:tr w:rsidR="00F73301" w:rsidRPr="00F73301" w14:paraId="54C8253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9124D6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Recovery of various deposits</w:t>
            </w:r>
          </w:p>
        </w:tc>
        <w:tc>
          <w:tcPr>
            <w:tcW w:w="3213" w:type="dxa"/>
            <w:tcBorders>
              <w:top w:val="single" w:sz="2" w:space="0" w:color="auto"/>
              <w:left w:val="single" w:sz="2" w:space="0" w:color="auto"/>
              <w:bottom w:val="single" w:sz="2" w:space="0" w:color="auto"/>
              <w:right w:val="single" w:sz="2" w:space="0" w:color="auto"/>
            </w:tcBorders>
            <w:vAlign w:val="center"/>
          </w:tcPr>
          <w:p w14:paraId="4E3181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21,683,519.00</w:t>
            </w:r>
          </w:p>
        </w:tc>
        <w:tc>
          <w:tcPr>
            <w:tcW w:w="3213" w:type="dxa"/>
            <w:tcBorders>
              <w:top w:val="single" w:sz="2" w:space="0" w:color="auto"/>
              <w:left w:val="single" w:sz="2" w:space="0" w:color="auto"/>
              <w:bottom w:val="single" w:sz="2" w:space="0" w:color="auto"/>
              <w:right w:val="single" w:sz="2" w:space="0" w:color="auto"/>
            </w:tcBorders>
            <w:vAlign w:val="center"/>
          </w:tcPr>
          <w:p w14:paraId="5C3769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133,131,483.15</w:t>
            </w:r>
          </w:p>
        </w:tc>
      </w:tr>
      <w:tr w:rsidR="00F73301" w:rsidRPr="00F73301" w14:paraId="3CB8723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D49C61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3213" w:type="dxa"/>
            <w:tcBorders>
              <w:top w:val="single" w:sz="2" w:space="0" w:color="auto"/>
              <w:left w:val="single" w:sz="2" w:space="0" w:color="auto"/>
              <w:bottom w:val="single" w:sz="2" w:space="0" w:color="auto"/>
              <w:right w:val="single" w:sz="2" w:space="0" w:color="auto"/>
            </w:tcBorders>
            <w:vAlign w:val="center"/>
          </w:tcPr>
          <w:p w14:paraId="32404E6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10,000,083.21</w:t>
            </w:r>
          </w:p>
        </w:tc>
        <w:tc>
          <w:tcPr>
            <w:tcW w:w="3213" w:type="dxa"/>
            <w:tcBorders>
              <w:top w:val="single" w:sz="2" w:space="0" w:color="auto"/>
              <w:left w:val="single" w:sz="2" w:space="0" w:color="auto"/>
              <w:bottom w:val="single" w:sz="2" w:space="0" w:color="auto"/>
              <w:right w:val="single" w:sz="2" w:space="0" w:color="auto"/>
            </w:tcBorders>
            <w:vAlign w:val="center"/>
          </w:tcPr>
          <w:p w14:paraId="680C58D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43,502,397.68</w:t>
            </w:r>
          </w:p>
        </w:tc>
      </w:tr>
      <w:tr w:rsidR="00F73301" w:rsidRPr="00F73301" w14:paraId="1F5E312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02807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7A07694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96,123,721.95</w:t>
            </w:r>
          </w:p>
        </w:tc>
        <w:tc>
          <w:tcPr>
            <w:tcW w:w="3213" w:type="dxa"/>
            <w:tcBorders>
              <w:top w:val="single" w:sz="2" w:space="0" w:color="auto"/>
              <w:left w:val="single" w:sz="2" w:space="0" w:color="auto"/>
              <w:bottom w:val="single" w:sz="2" w:space="0" w:color="auto"/>
              <w:right w:val="single" w:sz="2" w:space="0" w:color="auto"/>
            </w:tcBorders>
            <w:vAlign w:val="center"/>
          </w:tcPr>
          <w:p w14:paraId="095F12B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256,990,450.93</w:t>
            </w:r>
          </w:p>
        </w:tc>
      </w:tr>
    </w:tbl>
    <w:p w14:paraId="7B8F845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4BD611FE"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E7D2340"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73" w:name="_Toc989161"/>
      <w:r w:rsidRPr="00F73301">
        <w:rPr>
          <w:rFonts w:ascii="Times New Roman" w:eastAsia="宋体" w:hAnsi="Times New Roman" w:cs="Times New Roman"/>
          <w:b/>
          <w:bCs/>
          <w:sz w:val="24"/>
          <w:szCs w:val="24"/>
        </w:rPr>
        <w:t>(2) Cash used in other operating activities</w:t>
      </w:r>
      <w:bookmarkEnd w:id="273"/>
    </w:p>
    <w:p w14:paraId="51BE3041"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678FFDB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4E1DE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DF180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A9222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61023AD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A04731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Office expenses</w:t>
            </w:r>
          </w:p>
        </w:tc>
        <w:tc>
          <w:tcPr>
            <w:tcW w:w="3213" w:type="dxa"/>
            <w:tcBorders>
              <w:top w:val="single" w:sz="2" w:space="0" w:color="auto"/>
              <w:left w:val="single" w:sz="2" w:space="0" w:color="auto"/>
              <w:bottom w:val="single" w:sz="2" w:space="0" w:color="auto"/>
              <w:right w:val="single" w:sz="2" w:space="0" w:color="auto"/>
            </w:tcBorders>
            <w:vAlign w:val="center"/>
          </w:tcPr>
          <w:p w14:paraId="37C073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20,819,935.71</w:t>
            </w:r>
          </w:p>
        </w:tc>
        <w:tc>
          <w:tcPr>
            <w:tcW w:w="3213" w:type="dxa"/>
            <w:tcBorders>
              <w:top w:val="single" w:sz="2" w:space="0" w:color="auto"/>
              <w:left w:val="single" w:sz="2" w:space="0" w:color="auto"/>
              <w:bottom w:val="single" w:sz="2" w:space="0" w:color="auto"/>
              <w:right w:val="single" w:sz="2" w:space="0" w:color="auto"/>
            </w:tcBorders>
            <w:vAlign w:val="center"/>
          </w:tcPr>
          <w:p w14:paraId="6D1530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15,386,849.89</w:t>
            </w:r>
          </w:p>
        </w:tc>
      </w:tr>
      <w:tr w:rsidR="00F73301" w:rsidRPr="00F73301" w14:paraId="57268E4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D989FB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Technology development expenses</w:t>
            </w:r>
          </w:p>
        </w:tc>
        <w:tc>
          <w:tcPr>
            <w:tcW w:w="3213" w:type="dxa"/>
            <w:tcBorders>
              <w:top w:val="single" w:sz="2" w:space="0" w:color="auto"/>
              <w:left w:val="single" w:sz="2" w:space="0" w:color="auto"/>
              <w:bottom w:val="single" w:sz="2" w:space="0" w:color="auto"/>
              <w:right w:val="single" w:sz="2" w:space="0" w:color="auto"/>
            </w:tcBorders>
            <w:vAlign w:val="center"/>
          </w:tcPr>
          <w:p w14:paraId="533476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2,721,600.24</w:t>
            </w:r>
          </w:p>
        </w:tc>
        <w:tc>
          <w:tcPr>
            <w:tcW w:w="3213" w:type="dxa"/>
            <w:tcBorders>
              <w:top w:val="single" w:sz="2" w:space="0" w:color="auto"/>
              <w:left w:val="single" w:sz="2" w:space="0" w:color="auto"/>
              <w:bottom w:val="single" w:sz="2" w:space="0" w:color="auto"/>
              <w:right w:val="single" w:sz="2" w:space="0" w:color="auto"/>
            </w:tcBorders>
            <w:vAlign w:val="center"/>
          </w:tcPr>
          <w:p w14:paraId="1EC3C34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1,751,931.09</w:t>
            </w:r>
          </w:p>
        </w:tc>
      </w:tr>
      <w:tr w:rsidR="00F73301" w:rsidRPr="00F73301" w14:paraId="26B072F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D2DD2D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Payments for various deposits</w:t>
            </w:r>
          </w:p>
        </w:tc>
        <w:tc>
          <w:tcPr>
            <w:tcW w:w="3213" w:type="dxa"/>
            <w:tcBorders>
              <w:top w:val="single" w:sz="2" w:space="0" w:color="auto"/>
              <w:left w:val="single" w:sz="2" w:space="0" w:color="auto"/>
              <w:bottom w:val="single" w:sz="2" w:space="0" w:color="auto"/>
              <w:right w:val="single" w:sz="2" w:space="0" w:color="auto"/>
            </w:tcBorders>
            <w:vAlign w:val="center"/>
          </w:tcPr>
          <w:p w14:paraId="61FEB57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8,135,151.39</w:t>
            </w:r>
          </w:p>
        </w:tc>
        <w:tc>
          <w:tcPr>
            <w:tcW w:w="3213" w:type="dxa"/>
            <w:tcBorders>
              <w:top w:val="single" w:sz="2" w:space="0" w:color="auto"/>
              <w:left w:val="single" w:sz="2" w:space="0" w:color="auto"/>
              <w:bottom w:val="single" w:sz="2" w:space="0" w:color="auto"/>
              <w:right w:val="single" w:sz="2" w:space="0" w:color="auto"/>
            </w:tcBorders>
            <w:vAlign w:val="center"/>
          </w:tcPr>
          <w:p w14:paraId="03852A3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131,637,497.04</w:t>
            </w:r>
          </w:p>
        </w:tc>
      </w:tr>
      <w:tr w:rsidR="00F73301" w:rsidRPr="00F73301" w14:paraId="1FC2214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A374D6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Business entertainment expenses</w:t>
            </w:r>
          </w:p>
        </w:tc>
        <w:tc>
          <w:tcPr>
            <w:tcW w:w="3213" w:type="dxa"/>
            <w:tcBorders>
              <w:top w:val="single" w:sz="2" w:space="0" w:color="auto"/>
              <w:left w:val="single" w:sz="2" w:space="0" w:color="auto"/>
              <w:bottom w:val="single" w:sz="2" w:space="0" w:color="auto"/>
              <w:right w:val="single" w:sz="2" w:space="0" w:color="auto"/>
            </w:tcBorders>
            <w:vAlign w:val="center"/>
          </w:tcPr>
          <w:p w14:paraId="16A1B3A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6,144,754.96</w:t>
            </w:r>
          </w:p>
        </w:tc>
        <w:tc>
          <w:tcPr>
            <w:tcW w:w="3213" w:type="dxa"/>
            <w:tcBorders>
              <w:top w:val="single" w:sz="2" w:space="0" w:color="auto"/>
              <w:left w:val="single" w:sz="2" w:space="0" w:color="auto"/>
              <w:bottom w:val="single" w:sz="2" w:space="0" w:color="auto"/>
              <w:right w:val="single" w:sz="2" w:space="0" w:color="auto"/>
            </w:tcBorders>
            <w:vAlign w:val="center"/>
          </w:tcPr>
          <w:p w14:paraId="5474CB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4,384,162.86</w:t>
            </w:r>
          </w:p>
        </w:tc>
      </w:tr>
      <w:tr w:rsidR="00F73301" w:rsidRPr="00F73301" w14:paraId="5955CA6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58319A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Business traveling expenses</w:t>
            </w:r>
          </w:p>
        </w:tc>
        <w:tc>
          <w:tcPr>
            <w:tcW w:w="3213" w:type="dxa"/>
            <w:tcBorders>
              <w:top w:val="single" w:sz="2" w:space="0" w:color="auto"/>
              <w:left w:val="single" w:sz="2" w:space="0" w:color="auto"/>
              <w:bottom w:val="single" w:sz="2" w:space="0" w:color="auto"/>
              <w:right w:val="single" w:sz="2" w:space="0" w:color="auto"/>
            </w:tcBorders>
            <w:vAlign w:val="center"/>
          </w:tcPr>
          <w:p w14:paraId="417CD1D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9,535,267.08</w:t>
            </w:r>
          </w:p>
        </w:tc>
        <w:tc>
          <w:tcPr>
            <w:tcW w:w="3213" w:type="dxa"/>
            <w:tcBorders>
              <w:top w:val="single" w:sz="2" w:space="0" w:color="auto"/>
              <w:left w:val="single" w:sz="2" w:space="0" w:color="auto"/>
              <w:bottom w:val="single" w:sz="2" w:space="0" w:color="auto"/>
              <w:right w:val="single" w:sz="2" w:space="0" w:color="auto"/>
            </w:tcBorders>
            <w:vAlign w:val="center"/>
          </w:tcPr>
          <w:p w14:paraId="6C8C318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2,786,561.60</w:t>
            </w:r>
          </w:p>
        </w:tc>
      </w:tr>
      <w:tr w:rsidR="00F73301" w:rsidRPr="00F73301" w14:paraId="70EDC89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B41FBA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Intermediary service fees</w:t>
            </w:r>
          </w:p>
        </w:tc>
        <w:tc>
          <w:tcPr>
            <w:tcW w:w="3213" w:type="dxa"/>
            <w:tcBorders>
              <w:top w:val="single" w:sz="2" w:space="0" w:color="auto"/>
              <w:left w:val="single" w:sz="2" w:space="0" w:color="auto"/>
              <w:bottom w:val="single" w:sz="2" w:space="0" w:color="auto"/>
              <w:right w:val="single" w:sz="2" w:space="0" w:color="auto"/>
            </w:tcBorders>
            <w:vAlign w:val="center"/>
          </w:tcPr>
          <w:p w14:paraId="3D5F03C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8,477,119.86</w:t>
            </w:r>
          </w:p>
        </w:tc>
        <w:tc>
          <w:tcPr>
            <w:tcW w:w="3213" w:type="dxa"/>
            <w:tcBorders>
              <w:top w:val="single" w:sz="2" w:space="0" w:color="auto"/>
              <w:left w:val="single" w:sz="2" w:space="0" w:color="auto"/>
              <w:bottom w:val="single" w:sz="2" w:space="0" w:color="auto"/>
              <w:right w:val="single" w:sz="2" w:space="0" w:color="auto"/>
            </w:tcBorders>
            <w:vAlign w:val="center"/>
          </w:tcPr>
          <w:p w14:paraId="01212D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9,046,499.17</w:t>
            </w:r>
          </w:p>
        </w:tc>
      </w:tr>
      <w:tr w:rsidR="00F73301" w:rsidRPr="00F73301" w14:paraId="495F40F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D35B4A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Business publicity fees</w:t>
            </w:r>
          </w:p>
        </w:tc>
        <w:tc>
          <w:tcPr>
            <w:tcW w:w="3213" w:type="dxa"/>
            <w:tcBorders>
              <w:top w:val="single" w:sz="2" w:space="0" w:color="auto"/>
              <w:left w:val="single" w:sz="2" w:space="0" w:color="auto"/>
              <w:bottom w:val="single" w:sz="2" w:space="0" w:color="auto"/>
              <w:right w:val="single" w:sz="2" w:space="0" w:color="auto"/>
            </w:tcBorders>
            <w:vAlign w:val="center"/>
          </w:tcPr>
          <w:p w14:paraId="406068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2,419,528.99</w:t>
            </w:r>
          </w:p>
        </w:tc>
        <w:tc>
          <w:tcPr>
            <w:tcW w:w="3213" w:type="dxa"/>
            <w:tcBorders>
              <w:top w:val="single" w:sz="2" w:space="0" w:color="auto"/>
              <w:left w:val="single" w:sz="2" w:space="0" w:color="auto"/>
              <w:bottom w:val="single" w:sz="2" w:space="0" w:color="auto"/>
              <w:right w:val="single" w:sz="2" w:space="0" w:color="auto"/>
            </w:tcBorders>
            <w:vAlign w:val="center"/>
          </w:tcPr>
          <w:p w14:paraId="4D8383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1,158,944.23</w:t>
            </w:r>
          </w:p>
        </w:tc>
      </w:tr>
      <w:tr w:rsidR="00F73301" w:rsidRPr="00F73301" w14:paraId="093F651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64D0C2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Donation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34D79F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4,748,240.44</w:t>
            </w:r>
          </w:p>
        </w:tc>
        <w:tc>
          <w:tcPr>
            <w:tcW w:w="3213" w:type="dxa"/>
            <w:tcBorders>
              <w:top w:val="single" w:sz="2" w:space="0" w:color="auto"/>
              <w:left w:val="single" w:sz="2" w:space="0" w:color="auto"/>
              <w:bottom w:val="single" w:sz="2" w:space="0" w:color="auto"/>
              <w:right w:val="single" w:sz="2" w:space="0" w:color="auto"/>
            </w:tcBorders>
            <w:vAlign w:val="center"/>
          </w:tcPr>
          <w:p w14:paraId="4F1F926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5,562,000.00</w:t>
            </w:r>
          </w:p>
        </w:tc>
      </w:tr>
      <w:tr w:rsidR="00F73301" w:rsidRPr="00F73301" w14:paraId="7945638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014D7C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3213" w:type="dxa"/>
            <w:tcBorders>
              <w:top w:val="single" w:sz="2" w:space="0" w:color="auto"/>
              <w:left w:val="single" w:sz="2" w:space="0" w:color="auto"/>
              <w:bottom w:val="single" w:sz="2" w:space="0" w:color="auto"/>
              <w:right w:val="single" w:sz="2" w:space="0" w:color="auto"/>
            </w:tcBorders>
            <w:vAlign w:val="center"/>
          </w:tcPr>
          <w:p w14:paraId="1AA6B3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5,468,238.59</w:t>
            </w:r>
          </w:p>
        </w:tc>
        <w:tc>
          <w:tcPr>
            <w:tcW w:w="3213" w:type="dxa"/>
            <w:tcBorders>
              <w:top w:val="single" w:sz="2" w:space="0" w:color="auto"/>
              <w:left w:val="single" w:sz="2" w:space="0" w:color="auto"/>
              <w:bottom w:val="single" w:sz="2" w:space="0" w:color="auto"/>
              <w:right w:val="single" w:sz="2" w:space="0" w:color="auto"/>
            </w:tcBorders>
            <w:vAlign w:val="center"/>
          </w:tcPr>
          <w:p w14:paraId="0838774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8,391,516.53</w:t>
            </w:r>
          </w:p>
        </w:tc>
      </w:tr>
      <w:tr w:rsidR="00F73301" w:rsidRPr="00F73301" w14:paraId="5A607B6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08A98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455C9EB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68,469,837.26</w:t>
            </w:r>
          </w:p>
        </w:tc>
        <w:tc>
          <w:tcPr>
            <w:tcW w:w="3213" w:type="dxa"/>
            <w:tcBorders>
              <w:top w:val="single" w:sz="2" w:space="0" w:color="auto"/>
              <w:left w:val="single" w:sz="2" w:space="0" w:color="auto"/>
              <w:bottom w:val="single" w:sz="2" w:space="0" w:color="auto"/>
              <w:right w:val="single" w:sz="2" w:space="0" w:color="auto"/>
            </w:tcBorders>
            <w:vAlign w:val="center"/>
          </w:tcPr>
          <w:p w14:paraId="0D42E5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180,105,962.41</w:t>
            </w:r>
          </w:p>
        </w:tc>
      </w:tr>
    </w:tbl>
    <w:p w14:paraId="426ABAAB"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1387F7F5"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2403091"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74" w:name="_Toc989162"/>
      <w:r w:rsidRPr="00F73301">
        <w:rPr>
          <w:rFonts w:ascii="Times New Roman" w:eastAsia="宋体" w:hAnsi="Times New Roman" w:cs="Times New Roman"/>
          <w:b/>
          <w:bCs/>
          <w:sz w:val="24"/>
          <w:szCs w:val="24"/>
        </w:rPr>
        <w:t>(3) Cash generated from other investing activities</w:t>
      </w:r>
      <w:bookmarkEnd w:id="274"/>
    </w:p>
    <w:p w14:paraId="53941E3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7DFDAA1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58014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356D0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A3E7B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0C8071B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773981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Financial products redeemed</w:t>
            </w:r>
          </w:p>
        </w:tc>
        <w:tc>
          <w:tcPr>
            <w:tcW w:w="3213" w:type="dxa"/>
            <w:tcBorders>
              <w:top w:val="single" w:sz="2" w:space="0" w:color="auto"/>
              <w:left w:val="single" w:sz="2" w:space="0" w:color="auto"/>
              <w:bottom w:val="single" w:sz="2" w:space="0" w:color="auto"/>
              <w:right w:val="single" w:sz="2" w:space="0" w:color="auto"/>
            </w:tcBorders>
            <w:vAlign w:val="center"/>
          </w:tcPr>
          <w:p w14:paraId="789D77F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142,600,000.00</w:t>
            </w:r>
          </w:p>
        </w:tc>
        <w:tc>
          <w:tcPr>
            <w:tcW w:w="3213" w:type="dxa"/>
            <w:tcBorders>
              <w:top w:val="single" w:sz="2" w:space="0" w:color="auto"/>
              <w:left w:val="single" w:sz="2" w:space="0" w:color="auto"/>
              <w:bottom w:val="single" w:sz="2" w:space="0" w:color="auto"/>
              <w:right w:val="single" w:sz="2" w:space="0" w:color="auto"/>
            </w:tcBorders>
            <w:vAlign w:val="center"/>
          </w:tcPr>
          <w:p w14:paraId="4C0F92D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992,789,515.30</w:t>
            </w:r>
          </w:p>
        </w:tc>
      </w:tr>
      <w:tr w:rsidR="00F73301" w:rsidRPr="00F73301" w14:paraId="1BC316E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6970A6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Deposits for equity acquisition recovered</w:t>
            </w:r>
          </w:p>
        </w:tc>
        <w:tc>
          <w:tcPr>
            <w:tcW w:w="3213" w:type="dxa"/>
            <w:tcBorders>
              <w:top w:val="single" w:sz="2" w:space="0" w:color="auto"/>
              <w:left w:val="single" w:sz="2" w:space="0" w:color="auto"/>
              <w:bottom w:val="single" w:sz="2" w:space="0" w:color="auto"/>
              <w:right w:val="single" w:sz="2" w:space="0" w:color="auto"/>
            </w:tcBorders>
            <w:vAlign w:val="center"/>
          </w:tcPr>
          <w:p w14:paraId="5B7760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14:paraId="0DB60A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20,000,000.00</w:t>
            </w:r>
          </w:p>
        </w:tc>
      </w:tr>
      <w:tr w:rsidR="00F73301" w:rsidRPr="00F73301" w14:paraId="077C12F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652C09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Land purchase deposits recovered</w:t>
            </w:r>
          </w:p>
        </w:tc>
        <w:tc>
          <w:tcPr>
            <w:tcW w:w="3213" w:type="dxa"/>
            <w:tcBorders>
              <w:top w:val="single" w:sz="2" w:space="0" w:color="auto"/>
              <w:left w:val="single" w:sz="2" w:space="0" w:color="auto"/>
              <w:bottom w:val="single" w:sz="2" w:space="0" w:color="auto"/>
              <w:right w:val="single" w:sz="2" w:space="0" w:color="auto"/>
            </w:tcBorders>
            <w:vAlign w:val="center"/>
          </w:tcPr>
          <w:p w14:paraId="4FB403F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18,837,931.20</w:t>
            </w:r>
          </w:p>
        </w:tc>
        <w:tc>
          <w:tcPr>
            <w:tcW w:w="3213" w:type="dxa"/>
            <w:tcBorders>
              <w:top w:val="single" w:sz="2" w:space="0" w:color="auto"/>
              <w:left w:val="single" w:sz="2" w:space="0" w:color="auto"/>
              <w:bottom w:val="single" w:sz="2" w:space="0" w:color="auto"/>
              <w:right w:val="single" w:sz="2" w:space="0" w:color="auto"/>
            </w:tcBorders>
            <w:vAlign w:val="center"/>
          </w:tcPr>
          <w:p w14:paraId="480874F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E36828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DEFF1B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Acceptance deposits recovered</w:t>
            </w:r>
          </w:p>
        </w:tc>
        <w:tc>
          <w:tcPr>
            <w:tcW w:w="3213" w:type="dxa"/>
            <w:tcBorders>
              <w:top w:val="single" w:sz="2" w:space="0" w:color="auto"/>
              <w:left w:val="single" w:sz="2" w:space="0" w:color="auto"/>
              <w:bottom w:val="single" w:sz="2" w:space="0" w:color="auto"/>
              <w:right w:val="single" w:sz="2" w:space="0" w:color="auto"/>
            </w:tcBorders>
            <w:vAlign w:val="center"/>
          </w:tcPr>
          <w:p w14:paraId="391889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10,140,428.79</w:t>
            </w:r>
          </w:p>
        </w:tc>
        <w:tc>
          <w:tcPr>
            <w:tcW w:w="3213" w:type="dxa"/>
            <w:tcBorders>
              <w:top w:val="single" w:sz="2" w:space="0" w:color="auto"/>
              <w:left w:val="single" w:sz="2" w:space="0" w:color="auto"/>
              <w:bottom w:val="single" w:sz="2" w:space="0" w:color="auto"/>
              <w:right w:val="single" w:sz="2" w:space="0" w:color="auto"/>
            </w:tcBorders>
            <w:vAlign w:val="center"/>
          </w:tcPr>
          <w:p w14:paraId="7D52027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599828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39438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5BE0D33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181,578,359.99</w:t>
            </w:r>
          </w:p>
        </w:tc>
        <w:tc>
          <w:tcPr>
            <w:tcW w:w="3213" w:type="dxa"/>
            <w:tcBorders>
              <w:top w:val="single" w:sz="2" w:space="0" w:color="auto"/>
              <w:left w:val="single" w:sz="2" w:space="0" w:color="auto"/>
              <w:bottom w:val="single" w:sz="2" w:space="0" w:color="auto"/>
              <w:right w:val="single" w:sz="2" w:space="0" w:color="auto"/>
            </w:tcBorders>
            <w:vAlign w:val="center"/>
          </w:tcPr>
          <w:p w14:paraId="5B137C6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1,012,789,515.30</w:t>
            </w:r>
          </w:p>
        </w:tc>
      </w:tr>
    </w:tbl>
    <w:p w14:paraId="3D31EEA1"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3F9C720D"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FD03536"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75" w:name="_Toc989163"/>
      <w:r w:rsidRPr="00F73301">
        <w:rPr>
          <w:rFonts w:ascii="Times New Roman" w:eastAsia="宋体" w:hAnsi="Times New Roman" w:cs="Times New Roman"/>
          <w:b/>
          <w:bCs/>
          <w:sz w:val="24"/>
          <w:szCs w:val="24"/>
        </w:rPr>
        <w:t>(4) Cash used in other investing activities</w:t>
      </w:r>
      <w:bookmarkEnd w:id="275"/>
    </w:p>
    <w:p w14:paraId="2196465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7DF84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1441E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3128C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F5A59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35EA186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4D7D98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 of financial products</w:t>
            </w:r>
          </w:p>
        </w:tc>
        <w:tc>
          <w:tcPr>
            <w:tcW w:w="3213" w:type="dxa"/>
            <w:tcBorders>
              <w:top w:val="single" w:sz="2" w:space="0" w:color="auto"/>
              <w:left w:val="single" w:sz="2" w:space="0" w:color="auto"/>
              <w:bottom w:val="single" w:sz="2" w:space="0" w:color="auto"/>
              <w:right w:val="single" w:sz="2" w:space="0" w:color="auto"/>
            </w:tcBorders>
            <w:vAlign w:val="center"/>
          </w:tcPr>
          <w:p w14:paraId="57C0EE9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20,800,000.00</w:t>
            </w:r>
          </w:p>
        </w:tc>
        <w:tc>
          <w:tcPr>
            <w:tcW w:w="3213" w:type="dxa"/>
            <w:tcBorders>
              <w:top w:val="single" w:sz="2" w:space="0" w:color="auto"/>
              <w:left w:val="single" w:sz="2" w:space="0" w:color="auto"/>
              <w:bottom w:val="single" w:sz="2" w:space="0" w:color="auto"/>
              <w:right w:val="single" w:sz="2" w:space="0" w:color="auto"/>
            </w:tcBorders>
            <w:vAlign w:val="center"/>
          </w:tcPr>
          <w:p w14:paraId="1F8E6CA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910,000,000.00</w:t>
            </w:r>
          </w:p>
        </w:tc>
      </w:tr>
      <w:tr w:rsidR="00F73301" w:rsidRPr="00F73301" w14:paraId="603C88C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0B819C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Payments for deposits for letters of credit</w:t>
            </w:r>
          </w:p>
        </w:tc>
        <w:tc>
          <w:tcPr>
            <w:tcW w:w="3213" w:type="dxa"/>
            <w:tcBorders>
              <w:top w:val="single" w:sz="2" w:space="0" w:color="auto"/>
              <w:left w:val="single" w:sz="2" w:space="0" w:color="auto"/>
              <w:bottom w:val="single" w:sz="2" w:space="0" w:color="auto"/>
              <w:right w:val="single" w:sz="2" w:space="0" w:color="auto"/>
            </w:tcBorders>
            <w:vAlign w:val="center"/>
          </w:tcPr>
          <w:p w14:paraId="61C22E7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5,082,280.07</w:t>
            </w:r>
          </w:p>
        </w:tc>
        <w:tc>
          <w:tcPr>
            <w:tcW w:w="3213" w:type="dxa"/>
            <w:tcBorders>
              <w:top w:val="single" w:sz="2" w:space="0" w:color="auto"/>
              <w:left w:val="single" w:sz="2" w:space="0" w:color="auto"/>
              <w:bottom w:val="single" w:sz="2" w:space="0" w:color="auto"/>
              <w:right w:val="single" w:sz="2" w:space="0" w:color="auto"/>
            </w:tcBorders>
            <w:vAlign w:val="center"/>
          </w:tcPr>
          <w:p w14:paraId="717CEA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27,429,979.73</w:t>
            </w:r>
          </w:p>
        </w:tc>
      </w:tr>
      <w:tr w:rsidR="00F73301" w:rsidRPr="00F73301" w14:paraId="21FCCC2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D587D0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Land purchase deposits</w:t>
            </w:r>
          </w:p>
        </w:tc>
        <w:tc>
          <w:tcPr>
            <w:tcW w:w="3213" w:type="dxa"/>
            <w:tcBorders>
              <w:top w:val="single" w:sz="2" w:space="0" w:color="auto"/>
              <w:left w:val="single" w:sz="2" w:space="0" w:color="auto"/>
              <w:bottom w:val="single" w:sz="2" w:space="0" w:color="auto"/>
              <w:right w:val="single" w:sz="2" w:space="0" w:color="auto"/>
            </w:tcBorders>
            <w:vAlign w:val="center"/>
          </w:tcPr>
          <w:p w14:paraId="16C178F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18,932,320.00</w:t>
            </w:r>
          </w:p>
        </w:tc>
        <w:tc>
          <w:tcPr>
            <w:tcW w:w="3213" w:type="dxa"/>
            <w:tcBorders>
              <w:top w:val="single" w:sz="2" w:space="0" w:color="auto"/>
              <w:left w:val="single" w:sz="2" w:space="0" w:color="auto"/>
              <w:bottom w:val="single" w:sz="2" w:space="0" w:color="auto"/>
              <w:right w:val="single" w:sz="2" w:space="0" w:color="auto"/>
            </w:tcBorders>
            <w:vAlign w:val="center"/>
          </w:tcPr>
          <w:p w14:paraId="174A8C8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11FBE4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30390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2709758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44,814,600.07</w:t>
            </w:r>
          </w:p>
        </w:tc>
        <w:tc>
          <w:tcPr>
            <w:tcW w:w="3213" w:type="dxa"/>
            <w:tcBorders>
              <w:top w:val="single" w:sz="2" w:space="0" w:color="auto"/>
              <w:left w:val="single" w:sz="2" w:space="0" w:color="auto"/>
              <w:bottom w:val="single" w:sz="2" w:space="0" w:color="auto"/>
              <w:right w:val="single" w:sz="2" w:space="0" w:color="auto"/>
            </w:tcBorders>
            <w:vAlign w:val="center"/>
          </w:tcPr>
          <w:p w14:paraId="30ED77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937,429,979.73</w:t>
            </w:r>
          </w:p>
        </w:tc>
      </w:tr>
    </w:tbl>
    <w:p w14:paraId="59D3A68C"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27A93342"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120421F"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76" w:name="_Toc989164"/>
      <w:r w:rsidRPr="00F73301">
        <w:rPr>
          <w:rFonts w:ascii="Times New Roman" w:eastAsia="宋体" w:hAnsi="Times New Roman" w:cs="Times New Roman"/>
          <w:b/>
          <w:bCs/>
          <w:sz w:val="24"/>
          <w:szCs w:val="24"/>
        </w:rPr>
        <w:lastRenderedPageBreak/>
        <w:t>(5) Cash generated from other financing activities</w:t>
      </w:r>
      <w:bookmarkEnd w:id="276"/>
    </w:p>
    <w:p w14:paraId="6D955C4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1B827C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00FD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19947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612AE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bl>
    <w:p w14:paraId="20D9DB4D"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60BED7B0"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1465560E"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77" w:name="_Toc989165"/>
      <w:r w:rsidRPr="00F73301">
        <w:rPr>
          <w:rFonts w:ascii="Times New Roman" w:eastAsia="宋体" w:hAnsi="Times New Roman" w:cs="Times New Roman"/>
          <w:b/>
          <w:bCs/>
          <w:sz w:val="24"/>
          <w:szCs w:val="24"/>
        </w:rPr>
        <w:t>(6) Cash used in other financing activities</w:t>
      </w:r>
      <w:bookmarkEnd w:id="277"/>
    </w:p>
    <w:p w14:paraId="0EA305C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1E7A06A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21104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79AEE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38E37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385475E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A5DC24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accounts</w:t>
            </w:r>
          </w:p>
        </w:tc>
        <w:tc>
          <w:tcPr>
            <w:tcW w:w="3213" w:type="dxa"/>
            <w:tcBorders>
              <w:top w:val="single" w:sz="2" w:space="0" w:color="auto"/>
              <w:left w:val="single" w:sz="2" w:space="0" w:color="auto"/>
              <w:bottom w:val="single" w:sz="2" w:space="0" w:color="auto"/>
              <w:right w:val="single" w:sz="2" w:space="0" w:color="auto"/>
            </w:tcBorders>
            <w:vAlign w:val="center"/>
          </w:tcPr>
          <w:p w14:paraId="09F4066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A740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2,460,000.00</w:t>
            </w:r>
          </w:p>
        </w:tc>
      </w:tr>
      <w:tr w:rsidR="00F73301" w:rsidRPr="00F73301" w14:paraId="5F27D57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B3CDEA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Non-public issuance expenses</w:t>
            </w:r>
          </w:p>
        </w:tc>
        <w:tc>
          <w:tcPr>
            <w:tcW w:w="3213" w:type="dxa"/>
            <w:tcBorders>
              <w:top w:val="single" w:sz="2" w:space="0" w:color="auto"/>
              <w:left w:val="single" w:sz="2" w:space="0" w:color="auto"/>
              <w:bottom w:val="single" w:sz="2" w:space="0" w:color="auto"/>
              <w:right w:val="single" w:sz="2" w:space="0" w:color="auto"/>
            </w:tcBorders>
            <w:vAlign w:val="center"/>
          </w:tcPr>
          <w:p w14:paraId="0935EF6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10,670,468.69</w:t>
            </w:r>
          </w:p>
        </w:tc>
        <w:tc>
          <w:tcPr>
            <w:tcW w:w="3213" w:type="dxa"/>
            <w:tcBorders>
              <w:top w:val="single" w:sz="2" w:space="0" w:color="auto"/>
              <w:left w:val="single" w:sz="2" w:space="0" w:color="auto"/>
              <w:bottom w:val="single" w:sz="2" w:space="0" w:color="auto"/>
              <w:right w:val="single" w:sz="2" w:space="0" w:color="auto"/>
            </w:tcBorders>
            <w:vAlign w:val="center"/>
          </w:tcPr>
          <w:p w14:paraId="752D1FB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A7BD36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35832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1DF58D9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10,670,468.69</w:t>
            </w:r>
          </w:p>
        </w:tc>
        <w:tc>
          <w:tcPr>
            <w:tcW w:w="3213" w:type="dxa"/>
            <w:tcBorders>
              <w:top w:val="single" w:sz="2" w:space="0" w:color="auto"/>
              <w:left w:val="single" w:sz="2" w:space="0" w:color="auto"/>
              <w:bottom w:val="single" w:sz="2" w:space="0" w:color="auto"/>
              <w:right w:val="single" w:sz="2" w:space="0" w:color="auto"/>
            </w:tcBorders>
            <w:vAlign w:val="center"/>
          </w:tcPr>
          <w:p w14:paraId="7044CD1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2,460,000.00</w:t>
            </w:r>
          </w:p>
        </w:tc>
      </w:tr>
    </w:tbl>
    <w:p w14:paraId="1B69E22C"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48167DF6"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1EB2740"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78" w:name="_Toc989166"/>
      <w:r w:rsidRPr="00F73301">
        <w:rPr>
          <w:rFonts w:ascii="Times New Roman" w:eastAsia="宋体" w:hAnsi="Times New Roman" w:cs="Times New Roman"/>
          <w:b/>
          <w:bCs/>
          <w:sz w:val="24"/>
          <w:szCs w:val="24"/>
        </w:rPr>
        <w:t>55. Supplementary information to the cash flow statement</w:t>
      </w:r>
      <w:bookmarkEnd w:id="278"/>
    </w:p>
    <w:p w14:paraId="554D96C5"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79" w:name="_Toc989167"/>
      <w:r w:rsidRPr="00F73301">
        <w:rPr>
          <w:rFonts w:ascii="Times New Roman" w:eastAsia="宋体" w:hAnsi="Times New Roman" w:cs="Times New Roman"/>
          <w:b/>
          <w:bCs/>
          <w:sz w:val="24"/>
          <w:szCs w:val="24"/>
        </w:rPr>
        <w:t>(1) Supplemental information for cash flow statement</w:t>
      </w:r>
      <w:bookmarkEnd w:id="279"/>
    </w:p>
    <w:p w14:paraId="1C9DD93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F1EABE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A2B7B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Supplementary information</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6E01A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during the current period</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42435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Previous period</w:t>
            </w:r>
          </w:p>
        </w:tc>
      </w:tr>
      <w:tr w:rsidR="00F73301" w:rsidRPr="00F73301" w14:paraId="2BFF986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B4F54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 Reconciliation of net profit to cash flows from operating activities: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2D8D9"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B5C2D0"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4666C02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8778E6"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w:t>
            </w:r>
          </w:p>
        </w:tc>
        <w:tc>
          <w:tcPr>
            <w:tcW w:w="3213" w:type="dxa"/>
            <w:tcBorders>
              <w:top w:val="single" w:sz="2" w:space="0" w:color="auto"/>
              <w:left w:val="single" w:sz="2" w:space="0" w:color="auto"/>
              <w:bottom w:val="single" w:sz="2" w:space="0" w:color="auto"/>
              <w:right w:val="single" w:sz="2" w:space="0" w:color="auto"/>
            </w:tcBorders>
            <w:vAlign w:val="center"/>
          </w:tcPr>
          <w:p w14:paraId="7335C7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405,356,234.24</w:t>
            </w:r>
          </w:p>
        </w:tc>
        <w:tc>
          <w:tcPr>
            <w:tcW w:w="3213" w:type="dxa"/>
            <w:tcBorders>
              <w:top w:val="single" w:sz="2" w:space="0" w:color="auto"/>
              <w:left w:val="single" w:sz="2" w:space="0" w:color="auto"/>
              <w:bottom w:val="single" w:sz="2" w:space="0" w:color="auto"/>
              <w:right w:val="single" w:sz="2" w:space="0" w:color="auto"/>
            </w:tcBorders>
            <w:vAlign w:val="center"/>
          </w:tcPr>
          <w:p w14:paraId="7128D45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613,201,659.60</w:t>
            </w:r>
          </w:p>
        </w:tc>
      </w:tr>
      <w:tr w:rsidR="00F73301" w:rsidRPr="00F73301" w14:paraId="4ACF5B5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E795ED"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Add: Allowance for asset impairment</w:t>
            </w:r>
          </w:p>
        </w:tc>
        <w:tc>
          <w:tcPr>
            <w:tcW w:w="3213" w:type="dxa"/>
            <w:tcBorders>
              <w:top w:val="single" w:sz="2" w:space="0" w:color="auto"/>
              <w:left w:val="single" w:sz="2" w:space="0" w:color="auto"/>
              <w:bottom w:val="single" w:sz="2" w:space="0" w:color="auto"/>
              <w:right w:val="single" w:sz="2" w:space="0" w:color="auto"/>
            </w:tcBorders>
            <w:vAlign w:val="center"/>
          </w:tcPr>
          <w:p w14:paraId="456F908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27,191,500.99</w:t>
            </w:r>
          </w:p>
        </w:tc>
        <w:tc>
          <w:tcPr>
            <w:tcW w:w="3213" w:type="dxa"/>
            <w:tcBorders>
              <w:top w:val="single" w:sz="2" w:space="0" w:color="auto"/>
              <w:left w:val="single" w:sz="2" w:space="0" w:color="auto"/>
              <w:bottom w:val="single" w:sz="2" w:space="0" w:color="auto"/>
              <w:right w:val="single" w:sz="2" w:space="0" w:color="auto"/>
            </w:tcBorders>
            <w:vAlign w:val="center"/>
          </w:tcPr>
          <w:p w14:paraId="6409109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27,462,007.67</w:t>
            </w:r>
          </w:p>
        </w:tc>
      </w:tr>
      <w:tr w:rsidR="00F73301" w:rsidRPr="00F73301" w14:paraId="4A6257C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F0A9B9"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Depreciation of fixed assets, oil and gas assets, productive biological assets</w:t>
            </w:r>
          </w:p>
        </w:tc>
        <w:tc>
          <w:tcPr>
            <w:tcW w:w="3213" w:type="dxa"/>
            <w:tcBorders>
              <w:top w:val="single" w:sz="2" w:space="0" w:color="auto"/>
              <w:left w:val="single" w:sz="2" w:space="0" w:color="auto"/>
              <w:bottom w:val="single" w:sz="2" w:space="0" w:color="auto"/>
              <w:right w:val="single" w:sz="2" w:space="0" w:color="auto"/>
            </w:tcBorders>
            <w:vAlign w:val="center"/>
          </w:tcPr>
          <w:p w14:paraId="1EABD4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225,180,737.07</w:t>
            </w:r>
          </w:p>
        </w:tc>
        <w:tc>
          <w:tcPr>
            <w:tcW w:w="3213" w:type="dxa"/>
            <w:tcBorders>
              <w:top w:val="single" w:sz="2" w:space="0" w:color="auto"/>
              <w:left w:val="single" w:sz="2" w:space="0" w:color="auto"/>
              <w:bottom w:val="single" w:sz="2" w:space="0" w:color="auto"/>
              <w:right w:val="single" w:sz="2" w:space="0" w:color="auto"/>
            </w:tcBorders>
            <w:vAlign w:val="center"/>
          </w:tcPr>
          <w:p w14:paraId="410DD2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124,076,131.35</w:t>
            </w:r>
          </w:p>
        </w:tc>
      </w:tr>
      <w:tr w:rsidR="00F73301" w:rsidRPr="00F73301" w14:paraId="5F3678A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CEE455"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Depreciation of right-of-use assets</w:t>
            </w:r>
          </w:p>
        </w:tc>
        <w:tc>
          <w:tcPr>
            <w:tcW w:w="3213" w:type="dxa"/>
            <w:tcBorders>
              <w:top w:val="single" w:sz="2" w:space="0" w:color="auto"/>
              <w:left w:val="single" w:sz="2" w:space="0" w:color="auto"/>
              <w:bottom w:val="single" w:sz="2" w:space="0" w:color="auto"/>
              <w:right w:val="single" w:sz="2" w:space="0" w:color="auto"/>
            </w:tcBorders>
            <w:vAlign w:val="center"/>
          </w:tcPr>
          <w:p w14:paraId="511A65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5,627,727.01</w:t>
            </w:r>
          </w:p>
        </w:tc>
        <w:tc>
          <w:tcPr>
            <w:tcW w:w="3213" w:type="dxa"/>
            <w:tcBorders>
              <w:top w:val="single" w:sz="2" w:space="0" w:color="auto"/>
              <w:left w:val="single" w:sz="2" w:space="0" w:color="auto"/>
              <w:bottom w:val="single" w:sz="2" w:space="0" w:color="auto"/>
              <w:right w:val="single" w:sz="2" w:space="0" w:color="auto"/>
            </w:tcBorders>
            <w:vAlign w:val="center"/>
          </w:tcPr>
          <w:p w14:paraId="7CBC4F2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1,008,151.74</w:t>
            </w:r>
          </w:p>
        </w:tc>
      </w:tr>
      <w:tr w:rsidR="00F73301" w:rsidRPr="00F73301" w14:paraId="6FDF4A4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C013C2"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Amortization of intangible assets</w:t>
            </w:r>
          </w:p>
        </w:tc>
        <w:tc>
          <w:tcPr>
            <w:tcW w:w="3213" w:type="dxa"/>
            <w:tcBorders>
              <w:top w:val="single" w:sz="2" w:space="0" w:color="auto"/>
              <w:left w:val="single" w:sz="2" w:space="0" w:color="auto"/>
              <w:bottom w:val="single" w:sz="2" w:space="0" w:color="auto"/>
              <w:right w:val="single" w:sz="2" w:space="0" w:color="auto"/>
            </w:tcBorders>
            <w:vAlign w:val="center"/>
          </w:tcPr>
          <w:p w14:paraId="2EC2D8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5,190,062.58</w:t>
            </w:r>
          </w:p>
        </w:tc>
        <w:tc>
          <w:tcPr>
            <w:tcW w:w="3213" w:type="dxa"/>
            <w:tcBorders>
              <w:top w:val="single" w:sz="2" w:space="0" w:color="auto"/>
              <w:left w:val="single" w:sz="2" w:space="0" w:color="auto"/>
              <w:bottom w:val="single" w:sz="2" w:space="0" w:color="auto"/>
              <w:right w:val="single" w:sz="2" w:space="0" w:color="auto"/>
            </w:tcBorders>
            <w:vAlign w:val="center"/>
          </w:tcPr>
          <w:p w14:paraId="040932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3,834,550.39</w:t>
            </w:r>
          </w:p>
        </w:tc>
      </w:tr>
      <w:tr w:rsidR="00F73301" w:rsidRPr="00F73301" w14:paraId="5AFB30A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312363"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Amortization of long-term prepayments</w:t>
            </w:r>
          </w:p>
        </w:tc>
        <w:tc>
          <w:tcPr>
            <w:tcW w:w="3213" w:type="dxa"/>
            <w:tcBorders>
              <w:top w:val="single" w:sz="2" w:space="0" w:color="auto"/>
              <w:left w:val="single" w:sz="2" w:space="0" w:color="auto"/>
              <w:bottom w:val="single" w:sz="2" w:space="0" w:color="auto"/>
              <w:right w:val="single" w:sz="2" w:space="0" w:color="auto"/>
            </w:tcBorders>
            <w:vAlign w:val="center"/>
          </w:tcPr>
          <w:p w14:paraId="4C27839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26,030,356.21</w:t>
            </w:r>
          </w:p>
        </w:tc>
        <w:tc>
          <w:tcPr>
            <w:tcW w:w="3213" w:type="dxa"/>
            <w:tcBorders>
              <w:top w:val="single" w:sz="2" w:space="0" w:color="auto"/>
              <w:left w:val="single" w:sz="2" w:space="0" w:color="auto"/>
              <w:bottom w:val="single" w:sz="2" w:space="0" w:color="auto"/>
              <w:right w:val="single" w:sz="2" w:space="0" w:color="auto"/>
            </w:tcBorders>
            <w:vAlign w:val="center"/>
          </w:tcPr>
          <w:p w14:paraId="22EF8CD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26,759,953.96</w:t>
            </w:r>
          </w:p>
        </w:tc>
      </w:tr>
      <w:tr w:rsidR="00F73301" w:rsidRPr="00F73301" w14:paraId="4F5C8D8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857B7C"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Losses from disposal of fixed assets, intangible assets and other long-lived assets (gains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28DF2C9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516,259.91</w:t>
            </w:r>
          </w:p>
        </w:tc>
        <w:tc>
          <w:tcPr>
            <w:tcW w:w="3213" w:type="dxa"/>
            <w:tcBorders>
              <w:top w:val="single" w:sz="2" w:space="0" w:color="auto"/>
              <w:left w:val="single" w:sz="2" w:space="0" w:color="auto"/>
              <w:bottom w:val="single" w:sz="2" w:space="0" w:color="auto"/>
              <w:right w:val="single" w:sz="2" w:space="0" w:color="auto"/>
            </w:tcBorders>
            <w:vAlign w:val="center"/>
          </w:tcPr>
          <w:p w14:paraId="14BDC5D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-616,984.20</w:t>
            </w:r>
          </w:p>
        </w:tc>
      </w:tr>
      <w:tr w:rsidR="00F73301" w:rsidRPr="00F73301" w14:paraId="611DC49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AEFAAB"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Losses from scrap of fixed assets (gains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4FD33E8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736,516.94</w:t>
            </w:r>
          </w:p>
        </w:tc>
        <w:tc>
          <w:tcPr>
            <w:tcW w:w="3213" w:type="dxa"/>
            <w:tcBorders>
              <w:top w:val="single" w:sz="2" w:space="0" w:color="auto"/>
              <w:left w:val="single" w:sz="2" w:space="0" w:color="auto"/>
              <w:bottom w:val="single" w:sz="2" w:space="0" w:color="auto"/>
              <w:right w:val="single" w:sz="2" w:space="0" w:color="auto"/>
            </w:tcBorders>
            <w:vAlign w:val="center"/>
          </w:tcPr>
          <w:p w14:paraId="761365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751,673.55</w:t>
            </w:r>
          </w:p>
        </w:tc>
      </w:tr>
      <w:tr w:rsidR="00F73301" w:rsidRPr="00F73301" w14:paraId="1B11980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0BD342"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Losses from changes in fair value (gains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36B475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15,580,233.35</w:t>
            </w:r>
          </w:p>
        </w:tc>
        <w:tc>
          <w:tcPr>
            <w:tcW w:w="3213" w:type="dxa"/>
            <w:tcBorders>
              <w:top w:val="single" w:sz="2" w:space="0" w:color="auto"/>
              <w:left w:val="single" w:sz="2" w:space="0" w:color="auto"/>
              <w:bottom w:val="single" w:sz="2" w:space="0" w:color="auto"/>
              <w:right w:val="single" w:sz="2" w:space="0" w:color="auto"/>
            </w:tcBorders>
            <w:vAlign w:val="center"/>
          </w:tcPr>
          <w:p w14:paraId="4401FB4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11,218,254.41</w:t>
            </w:r>
          </w:p>
        </w:tc>
      </w:tr>
      <w:tr w:rsidR="00F73301" w:rsidRPr="00F73301" w14:paraId="4CB0127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021817"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Finance costs (gains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2462F2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-109,230,591.37</w:t>
            </w:r>
          </w:p>
        </w:tc>
        <w:tc>
          <w:tcPr>
            <w:tcW w:w="3213" w:type="dxa"/>
            <w:tcBorders>
              <w:top w:val="single" w:sz="2" w:space="0" w:color="auto"/>
              <w:left w:val="single" w:sz="2" w:space="0" w:color="auto"/>
              <w:bottom w:val="single" w:sz="2" w:space="0" w:color="auto"/>
              <w:right w:val="single" w:sz="2" w:space="0" w:color="auto"/>
            </w:tcBorders>
            <w:vAlign w:val="center"/>
          </w:tcPr>
          <w:p w14:paraId="02F0030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-13,363,983.56</w:t>
            </w:r>
          </w:p>
        </w:tc>
      </w:tr>
      <w:tr w:rsidR="00F73301" w:rsidRPr="00F73301" w14:paraId="12C9285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C1DFB7"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loss (gains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3DB0309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-35,468,139.61</w:t>
            </w:r>
          </w:p>
        </w:tc>
        <w:tc>
          <w:tcPr>
            <w:tcW w:w="3213" w:type="dxa"/>
            <w:tcBorders>
              <w:top w:val="single" w:sz="2" w:space="0" w:color="auto"/>
              <w:left w:val="single" w:sz="2" w:space="0" w:color="auto"/>
              <w:bottom w:val="single" w:sz="2" w:space="0" w:color="auto"/>
              <w:right w:val="single" w:sz="2" w:space="0" w:color="auto"/>
            </w:tcBorders>
            <w:vAlign w:val="center"/>
          </w:tcPr>
          <w:p w14:paraId="2B450B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-16,082,974.82</w:t>
            </w:r>
          </w:p>
        </w:tc>
      </w:tr>
      <w:tr w:rsidR="00F73301" w:rsidRPr="00F73301" w14:paraId="34771E4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1D574A"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Decrease in deferred tax assets (gains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62AA88D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2,061,978.48</w:t>
            </w:r>
          </w:p>
        </w:tc>
        <w:tc>
          <w:tcPr>
            <w:tcW w:w="3213" w:type="dxa"/>
            <w:tcBorders>
              <w:top w:val="single" w:sz="2" w:space="0" w:color="auto"/>
              <w:left w:val="single" w:sz="2" w:space="0" w:color="auto"/>
              <w:bottom w:val="single" w:sz="2" w:space="0" w:color="auto"/>
              <w:right w:val="single" w:sz="2" w:space="0" w:color="auto"/>
            </w:tcBorders>
            <w:vAlign w:val="center"/>
          </w:tcPr>
          <w:p w14:paraId="4351CEC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-1,498,403.14</w:t>
            </w:r>
          </w:p>
        </w:tc>
      </w:tr>
      <w:tr w:rsidR="00F73301" w:rsidRPr="00F73301" w14:paraId="1E09777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D19682"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Increase in deferred tax liabilities (decrease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7B87D7B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26,191,541.40</w:t>
            </w:r>
          </w:p>
        </w:tc>
        <w:tc>
          <w:tcPr>
            <w:tcW w:w="3213" w:type="dxa"/>
            <w:tcBorders>
              <w:top w:val="single" w:sz="2" w:space="0" w:color="auto"/>
              <w:left w:val="single" w:sz="2" w:space="0" w:color="auto"/>
              <w:bottom w:val="single" w:sz="2" w:space="0" w:color="auto"/>
              <w:right w:val="single" w:sz="2" w:space="0" w:color="auto"/>
            </w:tcBorders>
            <w:vAlign w:val="center"/>
          </w:tcPr>
          <w:p w14:paraId="256B3CD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33,204,216.97</w:t>
            </w:r>
          </w:p>
        </w:tc>
      </w:tr>
      <w:tr w:rsidR="00F73301" w:rsidRPr="00F73301" w14:paraId="1A72DE5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380F80"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Decrease in inventory (gains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3DB79F7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96,030,966.73</w:t>
            </w:r>
          </w:p>
        </w:tc>
        <w:tc>
          <w:tcPr>
            <w:tcW w:w="3213" w:type="dxa"/>
            <w:tcBorders>
              <w:top w:val="single" w:sz="2" w:space="0" w:color="auto"/>
              <w:left w:val="single" w:sz="2" w:space="0" w:color="auto"/>
              <w:bottom w:val="single" w:sz="2" w:space="0" w:color="auto"/>
              <w:right w:val="single" w:sz="2" w:space="0" w:color="auto"/>
            </w:tcBorders>
            <w:vAlign w:val="center"/>
          </w:tcPr>
          <w:p w14:paraId="486D0C0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-136,014,783.76</w:t>
            </w:r>
          </w:p>
        </w:tc>
      </w:tr>
      <w:tr w:rsidR="00F73301" w:rsidRPr="00F73301" w14:paraId="349FD11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C907EC"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Decrease in accounts receivable generated from operating activities (gains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1241D1C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-241,464,663.52</w:t>
            </w:r>
          </w:p>
        </w:tc>
        <w:tc>
          <w:tcPr>
            <w:tcW w:w="3213" w:type="dxa"/>
            <w:tcBorders>
              <w:top w:val="single" w:sz="2" w:space="0" w:color="auto"/>
              <w:left w:val="single" w:sz="2" w:space="0" w:color="auto"/>
              <w:bottom w:val="single" w:sz="2" w:space="0" w:color="auto"/>
              <w:right w:val="single" w:sz="2" w:space="0" w:color="auto"/>
            </w:tcBorders>
            <w:vAlign w:val="center"/>
          </w:tcPr>
          <w:p w14:paraId="0219D8D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-278,191,654.50</w:t>
            </w:r>
          </w:p>
        </w:tc>
      </w:tr>
      <w:tr w:rsidR="00F73301" w:rsidRPr="00F73301" w14:paraId="749DB44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2579A2"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Increase in accounts payable used in operating activities (decrease expressed with "-")</w:t>
            </w:r>
          </w:p>
        </w:tc>
        <w:tc>
          <w:tcPr>
            <w:tcW w:w="3213" w:type="dxa"/>
            <w:tcBorders>
              <w:top w:val="single" w:sz="2" w:space="0" w:color="auto"/>
              <w:left w:val="single" w:sz="2" w:space="0" w:color="auto"/>
              <w:bottom w:val="single" w:sz="2" w:space="0" w:color="auto"/>
              <w:right w:val="single" w:sz="2" w:space="0" w:color="auto"/>
            </w:tcBorders>
            <w:vAlign w:val="center"/>
          </w:tcPr>
          <w:p w14:paraId="22B82C9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-208,745,121.07</w:t>
            </w:r>
          </w:p>
        </w:tc>
        <w:tc>
          <w:tcPr>
            <w:tcW w:w="3213" w:type="dxa"/>
            <w:tcBorders>
              <w:top w:val="single" w:sz="2" w:space="0" w:color="auto"/>
              <w:left w:val="single" w:sz="2" w:space="0" w:color="auto"/>
              <w:bottom w:val="single" w:sz="2" w:space="0" w:color="auto"/>
              <w:right w:val="single" w:sz="2" w:space="0" w:color="auto"/>
            </w:tcBorders>
            <w:vAlign w:val="center"/>
          </w:tcPr>
          <w:p w14:paraId="0E9491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83,806,714.81</w:t>
            </w:r>
          </w:p>
        </w:tc>
      </w:tr>
      <w:tr w:rsidR="00F73301" w:rsidRPr="00F73301" w14:paraId="47DC529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1937FE"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3213" w:type="dxa"/>
            <w:tcBorders>
              <w:top w:val="single" w:sz="2" w:space="0" w:color="auto"/>
              <w:left w:val="single" w:sz="2" w:space="0" w:color="auto"/>
              <w:bottom w:val="single" w:sz="2" w:space="0" w:color="auto"/>
              <w:right w:val="single" w:sz="2" w:space="0" w:color="auto"/>
            </w:tcBorders>
            <w:vAlign w:val="center"/>
          </w:tcPr>
          <w:p w14:paraId="1F85FA6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29,765,662.79</w:t>
            </w:r>
          </w:p>
        </w:tc>
        <w:tc>
          <w:tcPr>
            <w:tcW w:w="3213" w:type="dxa"/>
            <w:tcBorders>
              <w:top w:val="single" w:sz="2" w:space="0" w:color="auto"/>
              <w:left w:val="single" w:sz="2" w:space="0" w:color="auto"/>
              <w:bottom w:val="single" w:sz="2" w:space="0" w:color="auto"/>
              <w:right w:val="single" w:sz="2" w:space="0" w:color="auto"/>
            </w:tcBorders>
            <w:vAlign w:val="center"/>
          </w:tcPr>
          <w:p w14:paraId="71E3B6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20,517,402.51</w:t>
            </w:r>
          </w:p>
        </w:tc>
      </w:tr>
      <w:tr w:rsidR="00F73301" w:rsidRPr="00F73301" w14:paraId="3C70742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5956D3"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Net cash flows from operating </w:t>
            </w:r>
            <w:r w:rsidRPr="00F73301">
              <w:rPr>
                <w:rFonts w:ascii="Times New Roman" w:eastAsia="宋体" w:hAnsi="Times New Roman" w:cs="Times New Roman"/>
                <w:sz w:val="18"/>
                <w:szCs w:val="18"/>
              </w:rPr>
              <w:lastRenderedPageBreak/>
              <w:t>activities</w:t>
            </w:r>
          </w:p>
        </w:tc>
        <w:tc>
          <w:tcPr>
            <w:tcW w:w="3213" w:type="dxa"/>
            <w:tcBorders>
              <w:top w:val="single" w:sz="2" w:space="0" w:color="auto"/>
              <w:left w:val="single" w:sz="2" w:space="0" w:color="auto"/>
              <w:bottom w:val="single" w:sz="2" w:space="0" w:color="auto"/>
              <w:right w:val="single" w:sz="2" w:space="0" w:color="auto"/>
            </w:tcBorders>
            <w:vAlign w:val="center"/>
          </w:tcPr>
          <w:p w14:paraId="0064D30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270,551,262.13</w:t>
            </w:r>
          </w:p>
        </w:tc>
        <w:tc>
          <w:tcPr>
            <w:tcW w:w="3213" w:type="dxa"/>
            <w:tcBorders>
              <w:top w:val="single" w:sz="2" w:space="0" w:color="auto"/>
              <w:left w:val="single" w:sz="2" w:space="0" w:color="auto"/>
              <w:bottom w:val="single" w:sz="2" w:space="0" w:color="auto"/>
              <w:right w:val="single" w:sz="2" w:space="0" w:color="auto"/>
            </w:tcBorders>
            <w:vAlign w:val="center"/>
          </w:tcPr>
          <w:p w14:paraId="3701002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500,071,932.98</w:t>
            </w:r>
          </w:p>
        </w:tc>
      </w:tr>
      <w:tr w:rsidR="00F73301" w:rsidRPr="00F73301" w14:paraId="68835C5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24A7B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 Significant investing and financing activities not related to cash receipts and payments: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426C53"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426E04"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F28E71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79EA4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Conversion of debt into capital</w:t>
            </w:r>
          </w:p>
        </w:tc>
        <w:tc>
          <w:tcPr>
            <w:tcW w:w="3213" w:type="dxa"/>
            <w:tcBorders>
              <w:top w:val="single" w:sz="2" w:space="0" w:color="auto"/>
              <w:left w:val="single" w:sz="2" w:space="0" w:color="auto"/>
              <w:bottom w:val="single" w:sz="2" w:space="0" w:color="auto"/>
              <w:right w:val="single" w:sz="2" w:space="0" w:color="auto"/>
            </w:tcBorders>
            <w:vAlign w:val="center"/>
          </w:tcPr>
          <w:p w14:paraId="6A1E08A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3FAEF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2D2F9A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364CA0"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Convertible corporate bonds due within one year</w:t>
            </w:r>
          </w:p>
        </w:tc>
        <w:tc>
          <w:tcPr>
            <w:tcW w:w="3213" w:type="dxa"/>
            <w:tcBorders>
              <w:top w:val="single" w:sz="2" w:space="0" w:color="auto"/>
              <w:left w:val="single" w:sz="2" w:space="0" w:color="auto"/>
              <w:bottom w:val="single" w:sz="2" w:space="0" w:color="auto"/>
              <w:right w:val="single" w:sz="2" w:space="0" w:color="auto"/>
            </w:tcBorders>
            <w:vAlign w:val="center"/>
          </w:tcPr>
          <w:p w14:paraId="712665D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1E19D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18F29E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BFF7EC"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Fixed assets leased in under finance leases</w:t>
            </w:r>
          </w:p>
        </w:tc>
        <w:tc>
          <w:tcPr>
            <w:tcW w:w="3213" w:type="dxa"/>
            <w:tcBorders>
              <w:top w:val="single" w:sz="2" w:space="0" w:color="auto"/>
              <w:left w:val="single" w:sz="2" w:space="0" w:color="auto"/>
              <w:bottom w:val="single" w:sz="2" w:space="0" w:color="auto"/>
              <w:right w:val="single" w:sz="2" w:space="0" w:color="auto"/>
            </w:tcBorders>
            <w:vAlign w:val="center"/>
          </w:tcPr>
          <w:p w14:paraId="0996EF6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6C088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CEBF26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46A80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3. Net increase/decrease of cash and cash equivalent:</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A90814"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A7EAEA"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35A3C2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BEC8EF"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of cash</w:t>
            </w:r>
          </w:p>
        </w:tc>
        <w:tc>
          <w:tcPr>
            <w:tcW w:w="3213" w:type="dxa"/>
            <w:tcBorders>
              <w:top w:val="single" w:sz="2" w:space="0" w:color="auto"/>
              <w:left w:val="single" w:sz="2" w:space="0" w:color="auto"/>
              <w:bottom w:val="single" w:sz="2" w:space="0" w:color="auto"/>
              <w:right w:val="single" w:sz="2" w:space="0" w:color="auto"/>
            </w:tcBorders>
            <w:vAlign w:val="center"/>
          </w:tcPr>
          <w:p w14:paraId="2C2F542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3,185,772,954.86</w:t>
            </w:r>
          </w:p>
        </w:tc>
        <w:tc>
          <w:tcPr>
            <w:tcW w:w="3213" w:type="dxa"/>
            <w:tcBorders>
              <w:top w:val="single" w:sz="2" w:space="0" w:color="auto"/>
              <w:left w:val="single" w:sz="2" w:space="0" w:color="auto"/>
              <w:bottom w:val="single" w:sz="2" w:space="0" w:color="auto"/>
              <w:right w:val="single" w:sz="2" w:space="0" w:color="auto"/>
            </w:tcBorders>
            <w:vAlign w:val="center"/>
          </w:tcPr>
          <w:p w14:paraId="2EBC92D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729,937,029.86</w:t>
            </w:r>
          </w:p>
        </w:tc>
      </w:tr>
      <w:tr w:rsidR="00F73301" w:rsidRPr="00F73301" w14:paraId="778D3DE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C2ECFB"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Less: Opening balance of cash</w:t>
            </w:r>
          </w:p>
        </w:tc>
        <w:tc>
          <w:tcPr>
            <w:tcW w:w="3213" w:type="dxa"/>
            <w:tcBorders>
              <w:top w:val="single" w:sz="2" w:space="0" w:color="auto"/>
              <w:left w:val="single" w:sz="2" w:space="0" w:color="auto"/>
              <w:bottom w:val="single" w:sz="2" w:space="0" w:color="auto"/>
              <w:right w:val="single" w:sz="2" w:space="0" w:color="auto"/>
            </w:tcBorders>
            <w:vAlign w:val="center"/>
          </w:tcPr>
          <w:p w14:paraId="5C0A04D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1,429,416,363.84</w:t>
            </w:r>
          </w:p>
        </w:tc>
        <w:tc>
          <w:tcPr>
            <w:tcW w:w="3213" w:type="dxa"/>
            <w:tcBorders>
              <w:top w:val="single" w:sz="2" w:space="0" w:color="auto"/>
              <w:left w:val="single" w:sz="2" w:space="0" w:color="auto"/>
              <w:bottom w:val="single" w:sz="2" w:space="0" w:color="auto"/>
              <w:right w:val="single" w:sz="2" w:space="0" w:color="auto"/>
            </w:tcBorders>
            <w:vAlign w:val="center"/>
          </w:tcPr>
          <w:p w14:paraId="07698E8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1,058,650,806.36</w:t>
            </w:r>
          </w:p>
        </w:tc>
      </w:tr>
      <w:tr w:rsidR="00F73301" w:rsidRPr="00F73301" w14:paraId="1276902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8DEDD1"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Add: Closing balance of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5FE9254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489B3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36375F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84EA7A"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Less: Opening balance of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2B24410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DEB8C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F3DDBB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B19678" w14:textId="77777777" w:rsidR="00F73301" w:rsidRPr="00F73301" w:rsidRDefault="00F73301" w:rsidP="008C49B7">
            <w:pPr>
              <w:snapToGrid w:val="0"/>
              <w:ind w:firstLineChars="100" w:firstLine="180"/>
              <w:rPr>
                <w:rFonts w:ascii="Times New Roman" w:eastAsia="宋体" w:hAnsi="Times New Roman" w:cs="Times New Roman"/>
                <w:sz w:val="18"/>
                <w:szCs w:val="18"/>
              </w:rPr>
            </w:pPr>
            <w:r w:rsidRPr="00F73301">
              <w:rPr>
                <w:rFonts w:ascii="Times New Roman" w:eastAsia="宋体" w:hAnsi="Times New Roman" w:cs="Times New Roman"/>
                <w:sz w:val="18"/>
                <w:szCs w:val="18"/>
              </w:rPr>
              <w:t>Net increase of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4CE638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1,756,356,591.02</w:t>
            </w:r>
          </w:p>
        </w:tc>
        <w:tc>
          <w:tcPr>
            <w:tcW w:w="3213" w:type="dxa"/>
            <w:tcBorders>
              <w:top w:val="single" w:sz="2" w:space="0" w:color="auto"/>
              <w:left w:val="single" w:sz="2" w:space="0" w:color="auto"/>
              <w:bottom w:val="single" w:sz="2" w:space="0" w:color="auto"/>
              <w:right w:val="single" w:sz="2" w:space="0" w:color="auto"/>
            </w:tcBorders>
            <w:vAlign w:val="center"/>
          </w:tcPr>
          <w:p w14:paraId="370829F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-328,713,776.50</w:t>
            </w:r>
          </w:p>
        </w:tc>
      </w:tr>
    </w:tbl>
    <w:p w14:paraId="1322DB2B" w14:textId="77777777" w:rsidR="00F73301" w:rsidRPr="00F73301" w:rsidRDefault="00F73301" w:rsidP="008A539F">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280" w:name="_Toc989168"/>
      <w:r w:rsidRPr="00F73301">
        <w:rPr>
          <w:rFonts w:ascii="Times New Roman" w:eastAsia="宋体" w:hAnsi="Times New Roman" w:cs="Times New Roman"/>
          <w:b/>
          <w:bCs/>
          <w:sz w:val="24"/>
          <w:szCs w:val="24"/>
        </w:rPr>
        <w:t>(2) Net cash paid for acquisition of subsidiaries</w:t>
      </w:r>
      <w:bookmarkEnd w:id="280"/>
    </w:p>
    <w:p w14:paraId="3B3EB26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4BDA1393"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F4DD7BA" w14:textId="77777777" w:rsidR="00F73301" w:rsidRPr="00F73301" w:rsidRDefault="00F73301" w:rsidP="008C49B7">
            <w:pPr>
              <w:snapToGrid w:val="0"/>
              <w:rPr>
                <w:rFonts w:ascii="Times New Roman" w:eastAsia="等线" w:hAnsi="Times New Roman" w:cs="Times New Roman"/>
                <w:sz w:val="18"/>
                <w:szCs w:val="18"/>
              </w:rPr>
            </w:pP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859E60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w:t>
            </w:r>
          </w:p>
        </w:tc>
      </w:tr>
      <w:tr w:rsidR="00F73301" w:rsidRPr="00F73301" w14:paraId="5BFF4B8A"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82DCC5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Cash and cash equivalents paid in the current period as consideration for business combination in the current period</w:t>
            </w:r>
          </w:p>
        </w:tc>
        <w:tc>
          <w:tcPr>
            <w:tcW w:w="4820" w:type="dxa"/>
            <w:tcBorders>
              <w:top w:val="single" w:sz="2" w:space="0" w:color="auto"/>
              <w:left w:val="single" w:sz="2" w:space="0" w:color="auto"/>
              <w:bottom w:val="single" w:sz="2" w:space="0" w:color="auto"/>
              <w:right w:val="single" w:sz="2" w:space="0" w:color="auto"/>
            </w:tcBorders>
            <w:vAlign w:val="center"/>
          </w:tcPr>
          <w:p w14:paraId="6005DD1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293,760,000.00</w:t>
            </w:r>
          </w:p>
        </w:tc>
      </w:tr>
      <w:tr w:rsidR="00F73301" w:rsidRPr="00F73301" w14:paraId="74E83E6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C01CFF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C94009D"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5EBC272"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0CAEFE8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p>
        </w:tc>
        <w:tc>
          <w:tcPr>
            <w:tcW w:w="4820" w:type="dxa"/>
            <w:tcBorders>
              <w:top w:val="single" w:sz="2" w:space="0" w:color="auto"/>
              <w:left w:val="single" w:sz="2" w:space="0" w:color="auto"/>
              <w:bottom w:val="single" w:sz="2" w:space="0" w:color="auto"/>
              <w:right w:val="single" w:sz="2" w:space="0" w:color="auto"/>
            </w:tcBorders>
            <w:vAlign w:val="center"/>
          </w:tcPr>
          <w:p w14:paraId="3067B73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293,760,000.00</w:t>
            </w:r>
          </w:p>
        </w:tc>
      </w:tr>
      <w:tr w:rsidR="00F73301" w:rsidRPr="00F73301" w14:paraId="1D92E5D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08F5B9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Less:</w:t>
            </w:r>
          </w:p>
        </w:tc>
        <w:tc>
          <w:tcPr>
            <w:tcW w:w="4820" w:type="dxa"/>
            <w:tcBorders>
              <w:top w:val="single" w:sz="2" w:space="0" w:color="auto"/>
              <w:left w:val="single" w:sz="2" w:space="0" w:color="auto"/>
              <w:bottom w:val="single" w:sz="2" w:space="0" w:color="auto"/>
              <w:right w:val="single" w:sz="2" w:space="0" w:color="auto"/>
            </w:tcBorders>
            <w:vAlign w:val="center"/>
          </w:tcPr>
          <w:p w14:paraId="66BA8BD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131,184,209.99</w:t>
            </w:r>
          </w:p>
        </w:tc>
      </w:tr>
      <w:tr w:rsidR="00F73301" w:rsidRPr="00F73301" w14:paraId="15E69136"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7870CF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309469C"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010AE766"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495D837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p>
        </w:tc>
        <w:tc>
          <w:tcPr>
            <w:tcW w:w="4820" w:type="dxa"/>
            <w:tcBorders>
              <w:top w:val="single" w:sz="2" w:space="0" w:color="auto"/>
              <w:left w:val="single" w:sz="2" w:space="0" w:color="auto"/>
              <w:bottom w:val="single" w:sz="2" w:space="0" w:color="auto"/>
              <w:right w:val="single" w:sz="2" w:space="0" w:color="auto"/>
            </w:tcBorders>
            <w:vAlign w:val="center"/>
          </w:tcPr>
          <w:p w14:paraId="238A05B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131,184,209.99</w:t>
            </w:r>
          </w:p>
        </w:tc>
      </w:tr>
      <w:tr w:rsidR="00F73301" w:rsidRPr="00F73301" w14:paraId="14FFCECA"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A5BEF5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3F910A1"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03D9A841"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4ACD28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cash payments for acquisition of subsidiaries in the current period</w:t>
            </w:r>
          </w:p>
        </w:tc>
        <w:tc>
          <w:tcPr>
            <w:tcW w:w="4820" w:type="dxa"/>
            <w:tcBorders>
              <w:top w:val="single" w:sz="2" w:space="0" w:color="auto"/>
              <w:left w:val="single" w:sz="2" w:space="0" w:color="auto"/>
              <w:bottom w:val="single" w:sz="2" w:space="0" w:color="auto"/>
              <w:right w:val="single" w:sz="2" w:space="0" w:color="auto"/>
            </w:tcBorders>
            <w:vAlign w:val="center"/>
          </w:tcPr>
          <w:p w14:paraId="6515794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162,575,790.01</w:t>
            </w:r>
          </w:p>
        </w:tc>
      </w:tr>
    </w:tbl>
    <w:p w14:paraId="50187FD5"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56ECED63"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5A5BD517" w14:textId="77777777" w:rsidR="00F73301" w:rsidRPr="00F73301" w:rsidRDefault="00F73301" w:rsidP="008A539F">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281" w:name="_Toc989169"/>
      <w:r w:rsidRPr="00F73301">
        <w:rPr>
          <w:rFonts w:ascii="Times New Roman" w:eastAsia="宋体" w:hAnsi="Times New Roman" w:cs="Times New Roman"/>
          <w:b/>
          <w:bCs/>
          <w:sz w:val="24"/>
          <w:szCs w:val="24"/>
        </w:rPr>
        <w:t>(3) Net cash received from disposal of the subsidiaries</w:t>
      </w:r>
      <w:bookmarkEnd w:id="281"/>
    </w:p>
    <w:p w14:paraId="100AC34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62D81964"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7F322B0" w14:textId="77777777" w:rsidR="00F73301" w:rsidRPr="00F73301" w:rsidRDefault="00F73301" w:rsidP="008C49B7">
            <w:pPr>
              <w:snapToGrid w:val="0"/>
              <w:rPr>
                <w:rFonts w:ascii="Times New Roman" w:eastAsia="等线" w:hAnsi="Times New Roman" w:cs="Times New Roman"/>
                <w:sz w:val="18"/>
                <w:szCs w:val="18"/>
              </w:rPr>
            </w:pP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58678E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w:t>
            </w:r>
          </w:p>
        </w:tc>
      </w:tr>
      <w:tr w:rsidR="00F73301" w:rsidRPr="00F73301" w14:paraId="1179FFB2"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753006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6421DB1"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519365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05314D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E52AF3A"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541FB4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3465B2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D23E62C" w14:textId="77777777" w:rsidR="00F73301" w:rsidRPr="00F73301" w:rsidRDefault="00F73301" w:rsidP="008C49B7">
            <w:pPr>
              <w:snapToGrid w:val="0"/>
              <w:rPr>
                <w:rFonts w:ascii="Times New Roman" w:eastAsia="等线" w:hAnsi="Times New Roman" w:cs="Times New Roman"/>
                <w:sz w:val="18"/>
                <w:szCs w:val="18"/>
              </w:rPr>
            </w:pPr>
          </w:p>
        </w:tc>
      </w:tr>
    </w:tbl>
    <w:p w14:paraId="7F50BB36"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572AF549"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2610D64D" w14:textId="77777777" w:rsidR="00F73301" w:rsidRPr="00F73301" w:rsidRDefault="00F73301" w:rsidP="008A539F">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282" w:name="_Toc989170"/>
      <w:r w:rsidRPr="00F73301">
        <w:rPr>
          <w:rFonts w:ascii="Times New Roman" w:eastAsia="宋体" w:hAnsi="Times New Roman" w:cs="Times New Roman"/>
          <w:b/>
          <w:bCs/>
          <w:sz w:val="24"/>
          <w:szCs w:val="24"/>
        </w:rPr>
        <w:t>(4) Cash and cash equivalents</w:t>
      </w:r>
      <w:bookmarkEnd w:id="282"/>
    </w:p>
    <w:p w14:paraId="6EFA073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3D605B6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F3882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BAD21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1A0C8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5DF7CC7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9FA1F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 Cash</w:t>
            </w:r>
          </w:p>
        </w:tc>
        <w:tc>
          <w:tcPr>
            <w:tcW w:w="3213" w:type="dxa"/>
            <w:tcBorders>
              <w:top w:val="single" w:sz="2" w:space="0" w:color="auto"/>
              <w:left w:val="single" w:sz="2" w:space="0" w:color="auto"/>
              <w:bottom w:val="single" w:sz="2" w:space="0" w:color="auto"/>
              <w:right w:val="single" w:sz="2" w:space="0" w:color="auto"/>
            </w:tcBorders>
            <w:vAlign w:val="center"/>
          </w:tcPr>
          <w:p w14:paraId="6B162E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3,185,772,954.86</w:t>
            </w:r>
          </w:p>
        </w:tc>
        <w:tc>
          <w:tcPr>
            <w:tcW w:w="3213" w:type="dxa"/>
            <w:tcBorders>
              <w:top w:val="single" w:sz="2" w:space="0" w:color="auto"/>
              <w:left w:val="single" w:sz="2" w:space="0" w:color="auto"/>
              <w:bottom w:val="single" w:sz="2" w:space="0" w:color="auto"/>
              <w:right w:val="single" w:sz="2" w:space="0" w:color="auto"/>
            </w:tcBorders>
            <w:vAlign w:val="center"/>
          </w:tcPr>
          <w:p w14:paraId="4CFE97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1,429,416,363.84</w:t>
            </w:r>
          </w:p>
        </w:tc>
      </w:tr>
      <w:tr w:rsidR="00F73301" w:rsidRPr="00F73301" w14:paraId="15204C8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6C9D8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Cash on hand</w:t>
            </w:r>
          </w:p>
        </w:tc>
        <w:tc>
          <w:tcPr>
            <w:tcW w:w="3213" w:type="dxa"/>
            <w:tcBorders>
              <w:top w:val="single" w:sz="2" w:space="0" w:color="auto"/>
              <w:left w:val="single" w:sz="2" w:space="0" w:color="auto"/>
              <w:bottom w:val="single" w:sz="2" w:space="0" w:color="auto"/>
              <w:right w:val="single" w:sz="2" w:space="0" w:color="auto"/>
            </w:tcBorders>
            <w:vAlign w:val="center"/>
          </w:tcPr>
          <w:p w14:paraId="0FE4B7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692.01</w:t>
            </w:r>
          </w:p>
        </w:tc>
        <w:tc>
          <w:tcPr>
            <w:tcW w:w="3213" w:type="dxa"/>
            <w:tcBorders>
              <w:top w:val="single" w:sz="2" w:space="0" w:color="auto"/>
              <w:left w:val="single" w:sz="2" w:space="0" w:color="auto"/>
              <w:bottom w:val="single" w:sz="2" w:space="0" w:color="auto"/>
              <w:right w:val="single" w:sz="2" w:space="0" w:color="auto"/>
            </w:tcBorders>
            <w:vAlign w:val="center"/>
          </w:tcPr>
          <w:p w14:paraId="54712EE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46,559.92</w:t>
            </w:r>
          </w:p>
        </w:tc>
      </w:tr>
      <w:tr w:rsidR="00F73301" w:rsidRPr="00F73301" w14:paraId="2E72D10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2481E8"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Cash in bank on demand for payment</w:t>
            </w:r>
          </w:p>
        </w:tc>
        <w:tc>
          <w:tcPr>
            <w:tcW w:w="3213" w:type="dxa"/>
            <w:tcBorders>
              <w:top w:val="single" w:sz="2" w:space="0" w:color="auto"/>
              <w:left w:val="single" w:sz="2" w:space="0" w:color="auto"/>
              <w:bottom w:val="single" w:sz="2" w:space="0" w:color="auto"/>
              <w:right w:val="single" w:sz="2" w:space="0" w:color="auto"/>
            </w:tcBorders>
            <w:vAlign w:val="center"/>
          </w:tcPr>
          <w:p w14:paraId="7A9850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3,185,772,262.85</w:t>
            </w:r>
          </w:p>
        </w:tc>
        <w:tc>
          <w:tcPr>
            <w:tcW w:w="3213" w:type="dxa"/>
            <w:tcBorders>
              <w:top w:val="single" w:sz="2" w:space="0" w:color="auto"/>
              <w:left w:val="single" w:sz="2" w:space="0" w:color="auto"/>
              <w:bottom w:val="single" w:sz="2" w:space="0" w:color="auto"/>
              <w:right w:val="single" w:sz="2" w:space="0" w:color="auto"/>
            </w:tcBorders>
            <w:vAlign w:val="center"/>
          </w:tcPr>
          <w:p w14:paraId="4062EE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1,429,369,803.92</w:t>
            </w:r>
          </w:p>
        </w:tc>
      </w:tr>
      <w:tr w:rsidR="00F73301" w:rsidRPr="00F73301" w14:paraId="176595E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C9E89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III. Closing Balance of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2DECA3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3,185,772,954.86</w:t>
            </w:r>
          </w:p>
        </w:tc>
        <w:tc>
          <w:tcPr>
            <w:tcW w:w="3213" w:type="dxa"/>
            <w:tcBorders>
              <w:top w:val="single" w:sz="2" w:space="0" w:color="auto"/>
              <w:left w:val="single" w:sz="2" w:space="0" w:color="auto"/>
              <w:bottom w:val="single" w:sz="2" w:space="0" w:color="auto"/>
              <w:right w:val="single" w:sz="2" w:space="0" w:color="auto"/>
            </w:tcBorders>
            <w:vAlign w:val="center"/>
          </w:tcPr>
          <w:p w14:paraId="6A4FED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1,429,416,363.84</w:t>
            </w:r>
          </w:p>
        </w:tc>
      </w:tr>
    </w:tbl>
    <w:p w14:paraId="2F346522"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08189542"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lastRenderedPageBreak/>
        <w:t>1) Amount of endorsed commercial acceptance not involving cash receipts and payments</w:t>
      </w:r>
    </w:p>
    <w:p w14:paraId="3222B887"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In the current period, the amount of endorsed commercial acceptance totaled RMB721,233,552.05, including payments for goods of RMB515,519,464.50 and payments for acquisition of long-term assets such as fixed assets of RMB205,714,087.55.</w:t>
      </w:r>
    </w:p>
    <w:p w14:paraId="790DEBAE"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2) Remarks on supplementary information to the cash flow statement</w:t>
      </w:r>
    </w:p>
    <w:p w14:paraId="26176DD8"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The closing balance of cash and bank balances includes deposit balance that cannot be withdrawn on demand of RMB20,134,273.23, of which RMB13,939,412.10 were notes deposits and L/C deposits and RMB6,194,861.13 were the interest of time certificates of deposit set aside, which are not considered as cash or cash equivalents.</w:t>
      </w:r>
    </w:p>
    <w:p w14:paraId="6BDDC637"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283" w:name="_Toc989171"/>
      <w:r w:rsidRPr="00F73301">
        <w:rPr>
          <w:rFonts w:ascii="Times New Roman" w:eastAsia="宋体" w:hAnsi="Times New Roman" w:cs="Times New Roman"/>
          <w:b/>
          <w:bCs/>
          <w:sz w:val="24"/>
          <w:szCs w:val="24"/>
        </w:rPr>
        <w:t>56. Notes to the consolidated statement of changes in equity</w:t>
      </w:r>
      <w:bookmarkEnd w:id="283"/>
    </w:p>
    <w:p w14:paraId="360A2883"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the name of "Other" of closing balance of the same period of last year adjusted and the amount adjusted:</w:t>
      </w:r>
    </w:p>
    <w:p w14:paraId="3EC0FF3C"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0D0C6BE1"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284" w:name="_Toc989172"/>
      <w:r w:rsidRPr="00F73301">
        <w:rPr>
          <w:rFonts w:ascii="Times New Roman" w:eastAsia="宋体" w:hAnsi="Times New Roman" w:cs="Times New Roman"/>
          <w:b/>
          <w:bCs/>
          <w:sz w:val="24"/>
          <w:szCs w:val="24"/>
        </w:rPr>
        <w:t>57. Assets with title or use right restrictions</w:t>
      </w:r>
      <w:bookmarkEnd w:id="284"/>
    </w:p>
    <w:p w14:paraId="30934A5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311B55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98B16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DA40D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carrying amount</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F6471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Reasons for restrictions</w:t>
            </w:r>
          </w:p>
        </w:tc>
      </w:tr>
      <w:tr w:rsidR="00F73301" w:rsidRPr="00F73301" w14:paraId="6826848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6693B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Cash and bank balances</w:t>
            </w:r>
          </w:p>
        </w:tc>
        <w:tc>
          <w:tcPr>
            <w:tcW w:w="3213" w:type="dxa"/>
            <w:tcBorders>
              <w:top w:val="single" w:sz="2" w:space="0" w:color="auto"/>
              <w:left w:val="single" w:sz="2" w:space="0" w:color="auto"/>
              <w:bottom w:val="single" w:sz="2" w:space="0" w:color="auto"/>
              <w:right w:val="single" w:sz="2" w:space="0" w:color="auto"/>
            </w:tcBorders>
            <w:vAlign w:val="center"/>
          </w:tcPr>
          <w:p w14:paraId="6F3E77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13,939,412.10</w:t>
            </w:r>
          </w:p>
        </w:tc>
        <w:tc>
          <w:tcPr>
            <w:tcW w:w="3213" w:type="dxa"/>
            <w:tcBorders>
              <w:top w:val="single" w:sz="2" w:space="0" w:color="auto"/>
              <w:left w:val="single" w:sz="2" w:space="0" w:color="auto"/>
              <w:bottom w:val="single" w:sz="2" w:space="0" w:color="auto"/>
              <w:right w:val="single" w:sz="2" w:space="0" w:color="auto"/>
            </w:tcBorders>
            <w:vAlign w:val="center"/>
          </w:tcPr>
          <w:p w14:paraId="4A8B96D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Note and letter of credit deposits</w:t>
            </w:r>
          </w:p>
        </w:tc>
      </w:tr>
      <w:tr w:rsidR="00F73301" w:rsidRPr="00F73301" w14:paraId="637A512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B81C3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Fixed assets</w:t>
            </w:r>
          </w:p>
        </w:tc>
        <w:tc>
          <w:tcPr>
            <w:tcW w:w="3213" w:type="dxa"/>
            <w:tcBorders>
              <w:top w:val="single" w:sz="2" w:space="0" w:color="auto"/>
              <w:left w:val="single" w:sz="2" w:space="0" w:color="auto"/>
              <w:bottom w:val="single" w:sz="2" w:space="0" w:color="auto"/>
              <w:right w:val="single" w:sz="2" w:space="0" w:color="auto"/>
            </w:tcBorders>
            <w:vAlign w:val="center"/>
          </w:tcPr>
          <w:p w14:paraId="3A205C8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247,651,217.68</w:t>
            </w:r>
          </w:p>
        </w:tc>
        <w:tc>
          <w:tcPr>
            <w:tcW w:w="3213" w:type="dxa"/>
            <w:tcBorders>
              <w:top w:val="single" w:sz="2" w:space="0" w:color="auto"/>
              <w:left w:val="single" w:sz="2" w:space="0" w:color="auto"/>
              <w:bottom w:val="single" w:sz="2" w:space="0" w:color="auto"/>
              <w:right w:val="single" w:sz="2" w:space="0" w:color="auto"/>
            </w:tcBorders>
            <w:vAlign w:val="center"/>
          </w:tcPr>
          <w:p w14:paraId="06897C8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Mortgaged for borrowings</w:t>
            </w:r>
          </w:p>
        </w:tc>
      </w:tr>
      <w:tr w:rsidR="00F73301" w:rsidRPr="00F73301" w14:paraId="59B90A5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89364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Intangible assets</w:t>
            </w:r>
          </w:p>
        </w:tc>
        <w:tc>
          <w:tcPr>
            <w:tcW w:w="3213" w:type="dxa"/>
            <w:tcBorders>
              <w:top w:val="single" w:sz="2" w:space="0" w:color="auto"/>
              <w:left w:val="single" w:sz="2" w:space="0" w:color="auto"/>
              <w:bottom w:val="single" w:sz="2" w:space="0" w:color="auto"/>
              <w:right w:val="single" w:sz="2" w:space="0" w:color="auto"/>
            </w:tcBorders>
            <w:vAlign w:val="center"/>
          </w:tcPr>
          <w:p w14:paraId="38F39F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31,587,009.87</w:t>
            </w:r>
          </w:p>
        </w:tc>
        <w:tc>
          <w:tcPr>
            <w:tcW w:w="3213" w:type="dxa"/>
            <w:tcBorders>
              <w:top w:val="single" w:sz="2" w:space="0" w:color="auto"/>
              <w:left w:val="single" w:sz="2" w:space="0" w:color="auto"/>
              <w:bottom w:val="single" w:sz="2" w:space="0" w:color="auto"/>
              <w:right w:val="single" w:sz="2" w:space="0" w:color="auto"/>
            </w:tcBorders>
            <w:vAlign w:val="center"/>
          </w:tcPr>
          <w:p w14:paraId="7536FDF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Mortgaged for borrowings</w:t>
            </w:r>
          </w:p>
        </w:tc>
      </w:tr>
      <w:tr w:rsidR="00F73301" w:rsidRPr="00F73301" w14:paraId="642F2B2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CEE5A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5E4D120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293,177,639.65</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B998FE" w14:textId="77777777" w:rsidR="00F73301" w:rsidRPr="00F73301" w:rsidRDefault="00F73301" w:rsidP="008C49B7">
            <w:pPr>
              <w:snapToGrid w:val="0"/>
              <w:rPr>
                <w:rFonts w:ascii="Times New Roman" w:eastAsia="等线" w:hAnsi="Times New Roman" w:cs="Times New Roman"/>
                <w:sz w:val="18"/>
                <w:szCs w:val="18"/>
              </w:rPr>
            </w:pPr>
          </w:p>
        </w:tc>
      </w:tr>
    </w:tbl>
    <w:p w14:paraId="00985490"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6EF0CB69"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6B876B4"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85" w:name="_Toc989173"/>
      <w:r w:rsidRPr="00F73301">
        <w:rPr>
          <w:rFonts w:ascii="Times New Roman" w:eastAsia="宋体" w:hAnsi="Times New Roman" w:cs="Times New Roman"/>
          <w:b/>
          <w:bCs/>
          <w:sz w:val="24"/>
          <w:szCs w:val="24"/>
        </w:rPr>
        <w:t>58. Foreign currency monetary items</w:t>
      </w:r>
      <w:bookmarkEnd w:id="285"/>
    </w:p>
    <w:p w14:paraId="0DAEAAA4"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86" w:name="_Toc989174"/>
      <w:r w:rsidRPr="00F73301">
        <w:rPr>
          <w:rFonts w:ascii="Times New Roman" w:eastAsia="宋体" w:hAnsi="Times New Roman" w:cs="Times New Roman"/>
          <w:b/>
          <w:bCs/>
          <w:sz w:val="24"/>
          <w:szCs w:val="24"/>
        </w:rPr>
        <w:t>(1) Foreign currency monetary items</w:t>
      </w:r>
      <w:bookmarkEnd w:id="286"/>
    </w:p>
    <w:p w14:paraId="00D5017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52BC36F9"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6A6DCD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A7237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in foreign currencies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AD7BFE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Exchange rate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E96B0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Ending balance converted to RMB</w:t>
            </w:r>
          </w:p>
        </w:tc>
      </w:tr>
      <w:tr w:rsidR="00F73301" w:rsidRPr="00F73301" w14:paraId="2255DEF9"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995CE3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Cash and bank balances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14F311" w14:textId="77777777" w:rsidR="00F73301" w:rsidRPr="00F73301" w:rsidRDefault="00F73301" w:rsidP="008C49B7">
            <w:pPr>
              <w:snapToGrid w:val="0"/>
              <w:rPr>
                <w:rFonts w:ascii="Times New Roman" w:eastAsia="等线"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5BD99E8" w14:textId="77777777" w:rsidR="00F73301" w:rsidRPr="00F73301" w:rsidRDefault="00F73301" w:rsidP="008C49B7">
            <w:pPr>
              <w:snapToGrid w:val="0"/>
              <w:rPr>
                <w:rFonts w:ascii="Times New Roman" w:eastAsia="等线"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5C645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2,055,036,398.67</w:t>
            </w:r>
          </w:p>
        </w:tc>
      </w:tr>
      <w:tr w:rsidR="00F73301" w:rsidRPr="00F73301" w14:paraId="34AC9E4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57B8D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USD</w:t>
            </w:r>
          </w:p>
        </w:tc>
        <w:tc>
          <w:tcPr>
            <w:tcW w:w="2410" w:type="dxa"/>
            <w:tcBorders>
              <w:top w:val="single" w:sz="2" w:space="0" w:color="auto"/>
              <w:left w:val="single" w:sz="2" w:space="0" w:color="auto"/>
              <w:bottom w:val="single" w:sz="2" w:space="0" w:color="auto"/>
              <w:right w:val="single" w:sz="2" w:space="0" w:color="auto"/>
            </w:tcBorders>
            <w:vAlign w:val="center"/>
          </w:tcPr>
          <w:p w14:paraId="675B0D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281,389,593.62</w:t>
            </w:r>
          </w:p>
        </w:tc>
        <w:tc>
          <w:tcPr>
            <w:tcW w:w="2410" w:type="dxa"/>
            <w:tcBorders>
              <w:top w:val="single" w:sz="2" w:space="0" w:color="auto"/>
              <w:left w:val="single" w:sz="2" w:space="0" w:color="auto"/>
              <w:bottom w:val="single" w:sz="2" w:space="0" w:color="auto"/>
              <w:right w:val="single" w:sz="2" w:space="0" w:color="auto"/>
            </w:tcBorders>
            <w:vAlign w:val="center"/>
          </w:tcPr>
          <w:p w14:paraId="2B2BBCC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7.2258</w:t>
            </w:r>
          </w:p>
        </w:tc>
        <w:tc>
          <w:tcPr>
            <w:tcW w:w="2410" w:type="dxa"/>
            <w:tcBorders>
              <w:top w:val="single" w:sz="2" w:space="0" w:color="auto"/>
              <w:left w:val="single" w:sz="2" w:space="0" w:color="auto"/>
              <w:bottom w:val="single" w:sz="2" w:space="0" w:color="auto"/>
              <w:right w:val="single" w:sz="2" w:space="0" w:color="auto"/>
            </w:tcBorders>
            <w:vAlign w:val="center"/>
          </w:tcPr>
          <w:p w14:paraId="47F59D9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2,033,264,925.58</w:t>
            </w:r>
          </w:p>
        </w:tc>
      </w:tr>
      <w:tr w:rsidR="00F73301" w:rsidRPr="00F73301" w14:paraId="443608DA"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D3FCDA6"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EUR</w:t>
            </w:r>
          </w:p>
        </w:tc>
        <w:tc>
          <w:tcPr>
            <w:tcW w:w="2410" w:type="dxa"/>
            <w:tcBorders>
              <w:top w:val="single" w:sz="2" w:space="0" w:color="auto"/>
              <w:left w:val="single" w:sz="2" w:space="0" w:color="auto"/>
              <w:bottom w:val="single" w:sz="2" w:space="0" w:color="auto"/>
              <w:right w:val="single" w:sz="2" w:space="0" w:color="auto"/>
            </w:tcBorders>
            <w:vAlign w:val="center"/>
          </w:tcPr>
          <w:p w14:paraId="73C12F5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100,609.75</w:t>
            </w:r>
          </w:p>
        </w:tc>
        <w:tc>
          <w:tcPr>
            <w:tcW w:w="2410" w:type="dxa"/>
            <w:tcBorders>
              <w:top w:val="single" w:sz="2" w:space="0" w:color="auto"/>
              <w:left w:val="single" w:sz="2" w:space="0" w:color="auto"/>
              <w:bottom w:val="single" w:sz="2" w:space="0" w:color="auto"/>
              <w:right w:val="single" w:sz="2" w:space="0" w:color="auto"/>
            </w:tcBorders>
            <w:vAlign w:val="center"/>
          </w:tcPr>
          <w:p w14:paraId="55414AB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7.8771</w:t>
            </w:r>
          </w:p>
        </w:tc>
        <w:tc>
          <w:tcPr>
            <w:tcW w:w="2410" w:type="dxa"/>
            <w:tcBorders>
              <w:top w:val="single" w:sz="2" w:space="0" w:color="auto"/>
              <w:left w:val="single" w:sz="2" w:space="0" w:color="auto"/>
              <w:bottom w:val="single" w:sz="2" w:space="0" w:color="auto"/>
              <w:right w:val="single" w:sz="2" w:space="0" w:color="auto"/>
            </w:tcBorders>
            <w:vAlign w:val="center"/>
          </w:tcPr>
          <w:p w14:paraId="44DBED9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792,513.06</w:t>
            </w:r>
          </w:p>
        </w:tc>
      </w:tr>
      <w:tr w:rsidR="00F73301" w:rsidRPr="00F73301" w14:paraId="21231F2A"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7FE74FA"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HKD</w:t>
            </w:r>
          </w:p>
        </w:tc>
        <w:tc>
          <w:tcPr>
            <w:tcW w:w="2410" w:type="dxa"/>
            <w:tcBorders>
              <w:top w:val="single" w:sz="2" w:space="0" w:color="auto"/>
              <w:left w:val="single" w:sz="2" w:space="0" w:color="auto"/>
              <w:bottom w:val="single" w:sz="2" w:space="0" w:color="auto"/>
              <w:right w:val="single" w:sz="2" w:space="0" w:color="auto"/>
            </w:tcBorders>
            <w:vAlign w:val="center"/>
          </w:tcPr>
          <w:p w14:paraId="27DA76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256,662.21</w:t>
            </w:r>
          </w:p>
        </w:tc>
        <w:tc>
          <w:tcPr>
            <w:tcW w:w="2410" w:type="dxa"/>
            <w:tcBorders>
              <w:top w:val="single" w:sz="2" w:space="0" w:color="auto"/>
              <w:left w:val="single" w:sz="2" w:space="0" w:color="auto"/>
              <w:bottom w:val="single" w:sz="2" w:space="0" w:color="auto"/>
              <w:right w:val="single" w:sz="2" w:space="0" w:color="auto"/>
            </w:tcBorders>
            <w:vAlign w:val="center"/>
          </w:tcPr>
          <w:p w14:paraId="02F6A6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0.9220</w:t>
            </w:r>
          </w:p>
        </w:tc>
        <w:tc>
          <w:tcPr>
            <w:tcW w:w="2410" w:type="dxa"/>
            <w:tcBorders>
              <w:top w:val="single" w:sz="2" w:space="0" w:color="auto"/>
              <w:left w:val="single" w:sz="2" w:space="0" w:color="auto"/>
              <w:bottom w:val="single" w:sz="2" w:space="0" w:color="auto"/>
              <w:right w:val="single" w:sz="2" w:space="0" w:color="auto"/>
            </w:tcBorders>
            <w:vAlign w:val="center"/>
          </w:tcPr>
          <w:p w14:paraId="4B589A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236,642.56</w:t>
            </w:r>
          </w:p>
        </w:tc>
      </w:tr>
      <w:tr w:rsidR="00F73301" w:rsidRPr="00F73301" w14:paraId="491EDABF"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5B6F4D6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TWD</w:t>
            </w:r>
          </w:p>
        </w:tc>
        <w:tc>
          <w:tcPr>
            <w:tcW w:w="2410" w:type="dxa"/>
            <w:tcBorders>
              <w:top w:val="single" w:sz="2" w:space="0" w:color="auto"/>
              <w:left w:val="single" w:sz="2" w:space="0" w:color="auto"/>
              <w:bottom w:val="single" w:sz="2" w:space="0" w:color="auto"/>
              <w:right w:val="single" w:sz="2" w:space="0" w:color="auto"/>
            </w:tcBorders>
            <w:vAlign w:val="center"/>
          </w:tcPr>
          <w:p w14:paraId="57FA06C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83,902,154.00</w:t>
            </w:r>
          </w:p>
        </w:tc>
        <w:tc>
          <w:tcPr>
            <w:tcW w:w="2410" w:type="dxa"/>
            <w:tcBorders>
              <w:top w:val="single" w:sz="2" w:space="0" w:color="auto"/>
              <w:left w:val="single" w:sz="2" w:space="0" w:color="auto"/>
              <w:bottom w:val="single" w:sz="2" w:space="0" w:color="auto"/>
              <w:right w:val="single" w:sz="2" w:space="0" w:color="auto"/>
            </w:tcBorders>
            <w:vAlign w:val="center"/>
          </w:tcPr>
          <w:p w14:paraId="2DE37C6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0.2330</w:t>
            </w:r>
          </w:p>
        </w:tc>
        <w:tc>
          <w:tcPr>
            <w:tcW w:w="2410" w:type="dxa"/>
            <w:tcBorders>
              <w:top w:val="single" w:sz="2" w:space="0" w:color="auto"/>
              <w:left w:val="single" w:sz="2" w:space="0" w:color="auto"/>
              <w:bottom w:val="single" w:sz="2" w:space="0" w:color="auto"/>
              <w:right w:val="single" w:sz="2" w:space="0" w:color="auto"/>
            </w:tcBorders>
            <w:vAlign w:val="center"/>
          </w:tcPr>
          <w:p w14:paraId="0B2943E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19,549,201.88</w:t>
            </w:r>
          </w:p>
        </w:tc>
      </w:tr>
      <w:tr w:rsidR="00F73301" w:rsidRPr="00F73301" w14:paraId="387DA7A3"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3FBAA57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KRW</w:t>
            </w:r>
          </w:p>
        </w:tc>
        <w:tc>
          <w:tcPr>
            <w:tcW w:w="2410" w:type="dxa"/>
            <w:tcBorders>
              <w:top w:val="single" w:sz="2" w:space="0" w:color="auto"/>
              <w:left w:val="single" w:sz="2" w:space="0" w:color="auto"/>
              <w:bottom w:val="single" w:sz="2" w:space="0" w:color="auto"/>
              <w:right w:val="single" w:sz="2" w:space="0" w:color="auto"/>
            </w:tcBorders>
            <w:vAlign w:val="center"/>
          </w:tcPr>
          <w:p w14:paraId="766A4B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216,930,108.00</w:t>
            </w:r>
          </w:p>
        </w:tc>
        <w:tc>
          <w:tcPr>
            <w:tcW w:w="2410" w:type="dxa"/>
            <w:tcBorders>
              <w:top w:val="single" w:sz="2" w:space="0" w:color="auto"/>
              <w:left w:val="single" w:sz="2" w:space="0" w:color="auto"/>
              <w:bottom w:val="single" w:sz="2" w:space="0" w:color="auto"/>
              <w:right w:val="single" w:sz="2" w:space="0" w:color="auto"/>
            </w:tcBorders>
            <w:vAlign w:val="center"/>
          </w:tcPr>
          <w:p w14:paraId="66E6F5D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0.0055</w:t>
            </w:r>
          </w:p>
        </w:tc>
        <w:tc>
          <w:tcPr>
            <w:tcW w:w="2410" w:type="dxa"/>
            <w:tcBorders>
              <w:top w:val="single" w:sz="2" w:space="0" w:color="auto"/>
              <w:left w:val="single" w:sz="2" w:space="0" w:color="auto"/>
              <w:bottom w:val="single" w:sz="2" w:space="0" w:color="auto"/>
              <w:right w:val="single" w:sz="2" w:space="0" w:color="auto"/>
            </w:tcBorders>
            <w:vAlign w:val="center"/>
          </w:tcPr>
          <w:p w14:paraId="4571C41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1,193,115.59</w:t>
            </w:r>
          </w:p>
        </w:tc>
      </w:tr>
      <w:tr w:rsidR="00F73301" w:rsidRPr="00F73301" w14:paraId="09CFDF65"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794F1E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receivable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111504" w14:textId="77777777" w:rsidR="00F73301" w:rsidRPr="00F73301" w:rsidRDefault="00F73301" w:rsidP="008C49B7">
            <w:pPr>
              <w:snapToGrid w:val="0"/>
              <w:rPr>
                <w:rFonts w:ascii="Times New Roman" w:eastAsia="等线"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2601C17" w14:textId="77777777" w:rsidR="00F73301" w:rsidRPr="00F73301" w:rsidRDefault="00F73301" w:rsidP="008C49B7">
            <w:pPr>
              <w:snapToGrid w:val="0"/>
              <w:rPr>
                <w:rFonts w:ascii="Times New Roman" w:eastAsia="等线"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C22457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291,091,441.11</w:t>
            </w:r>
          </w:p>
        </w:tc>
      </w:tr>
      <w:tr w:rsidR="00F73301" w:rsidRPr="00F73301" w14:paraId="4BD582D8"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6B9E52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USD</w:t>
            </w:r>
          </w:p>
        </w:tc>
        <w:tc>
          <w:tcPr>
            <w:tcW w:w="2410" w:type="dxa"/>
            <w:tcBorders>
              <w:top w:val="single" w:sz="2" w:space="0" w:color="auto"/>
              <w:left w:val="single" w:sz="2" w:space="0" w:color="auto"/>
              <w:bottom w:val="single" w:sz="2" w:space="0" w:color="auto"/>
              <w:right w:val="single" w:sz="2" w:space="0" w:color="auto"/>
            </w:tcBorders>
            <w:vAlign w:val="center"/>
          </w:tcPr>
          <w:p w14:paraId="2499039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34,360,215.44</w:t>
            </w:r>
          </w:p>
        </w:tc>
        <w:tc>
          <w:tcPr>
            <w:tcW w:w="2410" w:type="dxa"/>
            <w:tcBorders>
              <w:top w:val="single" w:sz="2" w:space="0" w:color="auto"/>
              <w:left w:val="single" w:sz="2" w:space="0" w:color="auto"/>
              <w:bottom w:val="single" w:sz="2" w:space="0" w:color="auto"/>
              <w:right w:val="single" w:sz="2" w:space="0" w:color="auto"/>
            </w:tcBorders>
            <w:vAlign w:val="center"/>
          </w:tcPr>
          <w:p w14:paraId="1D2BFD2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7.2258</w:t>
            </w:r>
          </w:p>
        </w:tc>
        <w:tc>
          <w:tcPr>
            <w:tcW w:w="2410" w:type="dxa"/>
            <w:tcBorders>
              <w:top w:val="single" w:sz="2" w:space="0" w:color="auto"/>
              <w:left w:val="single" w:sz="2" w:space="0" w:color="auto"/>
              <w:bottom w:val="single" w:sz="2" w:space="0" w:color="auto"/>
              <w:right w:val="single" w:sz="2" w:space="0" w:color="auto"/>
            </w:tcBorders>
            <w:vAlign w:val="center"/>
          </w:tcPr>
          <w:p w14:paraId="3B9B31E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248,280,044.73</w:t>
            </w:r>
          </w:p>
        </w:tc>
      </w:tr>
      <w:tr w:rsidR="00F73301" w:rsidRPr="00F73301" w14:paraId="0147B2BE"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90966D8"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EUR</w:t>
            </w:r>
          </w:p>
        </w:tc>
        <w:tc>
          <w:tcPr>
            <w:tcW w:w="2410" w:type="dxa"/>
            <w:tcBorders>
              <w:top w:val="single" w:sz="2" w:space="0" w:color="auto"/>
              <w:left w:val="single" w:sz="2" w:space="0" w:color="auto"/>
              <w:bottom w:val="single" w:sz="2" w:space="0" w:color="auto"/>
              <w:right w:val="single" w:sz="2" w:space="0" w:color="auto"/>
            </w:tcBorders>
            <w:vAlign w:val="center"/>
          </w:tcPr>
          <w:p w14:paraId="58BB4628"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37F56A2"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72B401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8F721C8"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6A0CF75"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HKD</w:t>
            </w:r>
          </w:p>
        </w:tc>
        <w:tc>
          <w:tcPr>
            <w:tcW w:w="2410" w:type="dxa"/>
            <w:tcBorders>
              <w:top w:val="single" w:sz="2" w:space="0" w:color="auto"/>
              <w:left w:val="single" w:sz="2" w:space="0" w:color="auto"/>
              <w:bottom w:val="single" w:sz="2" w:space="0" w:color="auto"/>
              <w:right w:val="single" w:sz="2" w:space="0" w:color="auto"/>
            </w:tcBorders>
            <w:vAlign w:val="center"/>
          </w:tcPr>
          <w:p w14:paraId="52438A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4,916,867.29</w:t>
            </w:r>
          </w:p>
        </w:tc>
        <w:tc>
          <w:tcPr>
            <w:tcW w:w="2410" w:type="dxa"/>
            <w:tcBorders>
              <w:top w:val="single" w:sz="2" w:space="0" w:color="auto"/>
              <w:left w:val="single" w:sz="2" w:space="0" w:color="auto"/>
              <w:bottom w:val="single" w:sz="2" w:space="0" w:color="auto"/>
              <w:right w:val="single" w:sz="2" w:space="0" w:color="auto"/>
            </w:tcBorders>
            <w:vAlign w:val="center"/>
          </w:tcPr>
          <w:p w14:paraId="041EA11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0.9220</w:t>
            </w:r>
          </w:p>
        </w:tc>
        <w:tc>
          <w:tcPr>
            <w:tcW w:w="2410" w:type="dxa"/>
            <w:tcBorders>
              <w:top w:val="single" w:sz="2" w:space="0" w:color="auto"/>
              <w:left w:val="single" w:sz="2" w:space="0" w:color="auto"/>
              <w:bottom w:val="single" w:sz="2" w:space="0" w:color="auto"/>
              <w:right w:val="single" w:sz="2" w:space="0" w:color="auto"/>
            </w:tcBorders>
            <w:vAlign w:val="center"/>
          </w:tcPr>
          <w:p w14:paraId="2617C54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4,533,351.64</w:t>
            </w:r>
          </w:p>
        </w:tc>
      </w:tr>
      <w:tr w:rsidR="00F73301" w:rsidRPr="00F73301" w14:paraId="2678A60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3BD7E75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TWD</w:t>
            </w:r>
          </w:p>
        </w:tc>
        <w:tc>
          <w:tcPr>
            <w:tcW w:w="2410" w:type="dxa"/>
            <w:tcBorders>
              <w:top w:val="single" w:sz="2" w:space="0" w:color="auto"/>
              <w:left w:val="single" w:sz="2" w:space="0" w:color="auto"/>
              <w:bottom w:val="single" w:sz="2" w:space="0" w:color="auto"/>
              <w:right w:val="single" w:sz="2" w:space="0" w:color="auto"/>
            </w:tcBorders>
            <w:vAlign w:val="center"/>
          </w:tcPr>
          <w:p w14:paraId="64D223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164,283,453.82</w:t>
            </w:r>
          </w:p>
        </w:tc>
        <w:tc>
          <w:tcPr>
            <w:tcW w:w="2410" w:type="dxa"/>
            <w:tcBorders>
              <w:top w:val="single" w:sz="2" w:space="0" w:color="auto"/>
              <w:left w:val="single" w:sz="2" w:space="0" w:color="auto"/>
              <w:bottom w:val="single" w:sz="2" w:space="0" w:color="auto"/>
              <w:right w:val="single" w:sz="2" w:space="0" w:color="auto"/>
            </w:tcBorders>
            <w:vAlign w:val="center"/>
          </w:tcPr>
          <w:p w14:paraId="6CB2A3B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0.2330</w:t>
            </w:r>
          </w:p>
        </w:tc>
        <w:tc>
          <w:tcPr>
            <w:tcW w:w="2410" w:type="dxa"/>
            <w:tcBorders>
              <w:top w:val="single" w:sz="2" w:space="0" w:color="auto"/>
              <w:left w:val="single" w:sz="2" w:space="0" w:color="auto"/>
              <w:bottom w:val="single" w:sz="2" w:space="0" w:color="auto"/>
              <w:right w:val="single" w:sz="2" w:space="0" w:color="auto"/>
            </w:tcBorders>
            <w:vAlign w:val="center"/>
          </w:tcPr>
          <w:p w14:paraId="1C3E8B7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38,278,044.74</w:t>
            </w:r>
          </w:p>
        </w:tc>
      </w:tr>
      <w:tr w:rsidR="00F73301" w:rsidRPr="00F73301" w14:paraId="347B7F56"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D85251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borrowings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7EBD98F" w14:textId="77777777" w:rsidR="00F73301" w:rsidRPr="00F73301" w:rsidRDefault="00F73301" w:rsidP="008C49B7">
            <w:pPr>
              <w:snapToGrid w:val="0"/>
              <w:rPr>
                <w:rFonts w:ascii="Times New Roman" w:eastAsia="等线"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E0641CE" w14:textId="77777777" w:rsidR="00F73301" w:rsidRPr="00F73301" w:rsidRDefault="00F73301" w:rsidP="008C49B7">
            <w:pPr>
              <w:snapToGrid w:val="0"/>
              <w:rPr>
                <w:rFonts w:ascii="Times New Roman" w:eastAsia="等线"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117433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75F1C5C"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D0C99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USD</w:t>
            </w:r>
          </w:p>
        </w:tc>
        <w:tc>
          <w:tcPr>
            <w:tcW w:w="2410" w:type="dxa"/>
            <w:tcBorders>
              <w:top w:val="single" w:sz="2" w:space="0" w:color="auto"/>
              <w:left w:val="single" w:sz="2" w:space="0" w:color="auto"/>
              <w:bottom w:val="single" w:sz="2" w:space="0" w:color="auto"/>
              <w:right w:val="single" w:sz="2" w:space="0" w:color="auto"/>
            </w:tcBorders>
            <w:vAlign w:val="center"/>
          </w:tcPr>
          <w:p w14:paraId="64D2FE19"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D6AE72B"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93312A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0A26FF1"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6CFB5C9"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EUR</w:t>
            </w:r>
          </w:p>
        </w:tc>
        <w:tc>
          <w:tcPr>
            <w:tcW w:w="2410" w:type="dxa"/>
            <w:tcBorders>
              <w:top w:val="single" w:sz="2" w:space="0" w:color="auto"/>
              <w:left w:val="single" w:sz="2" w:space="0" w:color="auto"/>
              <w:bottom w:val="single" w:sz="2" w:space="0" w:color="auto"/>
              <w:right w:val="single" w:sz="2" w:space="0" w:color="auto"/>
            </w:tcBorders>
            <w:vAlign w:val="center"/>
          </w:tcPr>
          <w:p w14:paraId="597DBAFB"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77B1CA7"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9071AF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E80BBAD"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AD2DD7"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HKD</w:t>
            </w:r>
          </w:p>
        </w:tc>
        <w:tc>
          <w:tcPr>
            <w:tcW w:w="2410" w:type="dxa"/>
            <w:tcBorders>
              <w:top w:val="single" w:sz="2" w:space="0" w:color="auto"/>
              <w:left w:val="single" w:sz="2" w:space="0" w:color="auto"/>
              <w:bottom w:val="single" w:sz="2" w:space="0" w:color="auto"/>
              <w:right w:val="single" w:sz="2" w:space="0" w:color="auto"/>
            </w:tcBorders>
            <w:vAlign w:val="center"/>
          </w:tcPr>
          <w:p w14:paraId="78C48145"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5A03CAA"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F43FE5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1A6299B"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BACA98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Notes receivable</w:t>
            </w:r>
          </w:p>
        </w:tc>
        <w:tc>
          <w:tcPr>
            <w:tcW w:w="2410" w:type="dxa"/>
            <w:tcBorders>
              <w:top w:val="single" w:sz="2" w:space="0" w:color="auto"/>
              <w:left w:val="single" w:sz="2" w:space="0" w:color="auto"/>
              <w:bottom w:val="single" w:sz="2" w:space="0" w:color="auto"/>
              <w:right w:val="single" w:sz="2" w:space="0" w:color="auto"/>
            </w:tcBorders>
            <w:vAlign w:val="center"/>
          </w:tcPr>
          <w:p w14:paraId="59F1478F"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85321C7"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84387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10,485.00</w:t>
            </w:r>
          </w:p>
        </w:tc>
      </w:tr>
      <w:tr w:rsidR="00F73301" w:rsidRPr="00F73301" w14:paraId="5ECC2699"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3E97121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NTD</w:t>
            </w:r>
          </w:p>
        </w:tc>
        <w:tc>
          <w:tcPr>
            <w:tcW w:w="2410" w:type="dxa"/>
            <w:tcBorders>
              <w:top w:val="single" w:sz="2" w:space="0" w:color="auto"/>
              <w:left w:val="single" w:sz="2" w:space="0" w:color="auto"/>
              <w:bottom w:val="single" w:sz="2" w:space="0" w:color="auto"/>
              <w:right w:val="single" w:sz="2" w:space="0" w:color="auto"/>
            </w:tcBorders>
            <w:vAlign w:val="center"/>
          </w:tcPr>
          <w:p w14:paraId="449E2D6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45,000.00</w:t>
            </w:r>
          </w:p>
        </w:tc>
        <w:tc>
          <w:tcPr>
            <w:tcW w:w="2410" w:type="dxa"/>
            <w:tcBorders>
              <w:top w:val="single" w:sz="2" w:space="0" w:color="auto"/>
              <w:left w:val="single" w:sz="2" w:space="0" w:color="auto"/>
              <w:bottom w:val="single" w:sz="2" w:space="0" w:color="auto"/>
              <w:right w:val="single" w:sz="2" w:space="0" w:color="auto"/>
            </w:tcBorders>
            <w:vAlign w:val="center"/>
          </w:tcPr>
          <w:p w14:paraId="0340F74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0.2330</w:t>
            </w:r>
          </w:p>
        </w:tc>
        <w:tc>
          <w:tcPr>
            <w:tcW w:w="2410" w:type="dxa"/>
            <w:tcBorders>
              <w:top w:val="single" w:sz="2" w:space="0" w:color="auto"/>
              <w:left w:val="single" w:sz="2" w:space="0" w:color="auto"/>
              <w:bottom w:val="single" w:sz="2" w:space="0" w:color="auto"/>
              <w:right w:val="single" w:sz="2" w:space="0" w:color="auto"/>
            </w:tcBorders>
            <w:vAlign w:val="center"/>
          </w:tcPr>
          <w:p w14:paraId="6E5C1C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10,485.00</w:t>
            </w:r>
          </w:p>
        </w:tc>
      </w:tr>
      <w:tr w:rsidR="00F73301" w:rsidRPr="00F73301" w14:paraId="0752A432"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58F1A41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Short-term borrowings</w:t>
            </w:r>
          </w:p>
        </w:tc>
        <w:tc>
          <w:tcPr>
            <w:tcW w:w="2410" w:type="dxa"/>
            <w:tcBorders>
              <w:top w:val="single" w:sz="2" w:space="0" w:color="auto"/>
              <w:left w:val="single" w:sz="2" w:space="0" w:color="auto"/>
              <w:bottom w:val="single" w:sz="2" w:space="0" w:color="auto"/>
              <w:right w:val="single" w:sz="2" w:space="0" w:color="auto"/>
            </w:tcBorders>
            <w:vAlign w:val="center"/>
          </w:tcPr>
          <w:p w14:paraId="4931888F"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C50AD3F"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E12EE7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18,640,000.00</w:t>
            </w:r>
          </w:p>
        </w:tc>
      </w:tr>
      <w:tr w:rsidR="00F73301" w:rsidRPr="00F73301" w14:paraId="09B8F798"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0871D3A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NTD</w:t>
            </w:r>
          </w:p>
        </w:tc>
        <w:tc>
          <w:tcPr>
            <w:tcW w:w="2410" w:type="dxa"/>
            <w:tcBorders>
              <w:top w:val="single" w:sz="2" w:space="0" w:color="auto"/>
              <w:left w:val="single" w:sz="2" w:space="0" w:color="auto"/>
              <w:bottom w:val="single" w:sz="2" w:space="0" w:color="auto"/>
              <w:right w:val="single" w:sz="2" w:space="0" w:color="auto"/>
            </w:tcBorders>
            <w:vAlign w:val="center"/>
          </w:tcPr>
          <w:p w14:paraId="11D17E1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80,000,000.00</w:t>
            </w:r>
          </w:p>
        </w:tc>
        <w:tc>
          <w:tcPr>
            <w:tcW w:w="2410" w:type="dxa"/>
            <w:tcBorders>
              <w:top w:val="single" w:sz="2" w:space="0" w:color="auto"/>
              <w:left w:val="single" w:sz="2" w:space="0" w:color="auto"/>
              <w:bottom w:val="single" w:sz="2" w:space="0" w:color="auto"/>
              <w:right w:val="single" w:sz="2" w:space="0" w:color="auto"/>
            </w:tcBorders>
            <w:vAlign w:val="center"/>
          </w:tcPr>
          <w:p w14:paraId="2CDE283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0.2330</w:t>
            </w:r>
          </w:p>
        </w:tc>
        <w:tc>
          <w:tcPr>
            <w:tcW w:w="2410" w:type="dxa"/>
            <w:tcBorders>
              <w:top w:val="single" w:sz="2" w:space="0" w:color="auto"/>
              <w:left w:val="single" w:sz="2" w:space="0" w:color="auto"/>
              <w:bottom w:val="single" w:sz="2" w:space="0" w:color="auto"/>
              <w:right w:val="single" w:sz="2" w:space="0" w:color="auto"/>
            </w:tcBorders>
            <w:vAlign w:val="center"/>
          </w:tcPr>
          <w:p w14:paraId="61B8CDB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18,640,000.00</w:t>
            </w:r>
          </w:p>
        </w:tc>
      </w:tr>
      <w:tr w:rsidR="00F73301" w:rsidRPr="00F73301" w14:paraId="499F92A8"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17FF3D5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payable</w:t>
            </w:r>
          </w:p>
        </w:tc>
        <w:tc>
          <w:tcPr>
            <w:tcW w:w="2410" w:type="dxa"/>
            <w:tcBorders>
              <w:top w:val="single" w:sz="2" w:space="0" w:color="auto"/>
              <w:left w:val="single" w:sz="2" w:space="0" w:color="auto"/>
              <w:bottom w:val="single" w:sz="2" w:space="0" w:color="auto"/>
              <w:right w:val="single" w:sz="2" w:space="0" w:color="auto"/>
            </w:tcBorders>
            <w:vAlign w:val="center"/>
          </w:tcPr>
          <w:p w14:paraId="35E0F225"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1B6507C"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A3A4CC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89,585,974.53</w:t>
            </w:r>
          </w:p>
        </w:tc>
      </w:tr>
      <w:tr w:rsidR="00F73301" w:rsidRPr="00F73301" w14:paraId="6D56B514"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09CA0B4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USD</w:t>
            </w:r>
          </w:p>
        </w:tc>
        <w:tc>
          <w:tcPr>
            <w:tcW w:w="2410" w:type="dxa"/>
            <w:tcBorders>
              <w:top w:val="single" w:sz="2" w:space="0" w:color="auto"/>
              <w:left w:val="single" w:sz="2" w:space="0" w:color="auto"/>
              <w:bottom w:val="single" w:sz="2" w:space="0" w:color="auto"/>
              <w:right w:val="single" w:sz="2" w:space="0" w:color="auto"/>
            </w:tcBorders>
            <w:vAlign w:val="center"/>
          </w:tcPr>
          <w:p w14:paraId="271E76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11,767,739.81</w:t>
            </w:r>
          </w:p>
        </w:tc>
        <w:tc>
          <w:tcPr>
            <w:tcW w:w="2410" w:type="dxa"/>
            <w:tcBorders>
              <w:top w:val="single" w:sz="2" w:space="0" w:color="auto"/>
              <w:left w:val="single" w:sz="2" w:space="0" w:color="auto"/>
              <w:bottom w:val="single" w:sz="2" w:space="0" w:color="auto"/>
              <w:right w:val="single" w:sz="2" w:space="0" w:color="auto"/>
            </w:tcBorders>
            <w:vAlign w:val="center"/>
          </w:tcPr>
          <w:p w14:paraId="56B0692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7.2258</w:t>
            </w:r>
          </w:p>
        </w:tc>
        <w:tc>
          <w:tcPr>
            <w:tcW w:w="2410" w:type="dxa"/>
            <w:tcBorders>
              <w:top w:val="single" w:sz="2" w:space="0" w:color="auto"/>
              <w:left w:val="single" w:sz="2" w:space="0" w:color="auto"/>
              <w:bottom w:val="single" w:sz="2" w:space="0" w:color="auto"/>
              <w:right w:val="single" w:sz="2" w:space="0" w:color="auto"/>
            </w:tcBorders>
            <w:vAlign w:val="center"/>
          </w:tcPr>
          <w:p w14:paraId="48BF48B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85,031,334.32</w:t>
            </w:r>
          </w:p>
        </w:tc>
      </w:tr>
      <w:tr w:rsidR="00F73301" w:rsidRPr="00F73301" w14:paraId="7989621B"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326DBD7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TWD</w:t>
            </w:r>
          </w:p>
        </w:tc>
        <w:tc>
          <w:tcPr>
            <w:tcW w:w="2410" w:type="dxa"/>
            <w:tcBorders>
              <w:top w:val="single" w:sz="2" w:space="0" w:color="auto"/>
              <w:left w:val="single" w:sz="2" w:space="0" w:color="auto"/>
              <w:bottom w:val="single" w:sz="2" w:space="0" w:color="auto"/>
              <w:right w:val="single" w:sz="2" w:space="0" w:color="auto"/>
            </w:tcBorders>
            <w:vAlign w:val="center"/>
          </w:tcPr>
          <w:p w14:paraId="370A928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18,229,327.51</w:t>
            </w:r>
          </w:p>
        </w:tc>
        <w:tc>
          <w:tcPr>
            <w:tcW w:w="2410" w:type="dxa"/>
            <w:tcBorders>
              <w:top w:val="single" w:sz="2" w:space="0" w:color="auto"/>
              <w:left w:val="single" w:sz="2" w:space="0" w:color="auto"/>
              <w:bottom w:val="single" w:sz="2" w:space="0" w:color="auto"/>
              <w:right w:val="single" w:sz="2" w:space="0" w:color="auto"/>
            </w:tcBorders>
            <w:vAlign w:val="center"/>
          </w:tcPr>
          <w:p w14:paraId="2BA3975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0.2330</w:t>
            </w:r>
          </w:p>
        </w:tc>
        <w:tc>
          <w:tcPr>
            <w:tcW w:w="2410" w:type="dxa"/>
            <w:tcBorders>
              <w:top w:val="single" w:sz="2" w:space="0" w:color="auto"/>
              <w:left w:val="single" w:sz="2" w:space="0" w:color="auto"/>
              <w:bottom w:val="single" w:sz="2" w:space="0" w:color="auto"/>
              <w:right w:val="single" w:sz="2" w:space="0" w:color="auto"/>
            </w:tcBorders>
            <w:vAlign w:val="center"/>
          </w:tcPr>
          <w:p w14:paraId="3DF19FB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4,247,433.31</w:t>
            </w:r>
          </w:p>
        </w:tc>
      </w:tr>
      <w:tr w:rsidR="00F73301" w:rsidRPr="00F73301" w14:paraId="507B91FF"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2685A73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EUR</w:t>
            </w:r>
          </w:p>
        </w:tc>
        <w:tc>
          <w:tcPr>
            <w:tcW w:w="2410" w:type="dxa"/>
            <w:tcBorders>
              <w:top w:val="single" w:sz="2" w:space="0" w:color="auto"/>
              <w:left w:val="single" w:sz="2" w:space="0" w:color="auto"/>
              <w:bottom w:val="single" w:sz="2" w:space="0" w:color="auto"/>
              <w:right w:val="single" w:sz="2" w:space="0" w:color="auto"/>
            </w:tcBorders>
            <w:vAlign w:val="center"/>
          </w:tcPr>
          <w:p w14:paraId="706C90C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39,000.00</w:t>
            </w:r>
          </w:p>
        </w:tc>
        <w:tc>
          <w:tcPr>
            <w:tcW w:w="2410" w:type="dxa"/>
            <w:tcBorders>
              <w:top w:val="single" w:sz="2" w:space="0" w:color="auto"/>
              <w:left w:val="single" w:sz="2" w:space="0" w:color="auto"/>
              <w:bottom w:val="single" w:sz="2" w:space="0" w:color="auto"/>
              <w:right w:val="single" w:sz="2" w:space="0" w:color="auto"/>
            </w:tcBorders>
            <w:vAlign w:val="center"/>
          </w:tcPr>
          <w:p w14:paraId="0FFA9A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7.8771</w:t>
            </w:r>
          </w:p>
        </w:tc>
        <w:tc>
          <w:tcPr>
            <w:tcW w:w="2410" w:type="dxa"/>
            <w:tcBorders>
              <w:top w:val="single" w:sz="2" w:space="0" w:color="auto"/>
              <w:left w:val="single" w:sz="2" w:space="0" w:color="auto"/>
              <w:bottom w:val="single" w:sz="2" w:space="0" w:color="auto"/>
              <w:right w:val="single" w:sz="2" w:space="0" w:color="auto"/>
            </w:tcBorders>
            <w:vAlign w:val="center"/>
          </w:tcPr>
          <w:p w14:paraId="1C003E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307,206.90</w:t>
            </w:r>
          </w:p>
        </w:tc>
      </w:tr>
      <w:tr w:rsidR="00F73301" w:rsidRPr="00F73301" w14:paraId="73965A0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2F9CB37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receivables</w:t>
            </w:r>
          </w:p>
        </w:tc>
        <w:tc>
          <w:tcPr>
            <w:tcW w:w="2410" w:type="dxa"/>
            <w:tcBorders>
              <w:top w:val="single" w:sz="2" w:space="0" w:color="auto"/>
              <w:left w:val="single" w:sz="2" w:space="0" w:color="auto"/>
              <w:bottom w:val="single" w:sz="2" w:space="0" w:color="auto"/>
              <w:right w:val="single" w:sz="2" w:space="0" w:color="auto"/>
            </w:tcBorders>
            <w:vAlign w:val="center"/>
          </w:tcPr>
          <w:p w14:paraId="299C9453"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6F2F650"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1E043C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408,572.66</w:t>
            </w:r>
          </w:p>
        </w:tc>
      </w:tr>
      <w:tr w:rsidR="00F73301" w:rsidRPr="00F73301" w14:paraId="3A3D67C3"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A07B13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NTD</w:t>
            </w:r>
          </w:p>
        </w:tc>
        <w:tc>
          <w:tcPr>
            <w:tcW w:w="2410" w:type="dxa"/>
            <w:tcBorders>
              <w:top w:val="single" w:sz="2" w:space="0" w:color="auto"/>
              <w:left w:val="single" w:sz="2" w:space="0" w:color="auto"/>
              <w:bottom w:val="single" w:sz="2" w:space="0" w:color="auto"/>
              <w:right w:val="single" w:sz="2" w:space="0" w:color="auto"/>
            </w:tcBorders>
            <w:vAlign w:val="center"/>
          </w:tcPr>
          <w:p w14:paraId="4426E86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25,000.00</w:t>
            </w:r>
          </w:p>
        </w:tc>
        <w:tc>
          <w:tcPr>
            <w:tcW w:w="2410" w:type="dxa"/>
            <w:tcBorders>
              <w:top w:val="single" w:sz="2" w:space="0" w:color="auto"/>
              <w:left w:val="single" w:sz="2" w:space="0" w:color="auto"/>
              <w:bottom w:val="single" w:sz="2" w:space="0" w:color="auto"/>
              <w:right w:val="single" w:sz="2" w:space="0" w:color="auto"/>
            </w:tcBorders>
            <w:vAlign w:val="center"/>
          </w:tcPr>
          <w:p w14:paraId="23AE3AD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0.2330</w:t>
            </w:r>
          </w:p>
        </w:tc>
        <w:tc>
          <w:tcPr>
            <w:tcW w:w="2410" w:type="dxa"/>
            <w:tcBorders>
              <w:top w:val="single" w:sz="2" w:space="0" w:color="auto"/>
              <w:left w:val="single" w:sz="2" w:space="0" w:color="auto"/>
              <w:bottom w:val="single" w:sz="2" w:space="0" w:color="auto"/>
              <w:right w:val="single" w:sz="2" w:space="0" w:color="auto"/>
            </w:tcBorders>
            <w:vAlign w:val="center"/>
          </w:tcPr>
          <w:p w14:paraId="6E1517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5,825.00</w:t>
            </w:r>
          </w:p>
        </w:tc>
      </w:tr>
      <w:tr w:rsidR="00F73301" w:rsidRPr="00F73301" w14:paraId="477BA17C"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0C2681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KRW</w:t>
            </w:r>
          </w:p>
        </w:tc>
        <w:tc>
          <w:tcPr>
            <w:tcW w:w="2410" w:type="dxa"/>
            <w:tcBorders>
              <w:top w:val="single" w:sz="2" w:space="0" w:color="auto"/>
              <w:left w:val="single" w:sz="2" w:space="0" w:color="auto"/>
              <w:bottom w:val="single" w:sz="2" w:space="0" w:color="auto"/>
              <w:right w:val="single" w:sz="2" w:space="0" w:color="auto"/>
            </w:tcBorders>
            <w:vAlign w:val="center"/>
          </w:tcPr>
          <w:p w14:paraId="1D2073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10,000,000.00</w:t>
            </w:r>
          </w:p>
        </w:tc>
        <w:tc>
          <w:tcPr>
            <w:tcW w:w="2410" w:type="dxa"/>
            <w:tcBorders>
              <w:top w:val="single" w:sz="2" w:space="0" w:color="auto"/>
              <w:left w:val="single" w:sz="2" w:space="0" w:color="auto"/>
              <w:bottom w:val="single" w:sz="2" w:space="0" w:color="auto"/>
              <w:right w:val="single" w:sz="2" w:space="0" w:color="auto"/>
            </w:tcBorders>
            <w:vAlign w:val="center"/>
          </w:tcPr>
          <w:p w14:paraId="00ED8FF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0.0055</w:t>
            </w:r>
          </w:p>
        </w:tc>
        <w:tc>
          <w:tcPr>
            <w:tcW w:w="2410" w:type="dxa"/>
            <w:tcBorders>
              <w:top w:val="single" w:sz="2" w:space="0" w:color="auto"/>
              <w:left w:val="single" w:sz="2" w:space="0" w:color="auto"/>
              <w:bottom w:val="single" w:sz="2" w:space="0" w:color="auto"/>
              <w:right w:val="single" w:sz="2" w:space="0" w:color="auto"/>
            </w:tcBorders>
            <w:vAlign w:val="center"/>
          </w:tcPr>
          <w:p w14:paraId="34B9659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55,000.00</w:t>
            </w:r>
          </w:p>
        </w:tc>
      </w:tr>
      <w:tr w:rsidR="00F73301" w:rsidRPr="00F73301" w14:paraId="2F33F4C2"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CEEDD8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JPY</w:t>
            </w:r>
          </w:p>
        </w:tc>
        <w:tc>
          <w:tcPr>
            <w:tcW w:w="2410" w:type="dxa"/>
            <w:tcBorders>
              <w:top w:val="single" w:sz="2" w:space="0" w:color="auto"/>
              <w:left w:val="single" w:sz="2" w:space="0" w:color="auto"/>
              <w:bottom w:val="single" w:sz="2" w:space="0" w:color="auto"/>
              <w:right w:val="single" w:sz="2" w:space="0" w:color="auto"/>
            </w:tcBorders>
            <w:vAlign w:val="center"/>
          </w:tcPr>
          <w:p w14:paraId="22B5BDD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403,737.00</w:t>
            </w:r>
          </w:p>
        </w:tc>
        <w:tc>
          <w:tcPr>
            <w:tcW w:w="2410" w:type="dxa"/>
            <w:tcBorders>
              <w:top w:val="single" w:sz="2" w:space="0" w:color="auto"/>
              <w:left w:val="single" w:sz="2" w:space="0" w:color="auto"/>
              <w:bottom w:val="single" w:sz="2" w:space="0" w:color="auto"/>
              <w:right w:val="single" w:sz="2" w:space="0" w:color="auto"/>
            </w:tcBorders>
            <w:vAlign w:val="center"/>
          </w:tcPr>
          <w:p w14:paraId="3141B31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0.0501</w:t>
            </w:r>
          </w:p>
        </w:tc>
        <w:tc>
          <w:tcPr>
            <w:tcW w:w="2410" w:type="dxa"/>
            <w:tcBorders>
              <w:top w:val="single" w:sz="2" w:space="0" w:color="auto"/>
              <w:left w:val="single" w:sz="2" w:space="0" w:color="auto"/>
              <w:bottom w:val="single" w:sz="2" w:space="0" w:color="auto"/>
              <w:right w:val="single" w:sz="2" w:space="0" w:color="auto"/>
            </w:tcBorders>
            <w:vAlign w:val="center"/>
          </w:tcPr>
          <w:p w14:paraId="4080FB4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20,227.22</w:t>
            </w:r>
          </w:p>
        </w:tc>
      </w:tr>
      <w:tr w:rsidR="00F73301" w:rsidRPr="00F73301" w14:paraId="2203CC78"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774191E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USD</w:t>
            </w:r>
          </w:p>
        </w:tc>
        <w:tc>
          <w:tcPr>
            <w:tcW w:w="2410" w:type="dxa"/>
            <w:tcBorders>
              <w:top w:val="single" w:sz="2" w:space="0" w:color="auto"/>
              <w:left w:val="single" w:sz="2" w:space="0" w:color="auto"/>
              <w:bottom w:val="single" w:sz="2" w:space="0" w:color="auto"/>
              <w:right w:val="single" w:sz="2" w:space="0" w:color="auto"/>
            </w:tcBorders>
            <w:vAlign w:val="center"/>
          </w:tcPr>
          <w:p w14:paraId="2986A26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45,326.53</w:t>
            </w:r>
          </w:p>
        </w:tc>
        <w:tc>
          <w:tcPr>
            <w:tcW w:w="2410" w:type="dxa"/>
            <w:tcBorders>
              <w:top w:val="single" w:sz="2" w:space="0" w:color="auto"/>
              <w:left w:val="single" w:sz="2" w:space="0" w:color="auto"/>
              <w:bottom w:val="single" w:sz="2" w:space="0" w:color="auto"/>
              <w:right w:val="single" w:sz="2" w:space="0" w:color="auto"/>
            </w:tcBorders>
            <w:vAlign w:val="center"/>
          </w:tcPr>
          <w:p w14:paraId="2D10594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7.2258</w:t>
            </w:r>
          </w:p>
        </w:tc>
        <w:tc>
          <w:tcPr>
            <w:tcW w:w="2410" w:type="dxa"/>
            <w:tcBorders>
              <w:top w:val="single" w:sz="2" w:space="0" w:color="auto"/>
              <w:left w:val="single" w:sz="2" w:space="0" w:color="auto"/>
              <w:bottom w:val="single" w:sz="2" w:space="0" w:color="auto"/>
              <w:right w:val="single" w:sz="2" w:space="0" w:color="auto"/>
            </w:tcBorders>
            <w:vAlign w:val="center"/>
          </w:tcPr>
          <w:p w14:paraId="673CC94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327,520.44</w:t>
            </w:r>
          </w:p>
        </w:tc>
      </w:tr>
      <w:tr w:rsidR="00F73301" w:rsidRPr="00F73301" w14:paraId="0C245736"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06C7D93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payables</w:t>
            </w:r>
          </w:p>
        </w:tc>
        <w:tc>
          <w:tcPr>
            <w:tcW w:w="2410" w:type="dxa"/>
            <w:tcBorders>
              <w:top w:val="single" w:sz="2" w:space="0" w:color="auto"/>
              <w:left w:val="single" w:sz="2" w:space="0" w:color="auto"/>
              <w:bottom w:val="single" w:sz="2" w:space="0" w:color="auto"/>
              <w:right w:val="single" w:sz="2" w:space="0" w:color="auto"/>
            </w:tcBorders>
            <w:vAlign w:val="center"/>
          </w:tcPr>
          <w:p w14:paraId="3BE58AC5"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0097557"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5E779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145,658.79</w:t>
            </w:r>
          </w:p>
        </w:tc>
      </w:tr>
      <w:tr w:rsidR="00F73301" w:rsidRPr="00F73301" w14:paraId="69316539"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93271D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NTD</w:t>
            </w:r>
          </w:p>
        </w:tc>
        <w:tc>
          <w:tcPr>
            <w:tcW w:w="2410" w:type="dxa"/>
            <w:tcBorders>
              <w:top w:val="single" w:sz="2" w:space="0" w:color="auto"/>
              <w:left w:val="single" w:sz="2" w:space="0" w:color="auto"/>
              <w:bottom w:val="single" w:sz="2" w:space="0" w:color="auto"/>
              <w:right w:val="single" w:sz="2" w:space="0" w:color="auto"/>
            </w:tcBorders>
            <w:vAlign w:val="center"/>
          </w:tcPr>
          <w:p w14:paraId="4F46C4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625,145.00</w:t>
            </w:r>
          </w:p>
        </w:tc>
        <w:tc>
          <w:tcPr>
            <w:tcW w:w="2410" w:type="dxa"/>
            <w:tcBorders>
              <w:top w:val="single" w:sz="2" w:space="0" w:color="auto"/>
              <w:left w:val="single" w:sz="2" w:space="0" w:color="auto"/>
              <w:bottom w:val="single" w:sz="2" w:space="0" w:color="auto"/>
              <w:right w:val="single" w:sz="2" w:space="0" w:color="auto"/>
            </w:tcBorders>
            <w:vAlign w:val="center"/>
          </w:tcPr>
          <w:p w14:paraId="68DD5E8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0.2330</w:t>
            </w:r>
          </w:p>
        </w:tc>
        <w:tc>
          <w:tcPr>
            <w:tcW w:w="2410" w:type="dxa"/>
            <w:tcBorders>
              <w:top w:val="single" w:sz="2" w:space="0" w:color="auto"/>
              <w:left w:val="single" w:sz="2" w:space="0" w:color="auto"/>
              <w:bottom w:val="single" w:sz="2" w:space="0" w:color="auto"/>
              <w:right w:val="single" w:sz="2" w:space="0" w:color="auto"/>
            </w:tcBorders>
            <w:vAlign w:val="center"/>
          </w:tcPr>
          <w:p w14:paraId="0F8129E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145,658.79</w:t>
            </w:r>
          </w:p>
        </w:tc>
      </w:tr>
    </w:tbl>
    <w:p w14:paraId="27052189"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0AE458D8"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7531024D"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87" w:name="_Toc989175"/>
      <w:r w:rsidRPr="00F73301">
        <w:rPr>
          <w:rFonts w:ascii="Times New Roman" w:eastAsia="宋体" w:hAnsi="Times New Roman" w:cs="Times New Roman"/>
          <w:b/>
          <w:bCs/>
          <w:sz w:val="24"/>
          <w:szCs w:val="24"/>
        </w:rPr>
        <w:t>(2) Notes to overseas entities including: for significant oversea entities, main operating place, functional currency and selection basis shall be disclosed; if there are changes in recording currency, relevant reasons shall be disclosed.</w:t>
      </w:r>
      <w:bookmarkEnd w:id="287"/>
    </w:p>
    <w:p w14:paraId="743227C6"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Not applicable</w:t>
      </w:r>
    </w:p>
    <w:tbl>
      <w:tblPr>
        <w:tblW w:w="5000" w:type="pct"/>
        <w:jc w:val="center"/>
        <w:tblCellMar>
          <w:left w:w="57" w:type="dxa"/>
          <w:right w:w="57" w:type="dxa"/>
        </w:tblCellMar>
        <w:tblLook w:val="04A0" w:firstRow="1" w:lastRow="0" w:firstColumn="1" w:lastColumn="0" w:noHBand="0" w:noVBand="1"/>
      </w:tblPr>
      <w:tblGrid>
        <w:gridCol w:w="3265"/>
        <w:gridCol w:w="2211"/>
        <w:gridCol w:w="2173"/>
        <w:gridCol w:w="1968"/>
      </w:tblGrid>
      <w:tr w:rsidR="00F73301" w:rsidRPr="00F73301" w14:paraId="71736153" w14:textId="77777777" w:rsidTr="008A539F">
        <w:trPr>
          <w:jc w:val="center"/>
        </w:trPr>
        <w:tc>
          <w:tcPr>
            <w:tcW w:w="175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32CD509"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Entities</w:t>
            </w:r>
          </w:p>
        </w:tc>
        <w:tc>
          <w:tcPr>
            <w:tcW w:w="975"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9F588B9"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Principal place of operation</w:t>
            </w:r>
          </w:p>
        </w:tc>
        <w:tc>
          <w:tcPr>
            <w:tcW w:w="1188"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B8ADB80"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Functional currency</w:t>
            </w:r>
          </w:p>
        </w:tc>
        <w:tc>
          <w:tcPr>
            <w:tcW w:w="1081"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913A37B"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Reasons</w:t>
            </w:r>
          </w:p>
        </w:tc>
      </w:tr>
      <w:tr w:rsidR="00F73301" w:rsidRPr="00F73301" w14:paraId="629AD301" w14:textId="77777777" w:rsidTr="008A539F">
        <w:trPr>
          <w:jc w:val="center"/>
        </w:trPr>
        <w:tc>
          <w:tcPr>
            <w:tcW w:w="1756"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699D78"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 xml:space="preserve">MCC USA </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hideMark/>
          </w:tcPr>
          <w:p w14:paraId="58CAE939"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The USA</w:t>
            </w:r>
          </w:p>
        </w:tc>
        <w:tc>
          <w:tcPr>
            <w:tcW w:w="1188" w:type="pct"/>
            <w:tcBorders>
              <w:top w:val="nil"/>
              <w:left w:val="nil"/>
              <w:bottom w:val="single" w:sz="8" w:space="0" w:color="auto"/>
              <w:right w:val="single" w:sz="8" w:space="0" w:color="auto"/>
            </w:tcBorders>
            <w:noWrap/>
            <w:tcMar>
              <w:top w:w="0" w:type="dxa"/>
              <w:left w:w="108" w:type="dxa"/>
              <w:bottom w:w="0" w:type="dxa"/>
              <w:right w:w="108" w:type="dxa"/>
            </w:tcMar>
            <w:hideMark/>
          </w:tcPr>
          <w:p w14:paraId="7B620772"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USD</w:t>
            </w:r>
          </w:p>
        </w:tc>
        <w:tc>
          <w:tcPr>
            <w:tcW w:w="1081" w:type="pct"/>
            <w:tcBorders>
              <w:top w:val="nil"/>
              <w:left w:val="nil"/>
              <w:bottom w:val="single" w:sz="8" w:space="0" w:color="auto"/>
              <w:right w:val="single" w:sz="8" w:space="0" w:color="auto"/>
            </w:tcBorders>
            <w:noWrap/>
            <w:tcMar>
              <w:top w:w="0" w:type="dxa"/>
              <w:left w:w="108" w:type="dxa"/>
              <w:bottom w:w="0" w:type="dxa"/>
              <w:right w:w="108" w:type="dxa"/>
            </w:tcMar>
            <w:hideMark/>
          </w:tcPr>
          <w:p w14:paraId="7AC49526"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Required by local laws.</w:t>
            </w:r>
          </w:p>
        </w:tc>
      </w:tr>
      <w:tr w:rsidR="00F73301" w:rsidRPr="00F73301" w14:paraId="4DA39D3A" w14:textId="77777777" w:rsidTr="008A539F">
        <w:trPr>
          <w:jc w:val="center"/>
        </w:trPr>
        <w:tc>
          <w:tcPr>
            <w:tcW w:w="1756"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9DC579"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MCC Taiwan</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hideMark/>
          </w:tcPr>
          <w:p w14:paraId="07AD9352"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Taiwan, China</w:t>
            </w:r>
          </w:p>
        </w:tc>
        <w:tc>
          <w:tcPr>
            <w:tcW w:w="1188" w:type="pct"/>
            <w:tcBorders>
              <w:top w:val="nil"/>
              <w:left w:val="nil"/>
              <w:bottom w:val="single" w:sz="8" w:space="0" w:color="auto"/>
              <w:right w:val="single" w:sz="8" w:space="0" w:color="auto"/>
            </w:tcBorders>
            <w:noWrap/>
            <w:tcMar>
              <w:top w:w="0" w:type="dxa"/>
              <w:left w:w="108" w:type="dxa"/>
              <w:bottom w:w="0" w:type="dxa"/>
              <w:right w:w="108" w:type="dxa"/>
            </w:tcMar>
            <w:hideMark/>
          </w:tcPr>
          <w:p w14:paraId="28F95488"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TWD</w:t>
            </w:r>
          </w:p>
        </w:tc>
        <w:tc>
          <w:tcPr>
            <w:tcW w:w="1081" w:type="pct"/>
            <w:tcBorders>
              <w:top w:val="nil"/>
              <w:left w:val="nil"/>
              <w:bottom w:val="single" w:sz="8" w:space="0" w:color="auto"/>
              <w:right w:val="single" w:sz="8" w:space="0" w:color="auto"/>
            </w:tcBorders>
            <w:noWrap/>
            <w:tcMar>
              <w:top w:w="0" w:type="dxa"/>
              <w:left w:w="108" w:type="dxa"/>
              <w:bottom w:w="0" w:type="dxa"/>
              <w:right w:w="108" w:type="dxa"/>
            </w:tcMar>
            <w:hideMark/>
          </w:tcPr>
          <w:p w14:paraId="002CB18A"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Required by local laws.</w:t>
            </w:r>
          </w:p>
        </w:tc>
      </w:tr>
      <w:tr w:rsidR="00F73301" w:rsidRPr="00F73301" w14:paraId="18B6B024" w14:textId="77777777" w:rsidTr="008A539F">
        <w:trPr>
          <w:jc w:val="center"/>
        </w:trPr>
        <w:tc>
          <w:tcPr>
            <w:tcW w:w="1756"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D3865A"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MCC Hong Kong</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hideMark/>
          </w:tcPr>
          <w:p w14:paraId="05D5E91D"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Hong Kong, China</w:t>
            </w:r>
          </w:p>
        </w:tc>
        <w:tc>
          <w:tcPr>
            <w:tcW w:w="1188" w:type="pct"/>
            <w:tcBorders>
              <w:top w:val="nil"/>
              <w:left w:val="nil"/>
              <w:bottom w:val="single" w:sz="8" w:space="0" w:color="auto"/>
              <w:right w:val="single" w:sz="8" w:space="0" w:color="auto"/>
            </w:tcBorders>
            <w:noWrap/>
            <w:tcMar>
              <w:top w:w="0" w:type="dxa"/>
              <w:left w:w="108" w:type="dxa"/>
              <w:bottom w:w="0" w:type="dxa"/>
              <w:right w:w="108" w:type="dxa"/>
            </w:tcMar>
            <w:hideMark/>
          </w:tcPr>
          <w:p w14:paraId="7A5CBCC5"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USD</w:t>
            </w:r>
          </w:p>
        </w:tc>
        <w:tc>
          <w:tcPr>
            <w:tcW w:w="1081" w:type="pct"/>
            <w:tcBorders>
              <w:top w:val="nil"/>
              <w:left w:val="nil"/>
              <w:bottom w:val="single" w:sz="8" w:space="0" w:color="auto"/>
              <w:right w:val="single" w:sz="8" w:space="0" w:color="auto"/>
            </w:tcBorders>
            <w:noWrap/>
            <w:tcMar>
              <w:top w:w="0" w:type="dxa"/>
              <w:left w:w="108" w:type="dxa"/>
              <w:bottom w:w="0" w:type="dxa"/>
              <w:right w:w="108" w:type="dxa"/>
            </w:tcMar>
            <w:hideMark/>
          </w:tcPr>
          <w:p w14:paraId="52C2DD75"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Required by local laws.</w:t>
            </w:r>
          </w:p>
        </w:tc>
      </w:tr>
      <w:tr w:rsidR="00F73301" w:rsidRPr="00F73301" w14:paraId="4BADEF7C" w14:textId="77777777" w:rsidTr="008A539F">
        <w:trPr>
          <w:jc w:val="center"/>
        </w:trPr>
        <w:tc>
          <w:tcPr>
            <w:tcW w:w="1756"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90185D"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 xml:space="preserve">Caswell </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hideMark/>
          </w:tcPr>
          <w:p w14:paraId="3A0385F9"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The British Virgin Islands</w:t>
            </w:r>
          </w:p>
        </w:tc>
        <w:tc>
          <w:tcPr>
            <w:tcW w:w="1188" w:type="pct"/>
            <w:tcBorders>
              <w:top w:val="nil"/>
              <w:left w:val="nil"/>
              <w:bottom w:val="single" w:sz="8" w:space="0" w:color="auto"/>
              <w:right w:val="single" w:sz="8" w:space="0" w:color="auto"/>
            </w:tcBorders>
            <w:noWrap/>
            <w:tcMar>
              <w:top w:w="0" w:type="dxa"/>
              <w:left w:w="108" w:type="dxa"/>
              <w:bottom w:w="0" w:type="dxa"/>
              <w:right w:w="108" w:type="dxa"/>
            </w:tcMar>
            <w:hideMark/>
          </w:tcPr>
          <w:p w14:paraId="3437614C"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USD</w:t>
            </w:r>
          </w:p>
        </w:tc>
        <w:tc>
          <w:tcPr>
            <w:tcW w:w="1081" w:type="pct"/>
            <w:tcBorders>
              <w:top w:val="nil"/>
              <w:left w:val="nil"/>
              <w:bottom w:val="single" w:sz="8" w:space="0" w:color="auto"/>
              <w:right w:val="single" w:sz="8" w:space="0" w:color="auto"/>
            </w:tcBorders>
            <w:noWrap/>
            <w:tcMar>
              <w:top w:w="0" w:type="dxa"/>
              <w:left w:w="108" w:type="dxa"/>
              <w:bottom w:w="0" w:type="dxa"/>
              <w:right w:w="108" w:type="dxa"/>
            </w:tcMar>
            <w:hideMark/>
          </w:tcPr>
          <w:p w14:paraId="4B9C7128"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Required by local laws.</w:t>
            </w:r>
          </w:p>
        </w:tc>
      </w:tr>
      <w:tr w:rsidR="00F73301" w:rsidRPr="00F73301" w14:paraId="554A5A53" w14:textId="77777777" w:rsidTr="008A539F">
        <w:trPr>
          <w:jc w:val="center"/>
        </w:trPr>
        <w:tc>
          <w:tcPr>
            <w:tcW w:w="1756"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C94DB9" w14:textId="3FA569F5" w:rsidR="00F73301" w:rsidRPr="00F73301" w:rsidRDefault="00F73301" w:rsidP="00A91E52">
            <w:pPr>
              <w:widowControl/>
              <w:snapToGrid w:val="0"/>
              <w:rPr>
                <w:rFonts w:ascii="Times New Roman" w:eastAsia="等线" w:hAnsi="Times New Roman" w:cs="Times New Roman"/>
                <w:kern w:val="0"/>
                <w:sz w:val="18"/>
                <w:szCs w:val="18"/>
              </w:rPr>
            </w:pPr>
            <w:proofErr w:type="spellStart"/>
            <w:r w:rsidRPr="00F73301">
              <w:rPr>
                <w:rFonts w:ascii="Times New Roman" w:eastAsia="宋体" w:hAnsi="Times New Roman" w:cs="Times New Roman"/>
                <w:kern w:val="0"/>
                <w:sz w:val="18"/>
                <w:szCs w:val="18"/>
              </w:rPr>
              <w:t>Yangjie</w:t>
            </w:r>
            <w:proofErr w:type="spellEnd"/>
            <w:r w:rsidR="00A91E52">
              <w:rPr>
                <w:rFonts w:ascii="Times New Roman" w:eastAsia="宋体" w:hAnsi="Times New Roman" w:cs="Times New Roman"/>
                <w:kern w:val="0"/>
                <w:sz w:val="18"/>
                <w:szCs w:val="18"/>
              </w:rPr>
              <w:t xml:space="preserve"> Korea</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hideMark/>
          </w:tcPr>
          <w:p w14:paraId="47B79EB4"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Korea</w:t>
            </w:r>
          </w:p>
        </w:tc>
        <w:tc>
          <w:tcPr>
            <w:tcW w:w="1188" w:type="pct"/>
            <w:tcBorders>
              <w:top w:val="nil"/>
              <w:left w:val="nil"/>
              <w:bottom w:val="single" w:sz="8" w:space="0" w:color="auto"/>
              <w:right w:val="single" w:sz="8" w:space="0" w:color="auto"/>
            </w:tcBorders>
            <w:noWrap/>
            <w:tcMar>
              <w:top w:w="0" w:type="dxa"/>
              <w:left w:w="108" w:type="dxa"/>
              <w:bottom w:w="0" w:type="dxa"/>
              <w:right w:w="108" w:type="dxa"/>
            </w:tcMar>
            <w:hideMark/>
          </w:tcPr>
          <w:p w14:paraId="6A5039D4"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KRW</w:t>
            </w:r>
          </w:p>
        </w:tc>
        <w:tc>
          <w:tcPr>
            <w:tcW w:w="1081" w:type="pct"/>
            <w:tcBorders>
              <w:top w:val="nil"/>
              <w:left w:val="nil"/>
              <w:bottom w:val="single" w:sz="8" w:space="0" w:color="auto"/>
              <w:right w:val="single" w:sz="8" w:space="0" w:color="auto"/>
            </w:tcBorders>
            <w:noWrap/>
            <w:tcMar>
              <w:top w:w="0" w:type="dxa"/>
              <w:left w:w="108" w:type="dxa"/>
              <w:bottom w:w="0" w:type="dxa"/>
              <w:right w:w="108" w:type="dxa"/>
            </w:tcMar>
            <w:hideMark/>
          </w:tcPr>
          <w:p w14:paraId="22C75D13"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Required by local laws.</w:t>
            </w:r>
          </w:p>
        </w:tc>
      </w:tr>
      <w:tr w:rsidR="00F73301" w:rsidRPr="00F73301" w14:paraId="3D2B7BA2" w14:textId="77777777" w:rsidTr="008A539F">
        <w:trPr>
          <w:jc w:val="center"/>
        </w:trPr>
        <w:tc>
          <w:tcPr>
            <w:tcW w:w="1756"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77F360"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MCC Germany</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hideMark/>
          </w:tcPr>
          <w:p w14:paraId="34C07FD2"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Germany</w:t>
            </w:r>
          </w:p>
        </w:tc>
        <w:tc>
          <w:tcPr>
            <w:tcW w:w="1188" w:type="pct"/>
            <w:tcBorders>
              <w:top w:val="nil"/>
              <w:left w:val="nil"/>
              <w:bottom w:val="single" w:sz="8" w:space="0" w:color="auto"/>
              <w:right w:val="single" w:sz="8" w:space="0" w:color="auto"/>
            </w:tcBorders>
            <w:noWrap/>
            <w:tcMar>
              <w:top w:w="0" w:type="dxa"/>
              <w:left w:w="108" w:type="dxa"/>
              <w:bottom w:w="0" w:type="dxa"/>
              <w:right w:w="108" w:type="dxa"/>
            </w:tcMar>
            <w:hideMark/>
          </w:tcPr>
          <w:p w14:paraId="57F45BE0"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EUR</w:t>
            </w:r>
          </w:p>
        </w:tc>
        <w:tc>
          <w:tcPr>
            <w:tcW w:w="1081" w:type="pct"/>
            <w:tcBorders>
              <w:top w:val="nil"/>
              <w:left w:val="nil"/>
              <w:bottom w:val="single" w:sz="8" w:space="0" w:color="auto"/>
              <w:right w:val="single" w:sz="8" w:space="0" w:color="auto"/>
            </w:tcBorders>
            <w:noWrap/>
            <w:tcMar>
              <w:top w:w="0" w:type="dxa"/>
              <w:left w:w="108" w:type="dxa"/>
              <w:bottom w:w="0" w:type="dxa"/>
              <w:right w:w="108" w:type="dxa"/>
            </w:tcMar>
            <w:hideMark/>
          </w:tcPr>
          <w:p w14:paraId="5475903E"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Required by local laws.</w:t>
            </w:r>
          </w:p>
        </w:tc>
      </w:tr>
      <w:tr w:rsidR="00F73301" w:rsidRPr="00F73301" w14:paraId="0B005508" w14:textId="77777777" w:rsidTr="008A539F">
        <w:trPr>
          <w:jc w:val="center"/>
        </w:trPr>
        <w:tc>
          <w:tcPr>
            <w:tcW w:w="1756"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32B8EA" w14:textId="77777777" w:rsidR="00F73301" w:rsidRPr="00F73301" w:rsidRDefault="00F73301" w:rsidP="008C49B7">
            <w:pPr>
              <w:widowControl/>
              <w:snapToGrid w:val="0"/>
              <w:rPr>
                <w:rFonts w:ascii="Times New Roman" w:eastAsia="等线" w:hAnsi="Times New Roman" w:cs="Times New Roman"/>
                <w:kern w:val="0"/>
                <w:sz w:val="18"/>
                <w:szCs w:val="18"/>
              </w:rPr>
            </w:pPr>
            <w:proofErr w:type="spellStart"/>
            <w:r w:rsidRPr="00F73301">
              <w:rPr>
                <w:rFonts w:ascii="Times New Roman" w:eastAsia="宋体" w:hAnsi="Times New Roman" w:cs="Times New Roman"/>
                <w:kern w:val="0"/>
                <w:sz w:val="18"/>
                <w:szCs w:val="18"/>
              </w:rPr>
              <w:t>Yangjie</w:t>
            </w:r>
            <w:proofErr w:type="spellEnd"/>
            <w:r w:rsidRPr="00F73301">
              <w:rPr>
                <w:rFonts w:ascii="Times New Roman" w:eastAsia="宋体" w:hAnsi="Times New Roman" w:cs="Times New Roman"/>
                <w:kern w:val="0"/>
                <w:sz w:val="18"/>
                <w:szCs w:val="18"/>
              </w:rPr>
              <w:t xml:space="preserve"> Japan</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hideMark/>
          </w:tcPr>
          <w:p w14:paraId="5CECB249"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Japan</w:t>
            </w:r>
          </w:p>
        </w:tc>
        <w:tc>
          <w:tcPr>
            <w:tcW w:w="1188" w:type="pct"/>
            <w:tcBorders>
              <w:top w:val="nil"/>
              <w:left w:val="nil"/>
              <w:bottom w:val="single" w:sz="8" w:space="0" w:color="auto"/>
              <w:right w:val="single" w:sz="8" w:space="0" w:color="auto"/>
            </w:tcBorders>
            <w:noWrap/>
            <w:tcMar>
              <w:top w:w="0" w:type="dxa"/>
              <w:left w:w="108" w:type="dxa"/>
              <w:bottom w:w="0" w:type="dxa"/>
              <w:right w:w="108" w:type="dxa"/>
            </w:tcMar>
            <w:hideMark/>
          </w:tcPr>
          <w:p w14:paraId="7F808D15"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JPY</w:t>
            </w:r>
          </w:p>
        </w:tc>
        <w:tc>
          <w:tcPr>
            <w:tcW w:w="1081" w:type="pct"/>
            <w:tcBorders>
              <w:top w:val="nil"/>
              <w:left w:val="nil"/>
              <w:bottom w:val="single" w:sz="8" w:space="0" w:color="auto"/>
              <w:right w:val="single" w:sz="8" w:space="0" w:color="auto"/>
            </w:tcBorders>
            <w:noWrap/>
            <w:tcMar>
              <w:top w:w="0" w:type="dxa"/>
              <w:left w:w="108" w:type="dxa"/>
              <w:bottom w:w="0" w:type="dxa"/>
              <w:right w:w="108" w:type="dxa"/>
            </w:tcMar>
            <w:hideMark/>
          </w:tcPr>
          <w:p w14:paraId="01B1546C"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Required by local laws.</w:t>
            </w:r>
          </w:p>
        </w:tc>
      </w:tr>
      <w:tr w:rsidR="00F73301" w:rsidRPr="00F73301" w14:paraId="5179071A" w14:textId="77777777" w:rsidTr="008A539F">
        <w:trPr>
          <w:jc w:val="center"/>
        </w:trPr>
        <w:tc>
          <w:tcPr>
            <w:tcW w:w="1756"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CAC450"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MCC Singapore</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hideMark/>
          </w:tcPr>
          <w:p w14:paraId="4BDA0892"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Singapore</w:t>
            </w:r>
          </w:p>
        </w:tc>
        <w:tc>
          <w:tcPr>
            <w:tcW w:w="1188" w:type="pct"/>
            <w:tcBorders>
              <w:top w:val="nil"/>
              <w:left w:val="nil"/>
              <w:bottom w:val="single" w:sz="8" w:space="0" w:color="auto"/>
              <w:right w:val="single" w:sz="8" w:space="0" w:color="auto"/>
            </w:tcBorders>
            <w:noWrap/>
            <w:tcMar>
              <w:top w:w="0" w:type="dxa"/>
              <w:left w:w="108" w:type="dxa"/>
              <w:bottom w:w="0" w:type="dxa"/>
              <w:right w:w="108" w:type="dxa"/>
            </w:tcMar>
            <w:hideMark/>
          </w:tcPr>
          <w:p w14:paraId="068799A1"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USD</w:t>
            </w:r>
          </w:p>
        </w:tc>
        <w:tc>
          <w:tcPr>
            <w:tcW w:w="1081" w:type="pct"/>
            <w:tcBorders>
              <w:top w:val="nil"/>
              <w:left w:val="nil"/>
              <w:bottom w:val="single" w:sz="8" w:space="0" w:color="auto"/>
              <w:right w:val="single" w:sz="8" w:space="0" w:color="auto"/>
            </w:tcBorders>
            <w:noWrap/>
            <w:tcMar>
              <w:top w:w="0" w:type="dxa"/>
              <w:left w:w="108" w:type="dxa"/>
              <w:bottom w:w="0" w:type="dxa"/>
              <w:right w:w="108" w:type="dxa"/>
            </w:tcMar>
            <w:hideMark/>
          </w:tcPr>
          <w:p w14:paraId="1B1D6359" w14:textId="77777777" w:rsidR="00F73301" w:rsidRPr="00F73301" w:rsidRDefault="00F73301" w:rsidP="008C49B7">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Required by local laws.</w:t>
            </w:r>
          </w:p>
        </w:tc>
      </w:tr>
    </w:tbl>
    <w:p w14:paraId="2B124C02" w14:textId="77777777" w:rsidR="00F73301" w:rsidRPr="00F73301" w:rsidRDefault="00F73301" w:rsidP="00F73301">
      <w:pPr>
        <w:snapToGrid w:val="0"/>
        <w:spacing w:beforeLines="50" w:before="156" w:afterLines="50" w:after="156"/>
        <w:rPr>
          <w:rFonts w:ascii="Times New Roman" w:eastAsia="等线" w:hAnsi="Times New Roman" w:cs="Times New Roman"/>
          <w:sz w:val="24"/>
          <w:szCs w:val="24"/>
        </w:rPr>
      </w:pPr>
    </w:p>
    <w:p w14:paraId="77FAC137"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88" w:name="_Toc989176"/>
      <w:r w:rsidRPr="00F73301">
        <w:rPr>
          <w:rFonts w:ascii="Times New Roman" w:eastAsia="宋体" w:hAnsi="Times New Roman" w:cs="Times New Roman"/>
          <w:b/>
          <w:bCs/>
          <w:sz w:val="24"/>
          <w:szCs w:val="24"/>
        </w:rPr>
        <w:t>59. Government grants</w:t>
      </w:r>
      <w:bookmarkEnd w:id="288"/>
    </w:p>
    <w:p w14:paraId="69D348AC"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89" w:name="_Toc989177"/>
      <w:r w:rsidRPr="00F73301">
        <w:rPr>
          <w:rFonts w:ascii="Times New Roman" w:eastAsia="宋体" w:hAnsi="Times New Roman" w:cs="Times New Roman"/>
          <w:b/>
          <w:bCs/>
          <w:sz w:val="24"/>
          <w:szCs w:val="24"/>
        </w:rPr>
        <w:t>(1) Basic information on government grants</w:t>
      </w:r>
      <w:bookmarkEnd w:id="289"/>
    </w:p>
    <w:p w14:paraId="6997EBB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974"/>
        <w:gridCol w:w="1845"/>
        <w:gridCol w:w="2410"/>
        <w:gridCol w:w="2410"/>
      </w:tblGrid>
      <w:tr w:rsidR="00F73301" w:rsidRPr="00F73301" w14:paraId="4DF2B9AF"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shd w:val="clear" w:color="auto" w:fill="D3D3D3"/>
            <w:vAlign w:val="center"/>
          </w:tcPr>
          <w:p w14:paraId="0439ACC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Categories</w:t>
            </w:r>
          </w:p>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14:paraId="33A6597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FC1DCE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Presented under</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B4555A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recorded in the current profit or loss</w:t>
            </w:r>
          </w:p>
        </w:tc>
      </w:tr>
      <w:tr w:rsidR="00F73301" w:rsidRPr="00F73301" w14:paraId="4BFF58C7"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73CA514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development of strategic emerging industries</w:t>
            </w:r>
          </w:p>
        </w:tc>
        <w:tc>
          <w:tcPr>
            <w:tcW w:w="1845" w:type="dxa"/>
            <w:tcBorders>
              <w:top w:val="single" w:sz="2" w:space="0" w:color="auto"/>
              <w:left w:val="single" w:sz="2" w:space="0" w:color="auto"/>
              <w:bottom w:val="single" w:sz="2" w:space="0" w:color="auto"/>
              <w:right w:val="single" w:sz="2" w:space="0" w:color="auto"/>
            </w:tcBorders>
            <w:vAlign w:val="center"/>
          </w:tcPr>
          <w:p w14:paraId="339C0C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25,336,023.13</w:t>
            </w:r>
          </w:p>
        </w:tc>
        <w:tc>
          <w:tcPr>
            <w:tcW w:w="2410" w:type="dxa"/>
            <w:tcBorders>
              <w:top w:val="single" w:sz="2" w:space="0" w:color="auto"/>
              <w:left w:val="single" w:sz="2" w:space="0" w:color="auto"/>
              <w:bottom w:val="single" w:sz="2" w:space="0" w:color="auto"/>
              <w:right w:val="single" w:sz="2" w:space="0" w:color="auto"/>
            </w:tcBorders>
            <w:vAlign w:val="center"/>
          </w:tcPr>
          <w:p w14:paraId="04A8793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4E3E6D9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1,093,755.56</w:t>
            </w:r>
          </w:p>
        </w:tc>
      </w:tr>
      <w:tr w:rsidR="00F73301" w:rsidRPr="00F73301" w14:paraId="6040E088"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1DFDAE1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electronic chips and modules</w:t>
            </w:r>
          </w:p>
        </w:tc>
        <w:tc>
          <w:tcPr>
            <w:tcW w:w="1845" w:type="dxa"/>
            <w:tcBorders>
              <w:top w:val="single" w:sz="2" w:space="0" w:color="auto"/>
              <w:left w:val="single" w:sz="2" w:space="0" w:color="auto"/>
              <w:bottom w:val="single" w:sz="2" w:space="0" w:color="auto"/>
              <w:right w:val="single" w:sz="2" w:space="0" w:color="auto"/>
            </w:tcBorders>
            <w:vAlign w:val="center"/>
          </w:tcPr>
          <w:p w14:paraId="280CCCD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964.33</w:t>
            </w:r>
          </w:p>
        </w:tc>
        <w:tc>
          <w:tcPr>
            <w:tcW w:w="2410" w:type="dxa"/>
            <w:tcBorders>
              <w:top w:val="single" w:sz="2" w:space="0" w:color="auto"/>
              <w:left w:val="single" w:sz="2" w:space="0" w:color="auto"/>
              <w:bottom w:val="single" w:sz="2" w:space="0" w:color="auto"/>
              <w:right w:val="single" w:sz="2" w:space="0" w:color="auto"/>
            </w:tcBorders>
            <w:vAlign w:val="center"/>
          </w:tcPr>
          <w:p w14:paraId="0E1A890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2B07AB3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44,720.93</w:t>
            </w:r>
          </w:p>
        </w:tc>
      </w:tr>
      <w:tr w:rsidR="00F73301" w:rsidRPr="00F73301" w14:paraId="4695C461"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33F2A30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subsidies for enterprise technical transformation</w:t>
            </w:r>
          </w:p>
        </w:tc>
        <w:tc>
          <w:tcPr>
            <w:tcW w:w="1845" w:type="dxa"/>
            <w:tcBorders>
              <w:top w:val="single" w:sz="2" w:space="0" w:color="auto"/>
              <w:left w:val="single" w:sz="2" w:space="0" w:color="auto"/>
              <w:bottom w:val="single" w:sz="2" w:space="0" w:color="auto"/>
              <w:right w:val="single" w:sz="2" w:space="0" w:color="auto"/>
            </w:tcBorders>
            <w:vAlign w:val="center"/>
          </w:tcPr>
          <w:p w14:paraId="7E6584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411,103.02</w:t>
            </w:r>
          </w:p>
        </w:tc>
        <w:tc>
          <w:tcPr>
            <w:tcW w:w="2410" w:type="dxa"/>
            <w:tcBorders>
              <w:top w:val="single" w:sz="2" w:space="0" w:color="auto"/>
              <w:left w:val="single" w:sz="2" w:space="0" w:color="auto"/>
              <w:bottom w:val="single" w:sz="2" w:space="0" w:color="auto"/>
              <w:right w:val="single" w:sz="2" w:space="0" w:color="auto"/>
            </w:tcBorders>
            <w:vAlign w:val="center"/>
          </w:tcPr>
          <w:p w14:paraId="1789F8F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232110F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88,093.44</w:t>
            </w:r>
          </w:p>
        </w:tc>
      </w:tr>
      <w:tr w:rsidR="00F73301" w:rsidRPr="00F73301" w14:paraId="22A32FD1"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7A9B8A7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subsidies for transformation and upgrading of industrial and information industry</w:t>
            </w:r>
          </w:p>
        </w:tc>
        <w:tc>
          <w:tcPr>
            <w:tcW w:w="1845" w:type="dxa"/>
            <w:tcBorders>
              <w:top w:val="single" w:sz="2" w:space="0" w:color="auto"/>
              <w:left w:val="single" w:sz="2" w:space="0" w:color="auto"/>
              <w:bottom w:val="single" w:sz="2" w:space="0" w:color="auto"/>
              <w:right w:val="single" w:sz="2" w:space="0" w:color="auto"/>
            </w:tcBorders>
            <w:vAlign w:val="center"/>
          </w:tcPr>
          <w:p w14:paraId="3C1CC1A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94,481.52</w:t>
            </w:r>
          </w:p>
        </w:tc>
        <w:tc>
          <w:tcPr>
            <w:tcW w:w="2410" w:type="dxa"/>
            <w:tcBorders>
              <w:top w:val="single" w:sz="2" w:space="0" w:color="auto"/>
              <w:left w:val="single" w:sz="2" w:space="0" w:color="auto"/>
              <w:bottom w:val="single" w:sz="2" w:space="0" w:color="auto"/>
              <w:right w:val="single" w:sz="2" w:space="0" w:color="auto"/>
            </w:tcBorders>
            <w:vAlign w:val="center"/>
          </w:tcPr>
          <w:p w14:paraId="363E721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14ABEC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15,642.27</w:t>
            </w:r>
          </w:p>
        </w:tc>
      </w:tr>
      <w:tr w:rsidR="00F73301" w:rsidRPr="00F73301" w14:paraId="3C88237F"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696E3AA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High-power MOSFET chip and packaging industrialization project</w:t>
            </w:r>
          </w:p>
        </w:tc>
        <w:tc>
          <w:tcPr>
            <w:tcW w:w="1845" w:type="dxa"/>
            <w:tcBorders>
              <w:top w:val="single" w:sz="2" w:space="0" w:color="auto"/>
              <w:left w:val="single" w:sz="2" w:space="0" w:color="auto"/>
              <w:bottom w:val="single" w:sz="2" w:space="0" w:color="auto"/>
              <w:right w:val="single" w:sz="2" w:space="0" w:color="auto"/>
            </w:tcBorders>
            <w:vAlign w:val="center"/>
          </w:tcPr>
          <w:p w14:paraId="44CC9DF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397,217.13</w:t>
            </w:r>
          </w:p>
        </w:tc>
        <w:tc>
          <w:tcPr>
            <w:tcW w:w="2410" w:type="dxa"/>
            <w:tcBorders>
              <w:top w:val="single" w:sz="2" w:space="0" w:color="auto"/>
              <w:left w:val="single" w:sz="2" w:space="0" w:color="auto"/>
              <w:bottom w:val="single" w:sz="2" w:space="0" w:color="auto"/>
              <w:right w:val="single" w:sz="2" w:space="0" w:color="auto"/>
            </w:tcBorders>
            <w:vAlign w:val="center"/>
          </w:tcPr>
          <w:p w14:paraId="78D5C8C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3C845A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96,205.74</w:t>
            </w:r>
          </w:p>
        </w:tc>
      </w:tr>
      <w:tr w:rsidR="00F73301" w:rsidRPr="00F73301" w14:paraId="1BD0AF24"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4DC6807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R&amp;D and industrialization project of </w:t>
            </w:r>
            <w:proofErr w:type="spellStart"/>
            <w:r w:rsidRPr="00F73301">
              <w:rPr>
                <w:rFonts w:ascii="Times New Roman" w:eastAsia="宋体" w:hAnsi="Times New Roman" w:cs="Times New Roman"/>
                <w:sz w:val="18"/>
                <w:szCs w:val="18"/>
              </w:rPr>
              <w:t>SiC</w:t>
            </w:r>
            <w:proofErr w:type="spellEnd"/>
            <w:r w:rsidRPr="00F73301">
              <w:rPr>
                <w:rFonts w:ascii="Times New Roman" w:eastAsia="宋体" w:hAnsi="Times New Roman" w:cs="Times New Roman"/>
                <w:sz w:val="18"/>
                <w:szCs w:val="18"/>
              </w:rPr>
              <w:t xml:space="preserve"> power devices</w:t>
            </w:r>
          </w:p>
        </w:tc>
        <w:tc>
          <w:tcPr>
            <w:tcW w:w="1845" w:type="dxa"/>
            <w:tcBorders>
              <w:top w:val="single" w:sz="2" w:space="0" w:color="auto"/>
              <w:left w:val="single" w:sz="2" w:space="0" w:color="auto"/>
              <w:bottom w:val="single" w:sz="2" w:space="0" w:color="auto"/>
              <w:right w:val="single" w:sz="2" w:space="0" w:color="auto"/>
            </w:tcBorders>
            <w:vAlign w:val="center"/>
          </w:tcPr>
          <w:p w14:paraId="533B8AC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339,843.34</w:t>
            </w:r>
          </w:p>
        </w:tc>
        <w:tc>
          <w:tcPr>
            <w:tcW w:w="2410" w:type="dxa"/>
            <w:tcBorders>
              <w:top w:val="single" w:sz="2" w:space="0" w:color="auto"/>
              <w:left w:val="single" w:sz="2" w:space="0" w:color="auto"/>
              <w:bottom w:val="single" w:sz="2" w:space="0" w:color="auto"/>
              <w:right w:val="single" w:sz="2" w:space="0" w:color="auto"/>
            </w:tcBorders>
            <w:vAlign w:val="center"/>
          </w:tcPr>
          <w:p w14:paraId="2E47F8E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1A25162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234,608.04</w:t>
            </w:r>
          </w:p>
        </w:tc>
      </w:tr>
      <w:tr w:rsidR="00F73301" w:rsidRPr="00F73301" w14:paraId="3D67474A"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2FDBB60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R&amp;D and industrial construction projects of </w:t>
            </w:r>
            <w:proofErr w:type="spellStart"/>
            <w:r w:rsidRPr="00F73301">
              <w:rPr>
                <w:rFonts w:ascii="Times New Roman" w:eastAsia="宋体" w:hAnsi="Times New Roman" w:cs="Times New Roman"/>
                <w:sz w:val="18"/>
                <w:szCs w:val="18"/>
              </w:rPr>
              <w:t>SiC</w:t>
            </w:r>
            <w:proofErr w:type="spellEnd"/>
            <w:r w:rsidRPr="00F73301">
              <w:rPr>
                <w:rFonts w:ascii="Times New Roman" w:eastAsia="宋体" w:hAnsi="Times New Roman" w:cs="Times New Roman"/>
                <w:sz w:val="18"/>
                <w:szCs w:val="18"/>
              </w:rPr>
              <w:t xml:space="preserve"> chips and devices</w:t>
            </w:r>
          </w:p>
        </w:tc>
        <w:tc>
          <w:tcPr>
            <w:tcW w:w="1845" w:type="dxa"/>
            <w:tcBorders>
              <w:top w:val="single" w:sz="2" w:space="0" w:color="auto"/>
              <w:left w:val="single" w:sz="2" w:space="0" w:color="auto"/>
              <w:bottom w:val="single" w:sz="2" w:space="0" w:color="auto"/>
              <w:right w:val="single" w:sz="2" w:space="0" w:color="auto"/>
            </w:tcBorders>
            <w:vAlign w:val="center"/>
          </w:tcPr>
          <w:p w14:paraId="1AE3A62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1,176,749.78</w:t>
            </w:r>
          </w:p>
        </w:tc>
        <w:tc>
          <w:tcPr>
            <w:tcW w:w="2410" w:type="dxa"/>
            <w:tcBorders>
              <w:top w:val="single" w:sz="2" w:space="0" w:color="auto"/>
              <w:left w:val="single" w:sz="2" w:space="0" w:color="auto"/>
              <w:bottom w:val="single" w:sz="2" w:space="0" w:color="auto"/>
              <w:right w:val="single" w:sz="2" w:space="0" w:color="auto"/>
            </w:tcBorders>
            <w:vAlign w:val="center"/>
          </w:tcPr>
          <w:p w14:paraId="2A69FE0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3F4461C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130,750.02</w:t>
            </w:r>
          </w:p>
        </w:tc>
      </w:tr>
      <w:tr w:rsidR="00F73301" w:rsidRPr="00F73301" w14:paraId="3E0B3B92"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3E26A65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control of intelligent integrated system</w:t>
            </w:r>
          </w:p>
        </w:tc>
        <w:tc>
          <w:tcPr>
            <w:tcW w:w="1845" w:type="dxa"/>
            <w:tcBorders>
              <w:top w:val="single" w:sz="2" w:space="0" w:color="auto"/>
              <w:left w:val="single" w:sz="2" w:space="0" w:color="auto"/>
              <w:bottom w:val="single" w:sz="2" w:space="0" w:color="auto"/>
              <w:right w:val="single" w:sz="2" w:space="0" w:color="auto"/>
            </w:tcBorders>
            <w:vAlign w:val="center"/>
          </w:tcPr>
          <w:p w14:paraId="6BC93EBC" w14:textId="77777777" w:rsidR="00F73301" w:rsidRPr="00F73301" w:rsidRDefault="00F73301" w:rsidP="008C49B7">
            <w:pPr>
              <w:snapToGrid w:val="0"/>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278A34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091D246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0.20</w:t>
            </w:r>
          </w:p>
        </w:tc>
      </w:tr>
      <w:tr w:rsidR="00F73301" w:rsidRPr="00F73301" w14:paraId="277E3285"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4FF91EF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industrial transformation and upgrading of Jiangsu Province</w:t>
            </w:r>
          </w:p>
        </w:tc>
        <w:tc>
          <w:tcPr>
            <w:tcW w:w="1845" w:type="dxa"/>
            <w:tcBorders>
              <w:top w:val="single" w:sz="2" w:space="0" w:color="auto"/>
              <w:left w:val="single" w:sz="2" w:space="0" w:color="auto"/>
              <w:bottom w:val="single" w:sz="2" w:space="0" w:color="auto"/>
              <w:right w:val="single" w:sz="2" w:space="0" w:color="auto"/>
            </w:tcBorders>
            <w:vAlign w:val="center"/>
          </w:tcPr>
          <w:p w14:paraId="2324C1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282,534.64</w:t>
            </w:r>
          </w:p>
        </w:tc>
        <w:tc>
          <w:tcPr>
            <w:tcW w:w="2410" w:type="dxa"/>
            <w:tcBorders>
              <w:top w:val="single" w:sz="2" w:space="0" w:color="auto"/>
              <w:left w:val="single" w:sz="2" w:space="0" w:color="auto"/>
              <w:bottom w:val="single" w:sz="2" w:space="0" w:color="auto"/>
              <w:right w:val="single" w:sz="2" w:space="0" w:color="auto"/>
            </w:tcBorders>
            <w:vAlign w:val="center"/>
          </w:tcPr>
          <w:p w14:paraId="5418277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3DB017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35,094.56</w:t>
            </w:r>
          </w:p>
        </w:tc>
      </w:tr>
      <w:tr w:rsidR="00F73301" w:rsidRPr="00F73301" w14:paraId="06B5C235"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2F64CDF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Intelligent workshop subsidies</w:t>
            </w:r>
          </w:p>
        </w:tc>
        <w:tc>
          <w:tcPr>
            <w:tcW w:w="1845" w:type="dxa"/>
            <w:tcBorders>
              <w:top w:val="single" w:sz="2" w:space="0" w:color="auto"/>
              <w:left w:val="single" w:sz="2" w:space="0" w:color="auto"/>
              <w:bottom w:val="single" w:sz="2" w:space="0" w:color="auto"/>
              <w:right w:val="single" w:sz="2" w:space="0" w:color="auto"/>
            </w:tcBorders>
            <w:vAlign w:val="center"/>
          </w:tcPr>
          <w:p w14:paraId="493E58A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302,819.62</w:t>
            </w:r>
          </w:p>
        </w:tc>
        <w:tc>
          <w:tcPr>
            <w:tcW w:w="2410" w:type="dxa"/>
            <w:tcBorders>
              <w:top w:val="single" w:sz="2" w:space="0" w:color="auto"/>
              <w:left w:val="single" w:sz="2" w:space="0" w:color="auto"/>
              <w:bottom w:val="single" w:sz="2" w:space="0" w:color="auto"/>
              <w:right w:val="single" w:sz="2" w:space="0" w:color="auto"/>
            </w:tcBorders>
            <w:vAlign w:val="center"/>
          </w:tcPr>
          <w:p w14:paraId="77DC6D1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5E51E47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09BCB7D"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5E8281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power capacity expansion projects</w:t>
            </w:r>
          </w:p>
        </w:tc>
        <w:tc>
          <w:tcPr>
            <w:tcW w:w="1845" w:type="dxa"/>
            <w:tcBorders>
              <w:top w:val="single" w:sz="2" w:space="0" w:color="auto"/>
              <w:left w:val="single" w:sz="2" w:space="0" w:color="auto"/>
              <w:bottom w:val="single" w:sz="2" w:space="0" w:color="auto"/>
              <w:right w:val="single" w:sz="2" w:space="0" w:color="auto"/>
            </w:tcBorders>
            <w:vAlign w:val="center"/>
          </w:tcPr>
          <w:p w14:paraId="36570D7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1,045,641.69</w:t>
            </w:r>
          </w:p>
        </w:tc>
        <w:tc>
          <w:tcPr>
            <w:tcW w:w="2410" w:type="dxa"/>
            <w:tcBorders>
              <w:top w:val="single" w:sz="2" w:space="0" w:color="auto"/>
              <w:left w:val="single" w:sz="2" w:space="0" w:color="auto"/>
              <w:bottom w:val="single" w:sz="2" w:space="0" w:color="auto"/>
              <w:right w:val="single" w:sz="2" w:space="0" w:color="auto"/>
            </w:tcBorders>
            <w:vAlign w:val="center"/>
          </w:tcPr>
          <w:p w14:paraId="44AB710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001C169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F8F3C49"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3DA677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subvention on imported equipment</w:t>
            </w:r>
          </w:p>
        </w:tc>
        <w:tc>
          <w:tcPr>
            <w:tcW w:w="1845" w:type="dxa"/>
            <w:tcBorders>
              <w:top w:val="single" w:sz="2" w:space="0" w:color="auto"/>
              <w:left w:val="single" w:sz="2" w:space="0" w:color="auto"/>
              <w:bottom w:val="single" w:sz="2" w:space="0" w:color="auto"/>
              <w:right w:val="single" w:sz="2" w:space="0" w:color="auto"/>
            </w:tcBorders>
            <w:vAlign w:val="center"/>
          </w:tcPr>
          <w:p w14:paraId="6CBEDA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4,088,549.44</w:t>
            </w:r>
          </w:p>
        </w:tc>
        <w:tc>
          <w:tcPr>
            <w:tcW w:w="2410" w:type="dxa"/>
            <w:tcBorders>
              <w:top w:val="single" w:sz="2" w:space="0" w:color="auto"/>
              <w:left w:val="single" w:sz="2" w:space="0" w:color="auto"/>
              <w:bottom w:val="single" w:sz="2" w:space="0" w:color="auto"/>
              <w:right w:val="single" w:sz="2" w:space="0" w:color="auto"/>
            </w:tcBorders>
            <w:vAlign w:val="center"/>
          </w:tcPr>
          <w:p w14:paraId="70C5BE4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6D227F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409,854.15</w:t>
            </w:r>
          </w:p>
        </w:tc>
      </w:tr>
      <w:tr w:rsidR="00F73301" w:rsidRPr="00F73301" w14:paraId="2C14253F"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1508ACF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Guidance funds for the development of advanced manufacturing industry of Yangzhou</w:t>
            </w:r>
          </w:p>
        </w:tc>
        <w:tc>
          <w:tcPr>
            <w:tcW w:w="1845" w:type="dxa"/>
            <w:tcBorders>
              <w:top w:val="single" w:sz="2" w:space="0" w:color="auto"/>
              <w:left w:val="single" w:sz="2" w:space="0" w:color="auto"/>
              <w:bottom w:val="single" w:sz="2" w:space="0" w:color="auto"/>
              <w:right w:val="single" w:sz="2" w:space="0" w:color="auto"/>
            </w:tcBorders>
            <w:vAlign w:val="center"/>
          </w:tcPr>
          <w:p w14:paraId="08E1320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5,499,345.44</w:t>
            </w:r>
          </w:p>
        </w:tc>
        <w:tc>
          <w:tcPr>
            <w:tcW w:w="2410" w:type="dxa"/>
            <w:tcBorders>
              <w:top w:val="single" w:sz="2" w:space="0" w:color="auto"/>
              <w:left w:val="single" w:sz="2" w:space="0" w:color="auto"/>
              <w:bottom w:val="single" w:sz="2" w:space="0" w:color="auto"/>
              <w:right w:val="single" w:sz="2" w:space="0" w:color="auto"/>
            </w:tcBorders>
            <w:vAlign w:val="center"/>
          </w:tcPr>
          <w:p w14:paraId="4249721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16AAA8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761,375.10</w:t>
            </w:r>
          </w:p>
        </w:tc>
      </w:tr>
      <w:tr w:rsidR="00F73301" w:rsidRPr="00F73301" w14:paraId="10D5972D"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1BE5A5E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Intelligent factory</w:t>
            </w:r>
          </w:p>
        </w:tc>
        <w:tc>
          <w:tcPr>
            <w:tcW w:w="1845" w:type="dxa"/>
            <w:tcBorders>
              <w:top w:val="single" w:sz="2" w:space="0" w:color="auto"/>
              <w:left w:val="single" w:sz="2" w:space="0" w:color="auto"/>
              <w:bottom w:val="single" w:sz="2" w:space="0" w:color="auto"/>
              <w:right w:val="single" w:sz="2" w:space="0" w:color="auto"/>
            </w:tcBorders>
            <w:vAlign w:val="center"/>
          </w:tcPr>
          <w:p w14:paraId="541B25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3,773,295.46</w:t>
            </w:r>
          </w:p>
        </w:tc>
        <w:tc>
          <w:tcPr>
            <w:tcW w:w="2410" w:type="dxa"/>
            <w:tcBorders>
              <w:top w:val="single" w:sz="2" w:space="0" w:color="auto"/>
              <w:left w:val="single" w:sz="2" w:space="0" w:color="auto"/>
              <w:bottom w:val="single" w:sz="2" w:space="0" w:color="auto"/>
              <w:right w:val="single" w:sz="2" w:space="0" w:color="auto"/>
            </w:tcBorders>
            <w:vAlign w:val="center"/>
          </w:tcPr>
          <w:p w14:paraId="3088E5B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0EE20B3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346,497.91</w:t>
            </w:r>
          </w:p>
        </w:tc>
      </w:tr>
      <w:tr w:rsidR="00F73301" w:rsidRPr="00F73301" w14:paraId="14F2D3F0"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6D154A6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Design and industrialization projects of intelligent terminal integrated power devices</w:t>
            </w:r>
          </w:p>
        </w:tc>
        <w:tc>
          <w:tcPr>
            <w:tcW w:w="1845" w:type="dxa"/>
            <w:tcBorders>
              <w:top w:val="single" w:sz="2" w:space="0" w:color="auto"/>
              <w:left w:val="single" w:sz="2" w:space="0" w:color="auto"/>
              <w:bottom w:val="single" w:sz="2" w:space="0" w:color="auto"/>
              <w:right w:val="single" w:sz="2" w:space="0" w:color="auto"/>
            </w:tcBorders>
            <w:vAlign w:val="center"/>
          </w:tcPr>
          <w:p w14:paraId="64D5107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4,971,376.54</w:t>
            </w:r>
          </w:p>
        </w:tc>
        <w:tc>
          <w:tcPr>
            <w:tcW w:w="2410" w:type="dxa"/>
            <w:tcBorders>
              <w:top w:val="single" w:sz="2" w:space="0" w:color="auto"/>
              <w:left w:val="single" w:sz="2" w:space="0" w:color="auto"/>
              <w:bottom w:val="single" w:sz="2" w:space="0" w:color="auto"/>
              <w:right w:val="single" w:sz="2" w:space="0" w:color="auto"/>
            </w:tcBorders>
            <w:vAlign w:val="center"/>
          </w:tcPr>
          <w:p w14:paraId="5CE5693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68014CF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632,863.87</w:t>
            </w:r>
          </w:p>
        </w:tc>
      </w:tr>
      <w:tr w:rsidR="00F73301" w:rsidRPr="00F73301" w14:paraId="1818EA57"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42B94BB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R&amp;D and industrialization project of vertical-structured </w:t>
            </w:r>
            <w:proofErr w:type="spellStart"/>
            <w:r w:rsidRPr="00F73301">
              <w:rPr>
                <w:rFonts w:ascii="Times New Roman" w:eastAsia="宋体" w:hAnsi="Times New Roman" w:cs="Times New Roman"/>
                <w:sz w:val="18"/>
                <w:szCs w:val="18"/>
              </w:rPr>
              <w:t>GaN</w:t>
            </w:r>
            <w:proofErr w:type="spellEnd"/>
            <w:r w:rsidRPr="00F73301">
              <w:rPr>
                <w:rFonts w:ascii="Times New Roman" w:eastAsia="宋体" w:hAnsi="Times New Roman" w:cs="Times New Roman"/>
                <w:sz w:val="18"/>
                <w:szCs w:val="18"/>
              </w:rPr>
              <w:t>-based power device with breakdown voltage of 900V</w:t>
            </w:r>
          </w:p>
        </w:tc>
        <w:tc>
          <w:tcPr>
            <w:tcW w:w="1845" w:type="dxa"/>
            <w:tcBorders>
              <w:top w:val="single" w:sz="2" w:space="0" w:color="auto"/>
              <w:left w:val="single" w:sz="2" w:space="0" w:color="auto"/>
              <w:bottom w:val="single" w:sz="2" w:space="0" w:color="auto"/>
              <w:right w:val="single" w:sz="2" w:space="0" w:color="auto"/>
            </w:tcBorders>
            <w:vAlign w:val="center"/>
          </w:tcPr>
          <w:p w14:paraId="599BA2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3,470,547.90</w:t>
            </w:r>
          </w:p>
        </w:tc>
        <w:tc>
          <w:tcPr>
            <w:tcW w:w="2410" w:type="dxa"/>
            <w:tcBorders>
              <w:top w:val="single" w:sz="2" w:space="0" w:color="auto"/>
              <w:left w:val="single" w:sz="2" w:space="0" w:color="auto"/>
              <w:bottom w:val="single" w:sz="2" w:space="0" w:color="auto"/>
              <w:right w:val="single" w:sz="2" w:space="0" w:color="auto"/>
            </w:tcBorders>
            <w:vAlign w:val="center"/>
          </w:tcPr>
          <w:p w14:paraId="42BB7FF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2E29E3E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720,031.07</w:t>
            </w:r>
          </w:p>
        </w:tc>
      </w:tr>
      <w:tr w:rsidR="00F73301" w:rsidRPr="00F73301" w14:paraId="56120B20"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EE2C1C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subsidies for transformation and upgrading of provincial industrial and information industry</w:t>
            </w:r>
          </w:p>
        </w:tc>
        <w:tc>
          <w:tcPr>
            <w:tcW w:w="1845" w:type="dxa"/>
            <w:tcBorders>
              <w:top w:val="single" w:sz="2" w:space="0" w:color="auto"/>
              <w:left w:val="single" w:sz="2" w:space="0" w:color="auto"/>
              <w:bottom w:val="single" w:sz="2" w:space="0" w:color="auto"/>
              <w:right w:val="single" w:sz="2" w:space="0" w:color="auto"/>
            </w:tcBorders>
            <w:vAlign w:val="center"/>
          </w:tcPr>
          <w:p w14:paraId="2C30D5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15,468,187.99</w:t>
            </w:r>
          </w:p>
        </w:tc>
        <w:tc>
          <w:tcPr>
            <w:tcW w:w="2410" w:type="dxa"/>
            <w:tcBorders>
              <w:top w:val="single" w:sz="2" w:space="0" w:color="auto"/>
              <w:left w:val="single" w:sz="2" w:space="0" w:color="auto"/>
              <w:bottom w:val="single" w:sz="2" w:space="0" w:color="auto"/>
              <w:right w:val="single" w:sz="2" w:space="0" w:color="auto"/>
            </w:tcBorders>
            <w:vAlign w:val="center"/>
          </w:tcPr>
          <w:p w14:paraId="6880F96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36EDA65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1,925,592.14</w:t>
            </w:r>
          </w:p>
        </w:tc>
      </w:tr>
      <w:tr w:rsidR="00F73301" w:rsidRPr="00F73301" w14:paraId="51D9DB0B"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D41B01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Guidance funds for the development of advanced manufacturing industry</w:t>
            </w:r>
          </w:p>
        </w:tc>
        <w:tc>
          <w:tcPr>
            <w:tcW w:w="1845" w:type="dxa"/>
            <w:tcBorders>
              <w:top w:val="single" w:sz="2" w:space="0" w:color="auto"/>
              <w:left w:val="single" w:sz="2" w:space="0" w:color="auto"/>
              <w:bottom w:val="single" w:sz="2" w:space="0" w:color="auto"/>
              <w:right w:val="single" w:sz="2" w:space="0" w:color="auto"/>
            </w:tcBorders>
            <w:vAlign w:val="center"/>
          </w:tcPr>
          <w:p w14:paraId="2C0CC6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1,061,423.64</w:t>
            </w:r>
          </w:p>
        </w:tc>
        <w:tc>
          <w:tcPr>
            <w:tcW w:w="2410" w:type="dxa"/>
            <w:tcBorders>
              <w:top w:val="single" w:sz="2" w:space="0" w:color="auto"/>
              <w:left w:val="single" w:sz="2" w:space="0" w:color="auto"/>
              <w:bottom w:val="single" w:sz="2" w:space="0" w:color="auto"/>
              <w:right w:val="single" w:sz="2" w:space="0" w:color="auto"/>
            </w:tcBorders>
            <w:vAlign w:val="center"/>
          </w:tcPr>
          <w:p w14:paraId="0135A65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023BF9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118,634.32</w:t>
            </w:r>
          </w:p>
        </w:tc>
      </w:tr>
      <w:tr w:rsidR="00F73301" w:rsidRPr="00F73301" w14:paraId="06D73577"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2DB5292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industrial development</w:t>
            </w:r>
          </w:p>
        </w:tc>
        <w:tc>
          <w:tcPr>
            <w:tcW w:w="1845" w:type="dxa"/>
            <w:tcBorders>
              <w:top w:val="single" w:sz="2" w:space="0" w:color="auto"/>
              <w:left w:val="single" w:sz="2" w:space="0" w:color="auto"/>
              <w:bottom w:val="single" w:sz="2" w:space="0" w:color="auto"/>
              <w:right w:val="single" w:sz="2" w:space="0" w:color="auto"/>
            </w:tcBorders>
            <w:vAlign w:val="center"/>
          </w:tcPr>
          <w:p w14:paraId="19F944F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3,054,370.03</w:t>
            </w:r>
          </w:p>
        </w:tc>
        <w:tc>
          <w:tcPr>
            <w:tcW w:w="2410" w:type="dxa"/>
            <w:tcBorders>
              <w:top w:val="single" w:sz="2" w:space="0" w:color="auto"/>
              <w:left w:val="single" w:sz="2" w:space="0" w:color="auto"/>
              <w:bottom w:val="single" w:sz="2" w:space="0" w:color="auto"/>
              <w:right w:val="single" w:sz="2" w:space="0" w:color="auto"/>
            </w:tcBorders>
            <w:vAlign w:val="center"/>
          </w:tcPr>
          <w:p w14:paraId="0AD88D1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30AA0D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326,685.00</w:t>
            </w:r>
          </w:p>
        </w:tc>
      </w:tr>
      <w:tr w:rsidR="00F73301" w:rsidRPr="00F73301" w14:paraId="3B19C33E"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92ADC2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economic and commercial development</w:t>
            </w:r>
          </w:p>
        </w:tc>
        <w:tc>
          <w:tcPr>
            <w:tcW w:w="1845" w:type="dxa"/>
            <w:tcBorders>
              <w:top w:val="single" w:sz="2" w:space="0" w:color="auto"/>
              <w:left w:val="single" w:sz="2" w:space="0" w:color="auto"/>
              <w:bottom w:val="single" w:sz="2" w:space="0" w:color="auto"/>
              <w:right w:val="single" w:sz="2" w:space="0" w:color="auto"/>
            </w:tcBorders>
            <w:vAlign w:val="center"/>
          </w:tcPr>
          <w:p w14:paraId="4C4C169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528,222.72</w:t>
            </w:r>
          </w:p>
        </w:tc>
        <w:tc>
          <w:tcPr>
            <w:tcW w:w="2410" w:type="dxa"/>
            <w:tcBorders>
              <w:top w:val="single" w:sz="2" w:space="0" w:color="auto"/>
              <w:left w:val="single" w:sz="2" w:space="0" w:color="auto"/>
              <w:bottom w:val="single" w:sz="2" w:space="0" w:color="auto"/>
              <w:right w:val="single" w:sz="2" w:space="0" w:color="auto"/>
            </w:tcBorders>
            <w:vAlign w:val="center"/>
          </w:tcPr>
          <w:p w14:paraId="1E0C4E1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591CA60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52,818.53</w:t>
            </w:r>
          </w:p>
        </w:tc>
      </w:tr>
      <w:tr w:rsidR="00F73301" w:rsidRPr="00F73301" w14:paraId="4483C701"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6663E88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High-quality development and technical transformation</w:t>
            </w:r>
          </w:p>
        </w:tc>
        <w:tc>
          <w:tcPr>
            <w:tcW w:w="1845" w:type="dxa"/>
            <w:tcBorders>
              <w:top w:val="single" w:sz="2" w:space="0" w:color="auto"/>
              <w:left w:val="single" w:sz="2" w:space="0" w:color="auto"/>
              <w:bottom w:val="single" w:sz="2" w:space="0" w:color="auto"/>
              <w:right w:val="single" w:sz="2" w:space="0" w:color="auto"/>
            </w:tcBorders>
            <w:vAlign w:val="center"/>
          </w:tcPr>
          <w:p w14:paraId="21DD70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22,025,404.73</w:t>
            </w:r>
          </w:p>
        </w:tc>
        <w:tc>
          <w:tcPr>
            <w:tcW w:w="2410" w:type="dxa"/>
            <w:tcBorders>
              <w:top w:val="single" w:sz="2" w:space="0" w:color="auto"/>
              <w:left w:val="single" w:sz="2" w:space="0" w:color="auto"/>
              <w:bottom w:val="single" w:sz="2" w:space="0" w:color="auto"/>
              <w:right w:val="single" w:sz="2" w:space="0" w:color="auto"/>
            </w:tcBorders>
            <w:vAlign w:val="center"/>
          </w:tcPr>
          <w:p w14:paraId="4741BF5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4056298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1,427,789.38</w:t>
            </w:r>
          </w:p>
        </w:tc>
      </w:tr>
      <w:tr w:rsidR="00F73301" w:rsidRPr="00F73301" w14:paraId="696FADA0"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E765C9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high-quality development</w:t>
            </w:r>
          </w:p>
        </w:tc>
        <w:tc>
          <w:tcPr>
            <w:tcW w:w="1845" w:type="dxa"/>
            <w:tcBorders>
              <w:top w:val="single" w:sz="2" w:space="0" w:color="auto"/>
              <w:left w:val="single" w:sz="2" w:space="0" w:color="auto"/>
              <w:bottom w:val="single" w:sz="2" w:space="0" w:color="auto"/>
              <w:right w:val="single" w:sz="2" w:space="0" w:color="auto"/>
            </w:tcBorders>
            <w:vAlign w:val="center"/>
          </w:tcPr>
          <w:p w14:paraId="6DCABD8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6,205,208.98</w:t>
            </w:r>
          </w:p>
        </w:tc>
        <w:tc>
          <w:tcPr>
            <w:tcW w:w="2410" w:type="dxa"/>
            <w:tcBorders>
              <w:top w:val="single" w:sz="2" w:space="0" w:color="auto"/>
              <w:left w:val="single" w:sz="2" w:space="0" w:color="auto"/>
              <w:bottom w:val="single" w:sz="2" w:space="0" w:color="auto"/>
              <w:right w:val="single" w:sz="2" w:space="0" w:color="auto"/>
            </w:tcBorders>
            <w:vAlign w:val="center"/>
          </w:tcPr>
          <w:p w14:paraId="15D6F35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724202B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760,063.93</w:t>
            </w:r>
          </w:p>
        </w:tc>
      </w:tr>
      <w:tr w:rsidR="00F73301" w:rsidRPr="00F73301" w14:paraId="0796CF4D"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7C64D05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municipal-level intelligent reform and digital transformation</w:t>
            </w:r>
          </w:p>
        </w:tc>
        <w:tc>
          <w:tcPr>
            <w:tcW w:w="1845" w:type="dxa"/>
            <w:tcBorders>
              <w:top w:val="single" w:sz="2" w:space="0" w:color="auto"/>
              <w:left w:val="single" w:sz="2" w:space="0" w:color="auto"/>
              <w:bottom w:val="single" w:sz="2" w:space="0" w:color="auto"/>
              <w:right w:val="single" w:sz="2" w:space="0" w:color="auto"/>
            </w:tcBorders>
            <w:vAlign w:val="center"/>
          </w:tcPr>
          <w:p w14:paraId="4299145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9,913,486.68</w:t>
            </w:r>
          </w:p>
        </w:tc>
        <w:tc>
          <w:tcPr>
            <w:tcW w:w="2410" w:type="dxa"/>
            <w:tcBorders>
              <w:top w:val="single" w:sz="2" w:space="0" w:color="auto"/>
              <w:left w:val="single" w:sz="2" w:space="0" w:color="auto"/>
              <w:bottom w:val="single" w:sz="2" w:space="0" w:color="auto"/>
              <w:right w:val="single" w:sz="2" w:space="0" w:color="auto"/>
            </w:tcBorders>
            <w:vAlign w:val="center"/>
          </w:tcPr>
          <w:p w14:paraId="05AEF2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239433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566,513.32</w:t>
            </w:r>
          </w:p>
        </w:tc>
      </w:tr>
      <w:tr w:rsidR="00F73301" w:rsidRPr="00F73301" w14:paraId="0C36CB86"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3F9B75E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Strategic emerging industry projects of Jiangsu Province</w:t>
            </w:r>
          </w:p>
        </w:tc>
        <w:tc>
          <w:tcPr>
            <w:tcW w:w="1845" w:type="dxa"/>
            <w:tcBorders>
              <w:top w:val="single" w:sz="2" w:space="0" w:color="auto"/>
              <w:left w:val="single" w:sz="2" w:space="0" w:color="auto"/>
              <w:bottom w:val="single" w:sz="2" w:space="0" w:color="auto"/>
              <w:right w:val="single" w:sz="2" w:space="0" w:color="auto"/>
            </w:tcBorders>
            <w:vAlign w:val="center"/>
          </w:tcPr>
          <w:p w14:paraId="4A07940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873,460.35</w:t>
            </w:r>
          </w:p>
        </w:tc>
        <w:tc>
          <w:tcPr>
            <w:tcW w:w="2410" w:type="dxa"/>
            <w:tcBorders>
              <w:top w:val="single" w:sz="2" w:space="0" w:color="auto"/>
              <w:left w:val="single" w:sz="2" w:space="0" w:color="auto"/>
              <w:bottom w:val="single" w:sz="2" w:space="0" w:color="auto"/>
              <w:right w:val="single" w:sz="2" w:space="0" w:color="auto"/>
            </w:tcBorders>
            <w:vAlign w:val="center"/>
          </w:tcPr>
          <w:p w14:paraId="1FC5F03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079C24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235,961.94</w:t>
            </w:r>
          </w:p>
        </w:tc>
      </w:tr>
      <w:tr w:rsidR="00F73301" w:rsidRPr="00F73301" w14:paraId="07A6D389"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2D2A97A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Science and technology program of Yangzhou</w:t>
            </w:r>
          </w:p>
        </w:tc>
        <w:tc>
          <w:tcPr>
            <w:tcW w:w="1845" w:type="dxa"/>
            <w:tcBorders>
              <w:top w:val="single" w:sz="2" w:space="0" w:color="auto"/>
              <w:left w:val="single" w:sz="2" w:space="0" w:color="auto"/>
              <w:bottom w:val="single" w:sz="2" w:space="0" w:color="auto"/>
              <w:right w:val="single" w:sz="2" w:space="0" w:color="auto"/>
            </w:tcBorders>
            <w:vAlign w:val="center"/>
          </w:tcPr>
          <w:p w14:paraId="56083EC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83,333.27</w:t>
            </w:r>
          </w:p>
        </w:tc>
        <w:tc>
          <w:tcPr>
            <w:tcW w:w="2410" w:type="dxa"/>
            <w:tcBorders>
              <w:top w:val="single" w:sz="2" w:space="0" w:color="auto"/>
              <w:left w:val="single" w:sz="2" w:space="0" w:color="auto"/>
              <w:bottom w:val="single" w:sz="2" w:space="0" w:color="auto"/>
              <w:right w:val="single" w:sz="2" w:space="0" w:color="auto"/>
            </w:tcBorders>
            <w:vAlign w:val="center"/>
          </w:tcPr>
          <w:p w14:paraId="155C333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0D260BF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25,000.02</w:t>
            </w:r>
          </w:p>
        </w:tc>
      </w:tr>
      <w:tr w:rsidR="00F73301" w:rsidRPr="00F73301" w14:paraId="61BDDA2F"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260DF47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equipment</w:t>
            </w:r>
          </w:p>
        </w:tc>
        <w:tc>
          <w:tcPr>
            <w:tcW w:w="1845" w:type="dxa"/>
            <w:tcBorders>
              <w:top w:val="single" w:sz="2" w:space="0" w:color="auto"/>
              <w:left w:val="single" w:sz="2" w:space="0" w:color="auto"/>
              <w:bottom w:val="single" w:sz="2" w:space="0" w:color="auto"/>
              <w:right w:val="single" w:sz="2" w:space="0" w:color="auto"/>
            </w:tcBorders>
            <w:vAlign w:val="center"/>
          </w:tcPr>
          <w:p w14:paraId="0067DD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415,168.05</w:t>
            </w:r>
          </w:p>
        </w:tc>
        <w:tc>
          <w:tcPr>
            <w:tcW w:w="2410" w:type="dxa"/>
            <w:tcBorders>
              <w:top w:val="single" w:sz="2" w:space="0" w:color="auto"/>
              <w:left w:val="single" w:sz="2" w:space="0" w:color="auto"/>
              <w:bottom w:val="single" w:sz="2" w:space="0" w:color="auto"/>
              <w:right w:val="single" w:sz="2" w:space="0" w:color="auto"/>
            </w:tcBorders>
            <w:vAlign w:val="center"/>
          </w:tcPr>
          <w:p w14:paraId="2B9B36C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7C91001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67,180.56</w:t>
            </w:r>
          </w:p>
        </w:tc>
      </w:tr>
      <w:tr w:rsidR="00F73301" w:rsidRPr="00F73301" w14:paraId="53CA099B"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4B6816E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Special fund for technical transformation of high-quality development of industrial economy in </w:t>
            </w:r>
            <w:proofErr w:type="spellStart"/>
            <w:r w:rsidRPr="00F73301">
              <w:rPr>
                <w:rFonts w:ascii="Times New Roman" w:eastAsia="宋体" w:hAnsi="Times New Roman" w:cs="Times New Roman"/>
                <w:sz w:val="18"/>
                <w:szCs w:val="18"/>
              </w:rPr>
              <w:t>Hanjiang</w:t>
            </w:r>
            <w:proofErr w:type="spellEnd"/>
            <w:r w:rsidRPr="00F73301">
              <w:rPr>
                <w:rFonts w:ascii="Times New Roman" w:eastAsia="宋体" w:hAnsi="Times New Roman" w:cs="Times New Roman"/>
                <w:sz w:val="18"/>
                <w:szCs w:val="18"/>
              </w:rPr>
              <w:t xml:space="preserve"> District</w:t>
            </w:r>
          </w:p>
        </w:tc>
        <w:tc>
          <w:tcPr>
            <w:tcW w:w="1845" w:type="dxa"/>
            <w:tcBorders>
              <w:top w:val="single" w:sz="2" w:space="0" w:color="auto"/>
              <w:left w:val="single" w:sz="2" w:space="0" w:color="auto"/>
              <w:bottom w:val="single" w:sz="2" w:space="0" w:color="auto"/>
              <w:right w:val="single" w:sz="2" w:space="0" w:color="auto"/>
            </w:tcBorders>
            <w:vAlign w:val="center"/>
          </w:tcPr>
          <w:p w14:paraId="7343E0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355,677.24</w:t>
            </w:r>
          </w:p>
        </w:tc>
        <w:tc>
          <w:tcPr>
            <w:tcW w:w="2410" w:type="dxa"/>
            <w:tcBorders>
              <w:top w:val="single" w:sz="2" w:space="0" w:color="auto"/>
              <w:left w:val="single" w:sz="2" w:space="0" w:color="auto"/>
              <w:bottom w:val="single" w:sz="2" w:space="0" w:color="auto"/>
              <w:right w:val="single" w:sz="2" w:space="0" w:color="auto"/>
            </w:tcBorders>
            <w:vAlign w:val="center"/>
          </w:tcPr>
          <w:p w14:paraId="0E0F4C9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7BFA7E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49,294.44</w:t>
            </w:r>
          </w:p>
        </w:tc>
      </w:tr>
      <w:tr w:rsidR="00F73301" w:rsidRPr="00F73301" w14:paraId="0E3214F6"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8DF6D8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Municipal technical transformation special fund project</w:t>
            </w:r>
          </w:p>
        </w:tc>
        <w:tc>
          <w:tcPr>
            <w:tcW w:w="1845" w:type="dxa"/>
            <w:tcBorders>
              <w:top w:val="single" w:sz="2" w:space="0" w:color="auto"/>
              <w:left w:val="single" w:sz="2" w:space="0" w:color="auto"/>
              <w:bottom w:val="single" w:sz="2" w:space="0" w:color="auto"/>
              <w:right w:val="single" w:sz="2" w:space="0" w:color="auto"/>
            </w:tcBorders>
            <w:vAlign w:val="center"/>
          </w:tcPr>
          <w:p w14:paraId="7E79B54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4,161,036.27</w:t>
            </w:r>
          </w:p>
        </w:tc>
        <w:tc>
          <w:tcPr>
            <w:tcW w:w="2410" w:type="dxa"/>
            <w:tcBorders>
              <w:top w:val="single" w:sz="2" w:space="0" w:color="auto"/>
              <w:left w:val="single" w:sz="2" w:space="0" w:color="auto"/>
              <w:bottom w:val="single" w:sz="2" w:space="0" w:color="auto"/>
              <w:right w:val="single" w:sz="2" w:space="0" w:color="auto"/>
            </w:tcBorders>
            <w:vAlign w:val="center"/>
          </w:tcPr>
          <w:p w14:paraId="1E2D1BF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4396E09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377,046.66</w:t>
            </w:r>
          </w:p>
        </w:tc>
      </w:tr>
      <w:tr w:rsidR="00F73301" w:rsidRPr="00F73301" w14:paraId="5BDB6DB2"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325AE5A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industrial and information industry transformation in Jiangsu Province</w:t>
            </w:r>
          </w:p>
        </w:tc>
        <w:tc>
          <w:tcPr>
            <w:tcW w:w="1845" w:type="dxa"/>
            <w:tcBorders>
              <w:top w:val="single" w:sz="2" w:space="0" w:color="auto"/>
              <w:left w:val="single" w:sz="2" w:space="0" w:color="auto"/>
              <w:bottom w:val="single" w:sz="2" w:space="0" w:color="auto"/>
              <w:right w:val="single" w:sz="2" w:space="0" w:color="auto"/>
            </w:tcBorders>
            <w:vAlign w:val="center"/>
          </w:tcPr>
          <w:p w14:paraId="642817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11,289,473.96</w:t>
            </w:r>
          </w:p>
        </w:tc>
        <w:tc>
          <w:tcPr>
            <w:tcW w:w="2410" w:type="dxa"/>
            <w:tcBorders>
              <w:top w:val="single" w:sz="2" w:space="0" w:color="auto"/>
              <w:left w:val="single" w:sz="2" w:space="0" w:color="auto"/>
              <w:bottom w:val="single" w:sz="2" w:space="0" w:color="auto"/>
              <w:right w:val="single" w:sz="2" w:space="0" w:color="auto"/>
            </w:tcBorders>
            <w:vAlign w:val="center"/>
          </w:tcPr>
          <w:p w14:paraId="710DC9F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390A513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1,510,526.04</w:t>
            </w:r>
          </w:p>
        </w:tc>
      </w:tr>
      <w:tr w:rsidR="00F73301" w:rsidRPr="00F73301" w14:paraId="72736CA2"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C0C2C0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Government investment refund</w:t>
            </w:r>
          </w:p>
        </w:tc>
        <w:tc>
          <w:tcPr>
            <w:tcW w:w="1845" w:type="dxa"/>
            <w:tcBorders>
              <w:top w:val="single" w:sz="2" w:space="0" w:color="auto"/>
              <w:left w:val="single" w:sz="2" w:space="0" w:color="auto"/>
              <w:bottom w:val="single" w:sz="2" w:space="0" w:color="auto"/>
              <w:right w:val="single" w:sz="2" w:space="0" w:color="auto"/>
            </w:tcBorders>
            <w:vAlign w:val="center"/>
          </w:tcPr>
          <w:p w14:paraId="4A0173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1,399,307.06</w:t>
            </w:r>
          </w:p>
        </w:tc>
        <w:tc>
          <w:tcPr>
            <w:tcW w:w="2410" w:type="dxa"/>
            <w:tcBorders>
              <w:top w:val="single" w:sz="2" w:space="0" w:color="auto"/>
              <w:left w:val="single" w:sz="2" w:space="0" w:color="auto"/>
              <w:bottom w:val="single" w:sz="2" w:space="0" w:color="auto"/>
              <w:right w:val="single" w:sz="2" w:space="0" w:color="auto"/>
            </w:tcBorders>
            <w:vAlign w:val="center"/>
          </w:tcPr>
          <w:p w14:paraId="34C999E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3521F2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56,547.60</w:t>
            </w:r>
          </w:p>
        </w:tc>
      </w:tr>
      <w:tr w:rsidR="00F73301" w:rsidRPr="00F73301" w14:paraId="5EB80255"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511B80C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Provincial industrial development funds</w:t>
            </w:r>
          </w:p>
        </w:tc>
        <w:tc>
          <w:tcPr>
            <w:tcW w:w="1845" w:type="dxa"/>
            <w:tcBorders>
              <w:top w:val="single" w:sz="2" w:space="0" w:color="auto"/>
              <w:left w:val="single" w:sz="2" w:space="0" w:color="auto"/>
              <w:bottom w:val="single" w:sz="2" w:space="0" w:color="auto"/>
              <w:right w:val="single" w:sz="2" w:space="0" w:color="auto"/>
            </w:tcBorders>
            <w:vAlign w:val="center"/>
          </w:tcPr>
          <w:p w14:paraId="272945B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719,178.12</w:t>
            </w:r>
          </w:p>
        </w:tc>
        <w:tc>
          <w:tcPr>
            <w:tcW w:w="2410" w:type="dxa"/>
            <w:tcBorders>
              <w:top w:val="single" w:sz="2" w:space="0" w:color="auto"/>
              <w:left w:val="single" w:sz="2" w:space="0" w:color="auto"/>
              <w:bottom w:val="single" w:sz="2" w:space="0" w:color="auto"/>
              <w:right w:val="single" w:sz="2" w:space="0" w:color="auto"/>
            </w:tcBorders>
            <w:vAlign w:val="center"/>
          </w:tcPr>
          <w:p w14:paraId="7564400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21F8BE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86,301.36</w:t>
            </w:r>
          </w:p>
        </w:tc>
      </w:tr>
      <w:tr w:rsidR="00F73301" w:rsidRPr="00F73301" w14:paraId="5578D507"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543E710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National special fund for the development of small and medium-sized enterprises</w:t>
            </w:r>
          </w:p>
        </w:tc>
        <w:tc>
          <w:tcPr>
            <w:tcW w:w="1845" w:type="dxa"/>
            <w:tcBorders>
              <w:top w:val="single" w:sz="2" w:space="0" w:color="auto"/>
              <w:left w:val="single" w:sz="2" w:space="0" w:color="auto"/>
              <w:bottom w:val="single" w:sz="2" w:space="0" w:color="auto"/>
              <w:right w:val="single" w:sz="2" w:space="0" w:color="auto"/>
            </w:tcBorders>
            <w:vAlign w:val="center"/>
          </w:tcPr>
          <w:p w14:paraId="7A825CC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917,000.05</w:t>
            </w:r>
          </w:p>
        </w:tc>
        <w:tc>
          <w:tcPr>
            <w:tcW w:w="2410" w:type="dxa"/>
            <w:tcBorders>
              <w:top w:val="single" w:sz="2" w:space="0" w:color="auto"/>
              <w:left w:val="single" w:sz="2" w:space="0" w:color="auto"/>
              <w:bottom w:val="single" w:sz="2" w:space="0" w:color="auto"/>
              <w:right w:val="single" w:sz="2" w:space="0" w:color="auto"/>
            </w:tcBorders>
            <w:vAlign w:val="center"/>
          </w:tcPr>
          <w:p w14:paraId="762E0C3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5F97969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130,999.98</w:t>
            </w:r>
          </w:p>
        </w:tc>
      </w:tr>
      <w:tr w:rsidR="00F73301" w:rsidRPr="00F73301" w14:paraId="71D48253"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179153E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Provincial special fund for the development of small and medium-sized enterprises</w:t>
            </w:r>
          </w:p>
        </w:tc>
        <w:tc>
          <w:tcPr>
            <w:tcW w:w="1845" w:type="dxa"/>
            <w:tcBorders>
              <w:top w:val="single" w:sz="2" w:space="0" w:color="auto"/>
              <w:left w:val="single" w:sz="2" w:space="0" w:color="auto"/>
              <w:bottom w:val="single" w:sz="2" w:space="0" w:color="auto"/>
              <w:right w:val="single" w:sz="2" w:space="0" w:color="auto"/>
            </w:tcBorders>
            <w:vAlign w:val="center"/>
          </w:tcPr>
          <w:p w14:paraId="3D4C56A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349,999.90</w:t>
            </w:r>
          </w:p>
        </w:tc>
        <w:tc>
          <w:tcPr>
            <w:tcW w:w="2410" w:type="dxa"/>
            <w:tcBorders>
              <w:top w:val="single" w:sz="2" w:space="0" w:color="auto"/>
              <w:left w:val="single" w:sz="2" w:space="0" w:color="auto"/>
              <w:bottom w:val="single" w:sz="2" w:space="0" w:color="auto"/>
              <w:right w:val="single" w:sz="2" w:space="0" w:color="auto"/>
            </w:tcBorders>
            <w:vAlign w:val="center"/>
          </w:tcPr>
          <w:p w14:paraId="34A6069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605682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50,000.04</w:t>
            </w:r>
          </w:p>
        </w:tc>
      </w:tr>
      <w:tr w:rsidR="00F73301" w:rsidRPr="00F73301" w14:paraId="488FBF48"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098A81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Provincial special funds for science and technology project</w:t>
            </w:r>
          </w:p>
        </w:tc>
        <w:tc>
          <w:tcPr>
            <w:tcW w:w="1845" w:type="dxa"/>
            <w:tcBorders>
              <w:top w:val="single" w:sz="2" w:space="0" w:color="auto"/>
              <w:left w:val="single" w:sz="2" w:space="0" w:color="auto"/>
              <w:bottom w:val="single" w:sz="2" w:space="0" w:color="auto"/>
              <w:right w:val="single" w:sz="2" w:space="0" w:color="auto"/>
            </w:tcBorders>
            <w:vAlign w:val="center"/>
          </w:tcPr>
          <w:p w14:paraId="7B75FA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460,000.00</w:t>
            </w:r>
          </w:p>
        </w:tc>
        <w:tc>
          <w:tcPr>
            <w:tcW w:w="2410" w:type="dxa"/>
            <w:tcBorders>
              <w:top w:val="single" w:sz="2" w:space="0" w:color="auto"/>
              <w:left w:val="single" w:sz="2" w:space="0" w:color="auto"/>
              <w:bottom w:val="single" w:sz="2" w:space="0" w:color="auto"/>
              <w:right w:val="single" w:sz="2" w:space="0" w:color="auto"/>
            </w:tcBorders>
            <w:vAlign w:val="center"/>
          </w:tcPr>
          <w:p w14:paraId="781EF47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5695B6B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120,000.00</w:t>
            </w:r>
          </w:p>
        </w:tc>
      </w:tr>
      <w:tr w:rsidR="00F73301" w:rsidRPr="00F73301" w14:paraId="2E75556A"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4DAA127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electricity and power facilities from the government</w:t>
            </w:r>
          </w:p>
        </w:tc>
        <w:tc>
          <w:tcPr>
            <w:tcW w:w="1845" w:type="dxa"/>
            <w:tcBorders>
              <w:top w:val="single" w:sz="2" w:space="0" w:color="auto"/>
              <w:left w:val="single" w:sz="2" w:space="0" w:color="auto"/>
              <w:bottom w:val="single" w:sz="2" w:space="0" w:color="auto"/>
              <w:right w:val="single" w:sz="2" w:space="0" w:color="auto"/>
            </w:tcBorders>
            <w:vAlign w:val="center"/>
          </w:tcPr>
          <w:p w14:paraId="1093028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12,647,480.56</w:t>
            </w:r>
          </w:p>
        </w:tc>
        <w:tc>
          <w:tcPr>
            <w:tcW w:w="2410" w:type="dxa"/>
            <w:tcBorders>
              <w:top w:val="single" w:sz="2" w:space="0" w:color="auto"/>
              <w:left w:val="single" w:sz="2" w:space="0" w:color="auto"/>
              <w:bottom w:val="single" w:sz="2" w:space="0" w:color="auto"/>
              <w:right w:val="single" w:sz="2" w:space="0" w:color="auto"/>
            </w:tcBorders>
            <w:vAlign w:val="center"/>
          </w:tcPr>
          <w:p w14:paraId="72D497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60BF859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1,002,583.44</w:t>
            </w:r>
          </w:p>
        </w:tc>
      </w:tr>
      <w:tr w:rsidR="00F73301" w:rsidRPr="00F73301" w14:paraId="18439ED6"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665A8FA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Industrial awards and subsidies</w:t>
            </w:r>
          </w:p>
        </w:tc>
        <w:tc>
          <w:tcPr>
            <w:tcW w:w="1845" w:type="dxa"/>
            <w:tcBorders>
              <w:top w:val="single" w:sz="2" w:space="0" w:color="auto"/>
              <w:left w:val="single" w:sz="2" w:space="0" w:color="auto"/>
              <w:bottom w:val="single" w:sz="2" w:space="0" w:color="auto"/>
              <w:right w:val="single" w:sz="2" w:space="0" w:color="auto"/>
            </w:tcBorders>
            <w:vAlign w:val="center"/>
          </w:tcPr>
          <w:p w14:paraId="3B4528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126,700.00</w:t>
            </w:r>
          </w:p>
        </w:tc>
        <w:tc>
          <w:tcPr>
            <w:tcW w:w="2410" w:type="dxa"/>
            <w:tcBorders>
              <w:top w:val="single" w:sz="2" w:space="0" w:color="auto"/>
              <w:left w:val="single" w:sz="2" w:space="0" w:color="auto"/>
              <w:bottom w:val="single" w:sz="2" w:space="0" w:color="auto"/>
              <w:right w:val="single" w:sz="2" w:space="0" w:color="auto"/>
            </w:tcBorders>
            <w:vAlign w:val="center"/>
          </w:tcPr>
          <w:p w14:paraId="67361AC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21AD813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6CD89DC"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7531288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equipment</w:t>
            </w:r>
          </w:p>
        </w:tc>
        <w:tc>
          <w:tcPr>
            <w:tcW w:w="1845" w:type="dxa"/>
            <w:tcBorders>
              <w:top w:val="single" w:sz="2" w:space="0" w:color="auto"/>
              <w:left w:val="single" w:sz="2" w:space="0" w:color="auto"/>
              <w:bottom w:val="single" w:sz="2" w:space="0" w:color="auto"/>
              <w:right w:val="single" w:sz="2" w:space="0" w:color="auto"/>
            </w:tcBorders>
            <w:vAlign w:val="center"/>
          </w:tcPr>
          <w:p w14:paraId="79EC59A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18,464,055.22</w:t>
            </w:r>
          </w:p>
        </w:tc>
        <w:tc>
          <w:tcPr>
            <w:tcW w:w="2410" w:type="dxa"/>
            <w:tcBorders>
              <w:top w:val="single" w:sz="2" w:space="0" w:color="auto"/>
              <w:left w:val="single" w:sz="2" w:space="0" w:color="auto"/>
              <w:bottom w:val="single" w:sz="2" w:space="0" w:color="auto"/>
              <w:right w:val="single" w:sz="2" w:space="0" w:color="auto"/>
            </w:tcBorders>
            <w:vAlign w:val="center"/>
          </w:tcPr>
          <w:p w14:paraId="7B38EFE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52594C3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1,224,775.21</w:t>
            </w:r>
          </w:p>
        </w:tc>
      </w:tr>
      <w:tr w:rsidR="00F73301" w:rsidRPr="00F73301" w14:paraId="24E34AD0"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562E996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Government grants for nitrogen station project construction</w:t>
            </w:r>
          </w:p>
        </w:tc>
        <w:tc>
          <w:tcPr>
            <w:tcW w:w="1845" w:type="dxa"/>
            <w:tcBorders>
              <w:top w:val="single" w:sz="2" w:space="0" w:color="auto"/>
              <w:left w:val="single" w:sz="2" w:space="0" w:color="auto"/>
              <w:bottom w:val="single" w:sz="2" w:space="0" w:color="auto"/>
              <w:right w:val="single" w:sz="2" w:space="0" w:color="auto"/>
            </w:tcBorders>
            <w:vAlign w:val="center"/>
          </w:tcPr>
          <w:p w14:paraId="54BF23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8,000,000.00</w:t>
            </w:r>
          </w:p>
        </w:tc>
        <w:tc>
          <w:tcPr>
            <w:tcW w:w="2410" w:type="dxa"/>
            <w:tcBorders>
              <w:top w:val="single" w:sz="2" w:space="0" w:color="auto"/>
              <w:left w:val="single" w:sz="2" w:space="0" w:color="auto"/>
              <w:bottom w:val="single" w:sz="2" w:space="0" w:color="auto"/>
              <w:right w:val="single" w:sz="2" w:space="0" w:color="auto"/>
            </w:tcBorders>
            <w:vAlign w:val="center"/>
          </w:tcPr>
          <w:p w14:paraId="43D45D2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45067C8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B128E66"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3EB9E14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R&amp;D of key technologies for high-voltage fast soft recovery rectifier diode square chips</w:t>
            </w:r>
          </w:p>
        </w:tc>
        <w:tc>
          <w:tcPr>
            <w:tcW w:w="1845" w:type="dxa"/>
            <w:tcBorders>
              <w:top w:val="single" w:sz="2" w:space="0" w:color="auto"/>
              <w:left w:val="single" w:sz="2" w:space="0" w:color="auto"/>
              <w:bottom w:val="single" w:sz="2" w:space="0" w:color="auto"/>
              <w:right w:val="single" w:sz="2" w:space="0" w:color="auto"/>
            </w:tcBorders>
            <w:vAlign w:val="center"/>
          </w:tcPr>
          <w:p w14:paraId="7C0376B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142,962.92</w:t>
            </w:r>
          </w:p>
        </w:tc>
        <w:tc>
          <w:tcPr>
            <w:tcW w:w="2410" w:type="dxa"/>
            <w:tcBorders>
              <w:top w:val="single" w:sz="2" w:space="0" w:color="auto"/>
              <w:left w:val="single" w:sz="2" w:space="0" w:color="auto"/>
              <w:bottom w:val="single" w:sz="2" w:space="0" w:color="auto"/>
              <w:right w:val="single" w:sz="2" w:space="0" w:color="auto"/>
            </w:tcBorders>
            <w:vAlign w:val="center"/>
          </w:tcPr>
          <w:p w14:paraId="2BED5CB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4C0A880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30,000.00</w:t>
            </w:r>
          </w:p>
        </w:tc>
      </w:tr>
      <w:tr w:rsidR="00F73301" w:rsidRPr="00F73301" w14:paraId="504F2380"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21EDCEE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Subsidies for R&amp;D of 4.5kV/2kA (high voltage and high current) dual-GCT devices</w:t>
            </w:r>
          </w:p>
          <w:p w14:paraId="3B2814D8" w14:textId="77777777" w:rsidR="00F73301" w:rsidRPr="00F73301" w:rsidRDefault="00F73301" w:rsidP="008C49B7">
            <w:pPr>
              <w:snapToGrid w:val="0"/>
              <w:rPr>
                <w:rFonts w:ascii="Times New Roman" w:eastAsia="宋体" w:hAnsi="Times New Roman" w:cs="Times New Roman"/>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14:paraId="0BB4658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29,999.96</w:t>
            </w:r>
          </w:p>
        </w:tc>
        <w:tc>
          <w:tcPr>
            <w:tcW w:w="2410" w:type="dxa"/>
            <w:tcBorders>
              <w:top w:val="single" w:sz="2" w:space="0" w:color="auto"/>
              <w:left w:val="single" w:sz="2" w:space="0" w:color="auto"/>
              <w:bottom w:val="single" w:sz="2" w:space="0" w:color="auto"/>
              <w:right w:val="single" w:sz="2" w:space="0" w:color="auto"/>
            </w:tcBorders>
            <w:vAlign w:val="center"/>
          </w:tcPr>
          <w:p w14:paraId="22A7DBB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1CA3BB2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D95B791"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711D4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R&amp;D and industrialization of high-</w:t>
            </w:r>
            <w:r w:rsidRPr="00F73301">
              <w:rPr>
                <w:rFonts w:ascii="Times New Roman" w:eastAsia="宋体" w:hAnsi="Times New Roman" w:cs="Times New Roman"/>
                <w:sz w:val="18"/>
                <w:szCs w:val="18"/>
              </w:rPr>
              <w:lastRenderedPageBreak/>
              <w:t>power and high-voltage crimping thyristor series</w:t>
            </w:r>
          </w:p>
        </w:tc>
        <w:tc>
          <w:tcPr>
            <w:tcW w:w="1845" w:type="dxa"/>
            <w:tcBorders>
              <w:top w:val="single" w:sz="2" w:space="0" w:color="auto"/>
              <w:left w:val="single" w:sz="2" w:space="0" w:color="auto"/>
              <w:bottom w:val="single" w:sz="2" w:space="0" w:color="auto"/>
              <w:right w:val="single" w:sz="2" w:space="0" w:color="auto"/>
            </w:tcBorders>
            <w:vAlign w:val="center"/>
          </w:tcPr>
          <w:p w14:paraId="51FF9A9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121,666.65</w:t>
            </w:r>
          </w:p>
        </w:tc>
        <w:tc>
          <w:tcPr>
            <w:tcW w:w="2410" w:type="dxa"/>
            <w:tcBorders>
              <w:top w:val="single" w:sz="2" w:space="0" w:color="auto"/>
              <w:left w:val="single" w:sz="2" w:space="0" w:color="auto"/>
              <w:bottom w:val="single" w:sz="2" w:space="0" w:color="auto"/>
              <w:right w:val="single" w:sz="2" w:space="0" w:color="auto"/>
            </w:tcBorders>
            <w:vAlign w:val="center"/>
          </w:tcPr>
          <w:p w14:paraId="55DA2D0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2DFD684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10,000.02</w:t>
            </w:r>
          </w:p>
        </w:tc>
      </w:tr>
      <w:tr w:rsidR="00F73301" w:rsidRPr="00F73301" w14:paraId="73F27DD9"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23B01EB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industrial development</w:t>
            </w:r>
          </w:p>
        </w:tc>
        <w:tc>
          <w:tcPr>
            <w:tcW w:w="1845" w:type="dxa"/>
            <w:tcBorders>
              <w:top w:val="single" w:sz="2" w:space="0" w:color="auto"/>
              <w:left w:val="single" w:sz="2" w:space="0" w:color="auto"/>
              <w:bottom w:val="single" w:sz="2" w:space="0" w:color="auto"/>
              <w:right w:val="single" w:sz="2" w:space="0" w:color="auto"/>
            </w:tcBorders>
            <w:vAlign w:val="center"/>
          </w:tcPr>
          <w:p w14:paraId="3697928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3,360,277.16</w:t>
            </w:r>
          </w:p>
        </w:tc>
        <w:tc>
          <w:tcPr>
            <w:tcW w:w="2410" w:type="dxa"/>
            <w:tcBorders>
              <w:top w:val="single" w:sz="2" w:space="0" w:color="auto"/>
              <w:left w:val="single" w:sz="2" w:space="0" w:color="auto"/>
              <w:bottom w:val="single" w:sz="2" w:space="0" w:color="auto"/>
              <w:right w:val="single" w:sz="2" w:space="0" w:color="auto"/>
            </w:tcBorders>
            <w:vAlign w:val="center"/>
          </w:tcPr>
          <w:p w14:paraId="6FDCE70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089916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410,452.98</w:t>
            </w:r>
          </w:p>
        </w:tc>
      </w:tr>
      <w:tr w:rsidR="00F73301" w:rsidRPr="00F73301" w14:paraId="3E637B24"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38D2DED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Factory rents refund</w:t>
            </w:r>
          </w:p>
        </w:tc>
        <w:tc>
          <w:tcPr>
            <w:tcW w:w="1845" w:type="dxa"/>
            <w:tcBorders>
              <w:top w:val="single" w:sz="2" w:space="0" w:color="auto"/>
              <w:left w:val="single" w:sz="2" w:space="0" w:color="auto"/>
              <w:bottom w:val="single" w:sz="2" w:space="0" w:color="auto"/>
              <w:right w:val="single" w:sz="2" w:space="0" w:color="auto"/>
            </w:tcBorders>
            <w:vAlign w:val="center"/>
          </w:tcPr>
          <w:p w14:paraId="0CBB1B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117,468.00</w:t>
            </w:r>
          </w:p>
        </w:tc>
        <w:tc>
          <w:tcPr>
            <w:tcW w:w="2410" w:type="dxa"/>
            <w:tcBorders>
              <w:top w:val="single" w:sz="2" w:space="0" w:color="auto"/>
              <w:left w:val="single" w:sz="2" w:space="0" w:color="auto"/>
              <w:bottom w:val="single" w:sz="2" w:space="0" w:color="auto"/>
              <w:right w:val="single" w:sz="2" w:space="0" w:color="auto"/>
            </w:tcBorders>
            <w:vAlign w:val="center"/>
          </w:tcPr>
          <w:p w14:paraId="010F1F2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3C2A509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36A7A17"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977ECC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Industrial supporting funds</w:t>
            </w:r>
          </w:p>
        </w:tc>
        <w:tc>
          <w:tcPr>
            <w:tcW w:w="1845" w:type="dxa"/>
            <w:tcBorders>
              <w:top w:val="single" w:sz="2" w:space="0" w:color="auto"/>
              <w:left w:val="single" w:sz="2" w:space="0" w:color="auto"/>
              <w:bottom w:val="single" w:sz="2" w:space="0" w:color="auto"/>
              <w:right w:val="single" w:sz="2" w:space="0" w:color="auto"/>
            </w:tcBorders>
            <w:vAlign w:val="center"/>
          </w:tcPr>
          <w:p w14:paraId="58C403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885,000.00</w:t>
            </w:r>
          </w:p>
        </w:tc>
        <w:tc>
          <w:tcPr>
            <w:tcW w:w="2410" w:type="dxa"/>
            <w:tcBorders>
              <w:top w:val="single" w:sz="2" w:space="0" w:color="auto"/>
              <w:left w:val="single" w:sz="2" w:space="0" w:color="auto"/>
              <w:bottom w:val="single" w:sz="2" w:space="0" w:color="auto"/>
              <w:right w:val="single" w:sz="2" w:space="0" w:color="auto"/>
            </w:tcBorders>
            <w:vAlign w:val="center"/>
          </w:tcPr>
          <w:p w14:paraId="72D9A5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income/other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229CC62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15,000.00</w:t>
            </w:r>
          </w:p>
        </w:tc>
      </w:tr>
      <w:tr w:rsidR="00F73301" w:rsidRPr="00F73301" w14:paraId="2DCF5033"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56DABFD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Funds for quality improvement projects</w:t>
            </w:r>
          </w:p>
        </w:tc>
        <w:tc>
          <w:tcPr>
            <w:tcW w:w="1845" w:type="dxa"/>
            <w:tcBorders>
              <w:top w:val="single" w:sz="2" w:space="0" w:color="auto"/>
              <w:left w:val="single" w:sz="2" w:space="0" w:color="auto"/>
              <w:bottom w:val="single" w:sz="2" w:space="0" w:color="auto"/>
              <w:right w:val="single" w:sz="2" w:space="0" w:color="auto"/>
            </w:tcBorders>
            <w:vAlign w:val="center"/>
          </w:tcPr>
          <w:p w14:paraId="20FE5BC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2,540,000.00</w:t>
            </w:r>
          </w:p>
        </w:tc>
        <w:tc>
          <w:tcPr>
            <w:tcW w:w="2410" w:type="dxa"/>
            <w:tcBorders>
              <w:top w:val="single" w:sz="2" w:space="0" w:color="auto"/>
              <w:left w:val="single" w:sz="2" w:space="0" w:color="auto"/>
              <w:bottom w:val="single" w:sz="2" w:space="0" w:color="auto"/>
              <w:right w:val="single" w:sz="2" w:space="0" w:color="auto"/>
            </w:tcBorders>
            <w:vAlign w:val="center"/>
          </w:tcPr>
          <w:p w14:paraId="5913650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58180D9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2,540,000.00</w:t>
            </w:r>
          </w:p>
        </w:tc>
      </w:tr>
      <w:tr w:rsidR="00F73301" w:rsidRPr="00F73301" w14:paraId="5CF2E48C"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05447A4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Special funds for high-quality development and technical transformation</w:t>
            </w:r>
          </w:p>
        </w:tc>
        <w:tc>
          <w:tcPr>
            <w:tcW w:w="1845" w:type="dxa"/>
            <w:tcBorders>
              <w:top w:val="single" w:sz="2" w:space="0" w:color="auto"/>
              <w:left w:val="single" w:sz="2" w:space="0" w:color="auto"/>
              <w:bottom w:val="single" w:sz="2" w:space="0" w:color="auto"/>
              <w:right w:val="single" w:sz="2" w:space="0" w:color="auto"/>
            </w:tcBorders>
            <w:vAlign w:val="center"/>
          </w:tcPr>
          <w:p w14:paraId="2F14207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1,550,000.00</w:t>
            </w:r>
          </w:p>
        </w:tc>
        <w:tc>
          <w:tcPr>
            <w:tcW w:w="2410" w:type="dxa"/>
            <w:tcBorders>
              <w:top w:val="single" w:sz="2" w:space="0" w:color="auto"/>
              <w:left w:val="single" w:sz="2" w:space="0" w:color="auto"/>
              <w:bottom w:val="single" w:sz="2" w:space="0" w:color="auto"/>
              <w:right w:val="single" w:sz="2" w:space="0" w:color="auto"/>
            </w:tcBorders>
            <w:vAlign w:val="center"/>
          </w:tcPr>
          <w:p w14:paraId="322EDFF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4B537D1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1,550,000.00</w:t>
            </w:r>
          </w:p>
        </w:tc>
      </w:tr>
      <w:tr w:rsidR="00F73301" w:rsidRPr="00F73301" w14:paraId="2BD6030E"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6D36BF1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Tax refunds</w:t>
            </w:r>
          </w:p>
        </w:tc>
        <w:tc>
          <w:tcPr>
            <w:tcW w:w="1845" w:type="dxa"/>
            <w:tcBorders>
              <w:top w:val="single" w:sz="2" w:space="0" w:color="auto"/>
              <w:left w:val="single" w:sz="2" w:space="0" w:color="auto"/>
              <w:bottom w:val="single" w:sz="2" w:space="0" w:color="auto"/>
              <w:right w:val="single" w:sz="2" w:space="0" w:color="auto"/>
            </w:tcBorders>
            <w:vAlign w:val="center"/>
          </w:tcPr>
          <w:p w14:paraId="684E260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367,975.89</w:t>
            </w:r>
          </w:p>
        </w:tc>
        <w:tc>
          <w:tcPr>
            <w:tcW w:w="2410" w:type="dxa"/>
            <w:tcBorders>
              <w:top w:val="single" w:sz="2" w:space="0" w:color="auto"/>
              <w:left w:val="single" w:sz="2" w:space="0" w:color="auto"/>
              <w:bottom w:val="single" w:sz="2" w:space="0" w:color="auto"/>
              <w:right w:val="single" w:sz="2" w:space="0" w:color="auto"/>
            </w:tcBorders>
            <w:vAlign w:val="center"/>
          </w:tcPr>
          <w:p w14:paraId="1915D5C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75B7EB9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367,975.89</w:t>
            </w:r>
          </w:p>
        </w:tc>
      </w:tr>
      <w:tr w:rsidR="00F73301" w:rsidRPr="00F73301" w14:paraId="4A525285"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4C400C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Rewards to high-tech enterprises</w:t>
            </w:r>
          </w:p>
        </w:tc>
        <w:tc>
          <w:tcPr>
            <w:tcW w:w="1845" w:type="dxa"/>
            <w:tcBorders>
              <w:top w:val="single" w:sz="2" w:space="0" w:color="auto"/>
              <w:left w:val="single" w:sz="2" w:space="0" w:color="auto"/>
              <w:bottom w:val="single" w:sz="2" w:space="0" w:color="auto"/>
              <w:right w:val="single" w:sz="2" w:space="0" w:color="auto"/>
            </w:tcBorders>
            <w:vAlign w:val="center"/>
          </w:tcPr>
          <w:p w14:paraId="501A17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160,000.00</w:t>
            </w:r>
          </w:p>
        </w:tc>
        <w:tc>
          <w:tcPr>
            <w:tcW w:w="2410" w:type="dxa"/>
            <w:tcBorders>
              <w:top w:val="single" w:sz="2" w:space="0" w:color="auto"/>
              <w:left w:val="single" w:sz="2" w:space="0" w:color="auto"/>
              <w:bottom w:val="single" w:sz="2" w:space="0" w:color="auto"/>
              <w:right w:val="single" w:sz="2" w:space="0" w:color="auto"/>
            </w:tcBorders>
            <w:vAlign w:val="center"/>
          </w:tcPr>
          <w:p w14:paraId="13F6E5E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01DE5A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160,000.00</w:t>
            </w:r>
          </w:p>
        </w:tc>
      </w:tr>
      <w:tr w:rsidR="00F73301" w:rsidRPr="00F73301" w14:paraId="73C570F5"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533482C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Internship subsidies</w:t>
            </w:r>
          </w:p>
        </w:tc>
        <w:tc>
          <w:tcPr>
            <w:tcW w:w="1845" w:type="dxa"/>
            <w:tcBorders>
              <w:top w:val="single" w:sz="2" w:space="0" w:color="auto"/>
              <w:left w:val="single" w:sz="2" w:space="0" w:color="auto"/>
              <w:bottom w:val="single" w:sz="2" w:space="0" w:color="auto"/>
              <w:right w:val="single" w:sz="2" w:space="0" w:color="auto"/>
            </w:tcBorders>
            <w:vAlign w:val="center"/>
          </w:tcPr>
          <w:p w14:paraId="208AABB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148,000.00</w:t>
            </w:r>
          </w:p>
        </w:tc>
        <w:tc>
          <w:tcPr>
            <w:tcW w:w="2410" w:type="dxa"/>
            <w:tcBorders>
              <w:top w:val="single" w:sz="2" w:space="0" w:color="auto"/>
              <w:left w:val="single" w:sz="2" w:space="0" w:color="auto"/>
              <w:bottom w:val="single" w:sz="2" w:space="0" w:color="auto"/>
              <w:right w:val="single" w:sz="2" w:space="0" w:color="auto"/>
            </w:tcBorders>
            <w:vAlign w:val="center"/>
          </w:tcPr>
          <w:p w14:paraId="02EA82F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79B019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148,000.00</w:t>
            </w:r>
          </w:p>
        </w:tc>
      </w:tr>
      <w:tr w:rsidR="00F73301" w:rsidRPr="00F73301" w14:paraId="3823490F"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788B6D7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Job expansion grants</w:t>
            </w:r>
          </w:p>
        </w:tc>
        <w:tc>
          <w:tcPr>
            <w:tcW w:w="1845" w:type="dxa"/>
            <w:tcBorders>
              <w:top w:val="single" w:sz="2" w:space="0" w:color="auto"/>
              <w:left w:val="single" w:sz="2" w:space="0" w:color="auto"/>
              <w:bottom w:val="single" w:sz="2" w:space="0" w:color="auto"/>
              <w:right w:val="single" w:sz="2" w:space="0" w:color="auto"/>
            </w:tcBorders>
            <w:vAlign w:val="center"/>
          </w:tcPr>
          <w:p w14:paraId="17F4A3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93,000.00</w:t>
            </w:r>
          </w:p>
        </w:tc>
        <w:tc>
          <w:tcPr>
            <w:tcW w:w="2410" w:type="dxa"/>
            <w:tcBorders>
              <w:top w:val="single" w:sz="2" w:space="0" w:color="auto"/>
              <w:left w:val="single" w:sz="2" w:space="0" w:color="auto"/>
              <w:bottom w:val="single" w:sz="2" w:space="0" w:color="auto"/>
              <w:right w:val="single" w:sz="2" w:space="0" w:color="auto"/>
            </w:tcBorders>
            <w:vAlign w:val="center"/>
          </w:tcPr>
          <w:p w14:paraId="1F23554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298A426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93,000.00</w:t>
            </w:r>
          </w:p>
        </w:tc>
      </w:tr>
      <w:tr w:rsidR="00F73301" w:rsidRPr="00F73301" w14:paraId="1B09DC36"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3CB688C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Piecemeal subsidies</w:t>
            </w:r>
          </w:p>
        </w:tc>
        <w:tc>
          <w:tcPr>
            <w:tcW w:w="1845" w:type="dxa"/>
            <w:tcBorders>
              <w:top w:val="single" w:sz="2" w:space="0" w:color="auto"/>
              <w:left w:val="single" w:sz="2" w:space="0" w:color="auto"/>
              <w:bottom w:val="single" w:sz="2" w:space="0" w:color="auto"/>
              <w:right w:val="single" w:sz="2" w:space="0" w:color="auto"/>
            </w:tcBorders>
            <w:vAlign w:val="center"/>
          </w:tcPr>
          <w:p w14:paraId="41AA53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1,707,769.88</w:t>
            </w:r>
          </w:p>
        </w:tc>
        <w:tc>
          <w:tcPr>
            <w:tcW w:w="2410" w:type="dxa"/>
            <w:tcBorders>
              <w:top w:val="single" w:sz="2" w:space="0" w:color="auto"/>
              <w:left w:val="single" w:sz="2" w:space="0" w:color="auto"/>
              <w:bottom w:val="single" w:sz="2" w:space="0" w:color="auto"/>
              <w:right w:val="single" w:sz="2" w:space="0" w:color="auto"/>
            </w:tcBorders>
            <w:vAlign w:val="center"/>
          </w:tcPr>
          <w:p w14:paraId="3E58C0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income</w:t>
            </w:r>
          </w:p>
        </w:tc>
        <w:tc>
          <w:tcPr>
            <w:tcW w:w="2410" w:type="dxa"/>
            <w:tcBorders>
              <w:top w:val="single" w:sz="2" w:space="0" w:color="auto"/>
              <w:left w:val="single" w:sz="2" w:space="0" w:color="auto"/>
              <w:bottom w:val="single" w:sz="2" w:space="0" w:color="auto"/>
              <w:right w:val="single" w:sz="2" w:space="0" w:color="auto"/>
            </w:tcBorders>
            <w:vAlign w:val="center"/>
          </w:tcPr>
          <w:p w14:paraId="6DD838D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1,707,769.88</w:t>
            </w:r>
          </w:p>
        </w:tc>
      </w:tr>
      <w:tr w:rsidR="00F73301" w:rsidRPr="00F73301" w14:paraId="0C89525F" w14:textId="77777777" w:rsidTr="008A539F">
        <w:trPr>
          <w:jc w:val="center"/>
        </w:trPr>
        <w:tc>
          <w:tcPr>
            <w:tcW w:w="2974" w:type="dxa"/>
            <w:tcBorders>
              <w:top w:val="single" w:sz="2" w:space="0" w:color="auto"/>
              <w:left w:val="single" w:sz="2" w:space="0" w:color="auto"/>
              <w:bottom w:val="single" w:sz="2" w:space="0" w:color="auto"/>
              <w:right w:val="single" w:sz="2" w:space="0" w:color="auto"/>
            </w:tcBorders>
            <w:vAlign w:val="center"/>
          </w:tcPr>
          <w:p w14:paraId="6451D55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w:t>
            </w:r>
          </w:p>
        </w:tc>
        <w:tc>
          <w:tcPr>
            <w:tcW w:w="1845" w:type="dxa"/>
            <w:tcBorders>
              <w:top w:val="single" w:sz="2" w:space="0" w:color="auto"/>
              <w:left w:val="single" w:sz="2" w:space="0" w:color="auto"/>
              <w:bottom w:val="single" w:sz="2" w:space="0" w:color="auto"/>
              <w:right w:val="single" w:sz="2" w:space="0" w:color="auto"/>
            </w:tcBorders>
            <w:vAlign w:val="center"/>
          </w:tcPr>
          <w:p w14:paraId="3273312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180,932,788.26</w:t>
            </w:r>
          </w:p>
        </w:tc>
        <w:tc>
          <w:tcPr>
            <w:tcW w:w="2410" w:type="dxa"/>
            <w:tcBorders>
              <w:top w:val="single" w:sz="2" w:space="0" w:color="auto"/>
              <w:left w:val="single" w:sz="2" w:space="0" w:color="auto"/>
              <w:bottom w:val="single" w:sz="2" w:space="0" w:color="auto"/>
              <w:right w:val="single" w:sz="2" w:space="0" w:color="auto"/>
            </w:tcBorders>
            <w:vAlign w:val="center"/>
          </w:tcPr>
          <w:p w14:paraId="0831228D"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00720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21,756,005.54</w:t>
            </w:r>
          </w:p>
        </w:tc>
      </w:tr>
    </w:tbl>
    <w:p w14:paraId="0B29AC6E"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90" w:name="_Toc989178"/>
      <w:r w:rsidRPr="00F73301">
        <w:rPr>
          <w:rFonts w:ascii="Times New Roman" w:eastAsia="宋体" w:hAnsi="Times New Roman" w:cs="Times New Roman"/>
          <w:b/>
          <w:bCs/>
          <w:sz w:val="24"/>
          <w:szCs w:val="24"/>
        </w:rPr>
        <w:t>(2) Return of government grants</w:t>
      </w:r>
      <w:bookmarkEnd w:id="290"/>
    </w:p>
    <w:p w14:paraId="58C8A7FD"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Applicable   Not applicable</w:t>
      </w:r>
      <w:r w:rsidRPr="00F73301">
        <w:rPr>
          <w:rFonts w:ascii="Times New Roman" w:eastAsia="宋体" w:hAnsi="Times New Roman" w:cs="Times New Roman"/>
          <w:sz w:val="24"/>
          <w:szCs w:val="24"/>
        </w:rPr>
        <w:sym w:font="Wingdings 2" w:char="F052"/>
      </w:r>
    </w:p>
    <w:p w14:paraId="24E17F4F"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79DDD0D6"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4DA1AB76"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91" w:name="_Toc989179"/>
      <w:r w:rsidRPr="00F73301">
        <w:rPr>
          <w:rFonts w:ascii="Times New Roman" w:eastAsia="宋体" w:hAnsi="Times New Roman" w:cs="Times New Roman"/>
          <w:b/>
          <w:bCs/>
          <w:sz w:val="24"/>
          <w:szCs w:val="24"/>
        </w:rPr>
        <w:t>60. Others</w:t>
      </w:r>
      <w:bookmarkEnd w:id="291"/>
    </w:p>
    <w:p w14:paraId="4E3BA250"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0CEA5BC" w14:textId="77777777" w:rsidR="00F73301" w:rsidRPr="00F73301" w:rsidRDefault="00F73301" w:rsidP="008A539F">
      <w:pPr>
        <w:keepNext/>
        <w:keepLines/>
        <w:snapToGrid w:val="0"/>
        <w:spacing w:beforeLines="50" w:before="156" w:afterLines="50" w:after="156"/>
        <w:jc w:val="both"/>
        <w:outlineLvl w:val="1"/>
        <w:rPr>
          <w:rFonts w:ascii="Times New Roman" w:eastAsia="宋体" w:hAnsi="Times New Roman" w:cs="Times New Roman"/>
          <w:b/>
          <w:bCs/>
          <w:sz w:val="24"/>
          <w:szCs w:val="24"/>
        </w:rPr>
      </w:pPr>
      <w:bookmarkStart w:id="292" w:name="_Toc989180"/>
      <w:r w:rsidRPr="00F73301">
        <w:rPr>
          <w:rFonts w:ascii="Times New Roman" w:eastAsia="宋体" w:hAnsi="Times New Roman" w:cs="Times New Roman"/>
          <w:b/>
          <w:bCs/>
          <w:sz w:val="24"/>
          <w:szCs w:val="24"/>
        </w:rPr>
        <w:t>VIII. Change of Consolidation Scope</w:t>
      </w:r>
      <w:bookmarkEnd w:id="292"/>
    </w:p>
    <w:p w14:paraId="72B912DB"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293" w:name="_Toc989181"/>
      <w:r w:rsidRPr="00F73301">
        <w:rPr>
          <w:rFonts w:ascii="Times New Roman" w:eastAsia="宋体" w:hAnsi="Times New Roman" w:cs="Times New Roman"/>
          <w:b/>
          <w:bCs/>
          <w:sz w:val="24"/>
          <w:szCs w:val="24"/>
        </w:rPr>
        <w:t>1. Business combination not under the same control</w:t>
      </w:r>
      <w:bookmarkEnd w:id="293"/>
    </w:p>
    <w:p w14:paraId="41155B89"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94" w:name="_Toc989182"/>
      <w:r w:rsidRPr="00F73301">
        <w:rPr>
          <w:rFonts w:ascii="Times New Roman" w:eastAsia="宋体" w:hAnsi="Times New Roman" w:cs="Times New Roman"/>
          <w:b/>
          <w:bCs/>
          <w:sz w:val="24"/>
          <w:szCs w:val="24"/>
        </w:rPr>
        <w:t>(1) Business combination not under the same control during the current period</w:t>
      </w:r>
      <w:bookmarkEnd w:id="294"/>
    </w:p>
    <w:p w14:paraId="6B6579E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1071"/>
        <w:gridCol w:w="1071"/>
        <w:gridCol w:w="1071"/>
        <w:gridCol w:w="1071"/>
        <w:gridCol w:w="1071"/>
        <w:gridCol w:w="1071"/>
        <w:gridCol w:w="1071"/>
      </w:tblGrid>
      <w:tr w:rsidR="00F73301" w:rsidRPr="00F73301" w14:paraId="415B772E" w14:textId="77777777" w:rsidTr="0001208F">
        <w:trPr>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F02524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Acquirees</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71C6DF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Equity acquisition date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8B2E78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Equity acquisition cost</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269279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Proportion of equity</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720CE3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Equity acquisition method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094896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 date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D66D67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Determination basis for acquisition date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D3F05C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Acquiree’s income from acquisition date to period end</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5CD55A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Acquiree’s net profit from acquisition date to period end</w:t>
            </w:r>
          </w:p>
        </w:tc>
      </w:tr>
      <w:tr w:rsidR="00F73301" w:rsidRPr="00F73301" w14:paraId="764F9624" w14:textId="77777777" w:rsidTr="0001208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6CF7EA3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p>
        </w:tc>
        <w:tc>
          <w:tcPr>
            <w:tcW w:w="1071" w:type="dxa"/>
            <w:tcBorders>
              <w:top w:val="single" w:sz="2" w:space="0" w:color="auto"/>
              <w:left w:val="single" w:sz="2" w:space="0" w:color="auto"/>
              <w:bottom w:val="single" w:sz="2" w:space="0" w:color="auto"/>
              <w:right w:val="single" w:sz="2" w:space="0" w:color="auto"/>
            </w:tcBorders>
            <w:vAlign w:val="center"/>
          </w:tcPr>
          <w:p w14:paraId="7DE0226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March 31, 2023</w:t>
            </w:r>
          </w:p>
        </w:tc>
        <w:tc>
          <w:tcPr>
            <w:tcW w:w="1071" w:type="dxa"/>
            <w:tcBorders>
              <w:top w:val="single" w:sz="2" w:space="0" w:color="auto"/>
              <w:left w:val="single" w:sz="2" w:space="0" w:color="auto"/>
              <w:bottom w:val="single" w:sz="2" w:space="0" w:color="auto"/>
              <w:right w:val="single" w:sz="2" w:space="0" w:color="auto"/>
            </w:tcBorders>
            <w:vAlign w:val="center"/>
          </w:tcPr>
          <w:p w14:paraId="1A94CA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668,760,000.00</w:t>
            </w:r>
          </w:p>
        </w:tc>
        <w:tc>
          <w:tcPr>
            <w:tcW w:w="1071" w:type="dxa"/>
            <w:tcBorders>
              <w:top w:val="single" w:sz="2" w:space="0" w:color="auto"/>
              <w:left w:val="single" w:sz="2" w:space="0" w:color="auto"/>
              <w:bottom w:val="single" w:sz="2" w:space="0" w:color="auto"/>
              <w:right w:val="single" w:sz="2" w:space="0" w:color="auto"/>
            </w:tcBorders>
            <w:vAlign w:val="center"/>
          </w:tcPr>
          <w:p w14:paraId="5918E9B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70.00%</w:t>
            </w:r>
          </w:p>
        </w:tc>
        <w:tc>
          <w:tcPr>
            <w:tcW w:w="1071" w:type="dxa"/>
            <w:tcBorders>
              <w:top w:val="single" w:sz="2" w:space="0" w:color="auto"/>
              <w:left w:val="single" w:sz="2" w:space="0" w:color="auto"/>
              <w:bottom w:val="single" w:sz="2" w:space="0" w:color="auto"/>
              <w:right w:val="single" w:sz="2" w:space="0" w:color="auto"/>
            </w:tcBorders>
            <w:vAlign w:val="center"/>
          </w:tcPr>
          <w:p w14:paraId="2BCB98E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Business combination not under common control</w:t>
            </w:r>
          </w:p>
        </w:tc>
        <w:tc>
          <w:tcPr>
            <w:tcW w:w="1071" w:type="dxa"/>
            <w:tcBorders>
              <w:top w:val="single" w:sz="2" w:space="0" w:color="auto"/>
              <w:left w:val="single" w:sz="2" w:space="0" w:color="auto"/>
              <w:bottom w:val="single" w:sz="2" w:space="0" w:color="auto"/>
              <w:right w:val="single" w:sz="2" w:space="0" w:color="auto"/>
            </w:tcBorders>
            <w:vAlign w:val="center"/>
          </w:tcPr>
          <w:p w14:paraId="3CB6AED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March 31, 2023</w:t>
            </w:r>
          </w:p>
        </w:tc>
        <w:tc>
          <w:tcPr>
            <w:tcW w:w="1071" w:type="dxa"/>
            <w:tcBorders>
              <w:top w:val="single" w:sz="2" w:space="0" w:color="auto"/>
              <w:left w:val="single" w:sz="2" w:space="0" w:color="auto"/>
              <w:bottom w:val="single" w:sz="2" w:space="0" w:color="auto"/>
              <w:right w:val="single" w:sz="2" w:space="0" w:color="auto"/>
            </w:tcBorders>
            <w:vAlign w:val="center"/>
          </w:tcPr>
          <w:p w14:paraId="475D3EE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Completion of equity transfer</w:t>
            </w:r>
          </w:p>
        </w:tc>
        <w:tc>
          <w:tcPr>
            <w:tcW w:w="1071" w:type="dxa"/>
            <w:tcBorders>
              <w:top w:val="single" w:sz="2" w:space="0" w:color="auto"/>
              <w:left w:val="single" w:sz="2" w:space="0" w:color="auto"/>
              <w:bottom w:val="single" w:sz="2" w:space="0" w:color="auto"/>
              <w:right w:val="single" w:sz="2" w:space="0" w:color="auto"/>
            </w:tcBorders>
            <w:vAlign w:val="center"/>
          </w:tcPr>
          <w:p w14:paraId="5F43CA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66,316,785.55</w:t>
            </w:r>
          </w:p>
        </w:tc>
        <w:tc>
          <w:tcPr>
            <w:tcW w:w="1071" w:type="dxa"/>
            <w:tcBorders>
              <w:top w:val="single" w:sz="2" w:space="0" w:color="auto"/>
              <w:left w:val="single" w:sz="2" w:space="0" w:color="auto"/>
              <w:bottom w:val="single" w:sz="2" w:space="0" w:color="auto"/>
              <w:right w:val="single" w:sz="2" w:space="0" w:color="auto"/>
            </w:tcBorders>
            <w:vAlign w:val="center"/>
          </w:tcPr>
          <w:p w14:paraId="46A9AC9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-21,036,041.87</w:t>
            </w:r>
          </w:p>
        </w:tc>
      </w:tr>
    </w:tbl>
    <w:p w14:paraId="663FC921"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3813E01D"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D898C4D"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95" w:name="_Toc989183"/>
      <w:r w:rsidRPr="00F73301">
        <w:rPr>
          <w:rFonts w:ascii="Times New Roman" w:eastAsia="宋体" w:hAnsi="Times New Roman" w:cs="Times New Roman"/>
          <w:b/>
          <w:bCs/>
          <w:sz w:val="24"/>
          <w:szCs w:val="24"/>
        </w:rPr>
        <w:t>(2) Combination cost and goodwill</w:t>
      </w:r>
      <w:bookmarkEnd w:id="295"/>
    </w:p>
    <w:p w14:paraId="50D8690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38EBB413"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941D92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Combination costs</w:t>
            </w:r>
          </w:p>
        </w:tc>
        <w:tc>
          <w:tcPr>
            <w:tcW w:w="4820" w:type="dxa"/>
            <w:tcBorders>
              <w:top w:val="single" w:sz="2" w:space="0" w:color="auto"/>
              <w:left w:val="single" w:sz="2" w:space="0" w:color="auto"/>
              <w:bottom w:val="single" w:sz="2" w:space="0" w:color="auto"/>
              <w:right w:val="single" w:sz="2" w:space="0" w:color="auto"/>
            </w:tcBorders>
            <w:vAlign w:val="center"/>
          </w:tcPr>
          <w:p w14:paraId="0E3596E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p>
        </w:tc>
      </w:tr>
      <w:tr w:rsidR="00F73301" w:rsidRPr="00F73301" w14:paraId="62D55B6A"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5681CA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-Cash</w:t>
            </w:r>
          </w:p>
        </w:tc>
        <w:tc>
          <w:tcPr>
            <w:tcW w:w="4820" w:type="dxa"/>
            <w:tcBorders>
              <w:top w:val="single" w:sz="2" w:space="0" w:color="auto"/>
              <w:left w:val="single" w:sz="2" w:space="0" w:color="auto"/>
              <w:bottom w:val="single" w:sz="2" w:space="0" w:color="auto"/>
              <w:right w:val="single" w:sz="2" w:space="0" w:color="auto"/>
            </w:tcBorders>
            <w:vAlign w:val="center"/>
          </w:tcPr>
          <w:p w14:paraId="46205E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668,760,000.00</w:t>
            </w:r>
          </w:p>
        </w:tc>
      </w:tr>
      <w:tr w:rsidR="00F73301" w:rsidRPr="00F73301" w14:paraId="1A1F3084"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E20DD5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-Fair value of non-cash assets</w:t>
            </w:r>
          </w:p>
        </w:tc>
        <w:tc>
          <w:tcPr>
            <w:tcW w:w="4820" w:type="dxa"/>
            <w:tcBorders>
              <w:top w:val="single" w:sz="2" w:space="0" w:color="auto"/>
              <w:left w:val="single" w:sz="2" w:space="0" w:color="auto"/>
              <w:bottom w:val="single" w:sz="2" w:space="0" w:color="auto"/>
              <w:right w:val="single" w:sz="2" w:space="0" w:color="auto"/>
            </w:tcBorders>
            <w:vAlign w:val="center"/>
          </w:tcPr>
          <w:p w14:paraId="3DD7C7F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66A4BF2"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994ED0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-Fair value of debt issued or assumed</w:t>
            </w:r>
          </w:p>
        </w:tc>
        <w:tc>
          <w:tcPr>
            <w:tcW w:w="4820" w:type="dxa"/>
            <w:tcBorders>
              <w:top w:val="single" w:sz="2" w:space="0" w:color="auto"/>
              <w:left w:val="single" w:sz="2" w:space="0" w:color="auto"/>
              <w:bottom w:val="single" w:sz="2" w:space="0" w:color="auto"/>
              <w:right w:val="single" w:sz="2" w:space="0" w:color="auto"/>
            </w:tcBorders>
            <w:vAlign w:val="center"/>
          </w:tcPr>
          <w:p w14:paraId="215509E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C462EE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6F0590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-Fair value of equity securities issued</w:t>
            </w:r>
          </w:p>
        </w:tc>
        <w:tc>
          <w:tcPr>
            <w:tcW w:w="4820" w:type="dxa"/>
            <w:tcBorders>
              <w:top w:val="single" w:sz="2" w:space="0" w:color="auto"/>
              <w:left w:val="single" w:sz="2" w:space="0" w:color="auto"/>
              <w:bottom w:val="single" w:sz="2" w:space="0" w:color="auto"/>
              <w:right w:val="single" w:sz="2" w:space="0" w:color="auto"/>
            </w:tcBorders>
            <w:vAlign w:val="center"/>
          </w:tcPr>
          <w:p w14:paraId="0D93704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63A3E19"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B81293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-Fair value of contingent consideration</w:t>
            </w:r>
          </w:p>
        </w:tc>
        <w:tc>
          <w:tcPr>
            <w:tcW w:w="4820" w:type="dxa"/>
            <w:tcBorders>
              <w:top w:val="single" w:sz="2" w:space="0" w:color="auto"/>
              <w:left w:val="single" w:sz="2" w:space="0" w:color="auto"/>
              <w:bottom w:val="single" w:sz="2" w:space="0" w:color="auto"/>
              <w:right w:val="single" w:sz="2" w:space="0" w:color="auto"/>
            </w:tcBorders>
            <w:vAlign w:val="center"/>
          </w:tcPr>
          <w:p w14:paraId="05179EF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2B09E85"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36D332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-Fair value of equity interests held before the purchase date</w:t>
            </w:r>
          </w:p>
        </w:tc>
        <w:tc>
          <w:tcPr>
            <w:tcW w:w="4820" w:type="dxa"/>
            <w:tcBorders>
              <w:top w:val="single" w:sz="2" w:space="0" w:color="auto"/>
              <w:left w:val="single" w:sz="2" w:space="0" w:color="auto"/>
              <w:bottom w:val="single" w:sz="2" w:space="0" w:color="auto"/>
              <w:right w:val="single" w:sz="2" w:space="0" w:color="auto"/>
            </w:tcBorders>
            <w:vAlign w:val="center"/>
          </w:tcPr>
          <w:p w14:paraId="7F50328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EFA4D98"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CBE36D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w:t>
            </w:r>
          </w:p>
        </w:tc>
        <w:tc>
          <w:tcPr>
            <w:tcW w:w="4820" w:type="dxa"/>
            <w:tcBorders>
              <w:top w:val="single" w:sz="2" w:space="0" w:color="auto"/>
              <w:left w:val="single" w:sz="2" w:space="0" w:color="auto"/>
              <w:bottom w:val="single" w:sz="2" w:space="0" w:color="auto"/>
              <w:right w:val="single" w:sz="2" w:space="0" w:color="auto"/>
            </w:tcBorders>
            <w:vAlign w:val="center"/>
          </w:tcPr>
          <w:p w14:paraId="784AF7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5,728,869.78</w:t>
            </w:r>
          </w:p>
        </w:tc>
      </w:tr>
      <w:tr w:rsidR="00F73301" w:rsidRPr="00F73301" w14:paraId="1721AAF2"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37FB9F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combination costs</w:t>
            </w:r>
          </w:p>
        </w:tc>
        <w:tc>
          <w:tcPr>
            <w:tcW w:w="4820" w:type="dxa"/>
            <w:tcBorders>
              <w:top w:val="single" w:sz="2" w:space="0" w:color="auto"/>
              <w:left w:val="single" w:sz="2" w:space="0" w:color="auto"/>
              <w:bottom w:val="single" w:sz="2" w:space="0" w:color="auto"/>
              <w:right w:val="single" w:sz="2" w:space="0" w:color="auto"/>
            </w:tcBorders>
            <w:vAlign w:val="center"/>
          </w:tcPr>
          <w:p w14:paraId="260E8C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674,488,869.78</w:t>
            </w:r>
          </w:p>
        </w:tc>
      </w:tr>
      <w:tr w:rsidR="00F73301" w:rsidRPr="00F73301" w14:paraId="259EC668"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1A7D62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Less: Share of fair value of net identifiable assets acquired</w:t>
            </w:r>
          </w:p>
        </w:tc>
        <w:tc>
          <w:tcPr>
            <w:tcW w:w="4820" w:type="dxa"/>
            <w:tcBorders>
              <w:top w:val="single" w:sz="2" w:space="0" w:color="auto"/>
              <w:left w:val="single" w:sz="2" w:space="0" w:color="auto"/>
              <w:bottom w:val="single" w:sz="2" w:space="0" w:color="auto"/>
              <w:right w:val="single" w:sz="2" w:space="0" w:color="auto"/>
            </w:tcBorders>
            <w:vAlign w:val="center"/>
          </w:tcPr>
          <w:p w14:paraId="1ECFD1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533,491,871.91</w:t>
            </w:r>
          </w:p>
        </w:tc>
      </w:tr>
      <w:tr w:rsidR="00F73301" w:rsidRPr="00F73301" w14:paraId="305CE0E9"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72E53E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The amount of goodwill/combination cost less than the share in the fair value of identifiable net assets acquired</w:t>
            </w:r>
          </w:p>
        </w:tc>
        <w:tc>
          <w:tcPr>
            <w:tcW w:w="4820" w:type="dxa"/>
            <w:tcBorders>
              <w:top w:val="single" w:sz="2" w:space="0" w:color="auto"/>
              <w:left w:val="single" w:sz="2" w:space="0" w:color="auto"/>
              <w:bottom w:val="single" w:sz="2" w:space="0" w:color="auto"/>
              <w:right w:val="single" w:sz="2" w:space="0" w:color="auto"/>
            </w:tcBorders>
            <w:vAlign w:val="center"/>
          </w:tcPr>
          <w:p w14:paraId="27562F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140,996,997.87</w:t>
            </w:r>
          </w:p>
        </w:tc>
      </w:tr>
    </w:tbl>
    <w:p w14:paraId="762D2561"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 to determination method of the fair value of the combination cost, consideration and changes:</w:t>
      </w:r>
    </w:p>
    <w:p w14:paraId="3CFFF92B"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4306B512"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main formation reason for the large goodwill:</w:t>
      </w:r>
    </w:p>
    <w:p w14:paraId="735D5432"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5E73E824"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F9D8F29"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7A89E8D0"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96" w:name="_Toc989184"/>
      <w:r w:rsidRPr="00F73301">
        <w:rPr>
          <w:rFonts w:ascii="Times New Roman" w:eastAsia="宋体" w:hAnsi="Times New Roman" w:cs="Times New Roman"/>
          <w:b/>
          <w:bCs/>
          <w:sz w:val="24"/>
          <w:szCs w:val="24"/>
        </w:rPr>
        <w:t>(3) The identifiable assets and liabilities of acquiree on purchase date</w:t>
      </w:r>
      <w:bookmarkEnd w:id="296"/>
    </w:p>
    <w:p w14:paraId="17B57A5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3A379A2A" w14:textId="77777777" w:rsidTr="0001208F">
        <w:trPr>
          <w:jc w:val="center"/>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23EC92" w14:textId="77777777" w:rsidR="00F73301" w:rsidRPr="00F73301" w:rsidRDefault="00F73301" w:rsidP="008C49B7">
            <w:pPr>
              <w:snapToGrid w:val="0"/>
              <w:rPr>
                <w:rFonts w:ascii="Times New Roman" w:eastAsia="等线" w:hAnsi="Times New Roman" w:cs="Times New Roman"/>
                <w:sz w:val="18"/>
                <w:szCs w:val="18"/>
              </w:rPr>
            </w:pP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05376C0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p>
        </w:tc>
      </w:tr>
      <w:tr w:rsidR="00F73301" w:rsidRPr="00F73301" w14:paraId="590470F3" w14:textId="77777777" w:rsidTr="0001208F">
        <w:trPr>
          <w:jc w:val="center"/>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220664"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5BE89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Acquisition-date fair value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F6E6E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Acquisition-date carrying amount</w:t>
            </w:r>
          </w:p>
        </w:tc>
      </w:tr>
      <w:tr w:rsidR="00F73301" w:rsidRPr="00F73301" w14:paraId="3038454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6DF5F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Assets:</w:t>
            </w:r>
          </w:p>
        </w:tc>
        <w:tc>
          <w:tcPr>
            <w:tcW w:w="3213" w:type="dxa"/>
            <w:tcBorders>
              <w:top w:val="single" w:sz="2" w:space="0" w:color="auto"/>
              <w:left w:val="single" w:sz="2" w:space="0" w:color="auto"/>
              <w:bottom w:val="single" w:sz="2" w:space="0" w:color="auto"/>
              <w:right w:val="single" w:sz="2" w:space="0" w:color="auto"/>
            </w:tcBorders>
            <w:vAlign w:val="center"/>
          </w:tcPr>
          <w:p w14:paraId="0782D15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A5B5B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4D538D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C5B56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Cash and bank balances</w:t>
            </w:r>
          </w:p>
        </w:tc>
        <w:tc>
          <w:tcPr>
            <w:tcW w:w="3213" w:type="dxa"/>
            <w:tcBorders>
              <w:top w:val="single" w:sz="2" w:space="0" w:color="auto"/>
              <w:left w:val="single" w:sz="2" w:space="0" w:color="auto"/>
              <w:bottom w:val="single" w:sz="2" w:space="0" w:color="auto"/>
              <w:right w:val="single" w:sz="2" w:space="0" w:color="auto"/>
            </w:tcBorders>
            <w:vAlign w:val="center"/>
          </w:tcPr>
          <w:p w14:paraId="30CD857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131,184,209.99</w:t>
            </w:r>
          </w:p>
        </w:tc>
        <w:tc>
          <w:tcPr>
            <w:tcW w:w="3213" w:type="dxa"/>
            <w:tcBorders>
              <w:top w:val="single" w:sz="2" w:space="0" w:color="auto"/>
              <w:left w:val="single" w:sz="2" w:space="0" w:color="auto"/>
              <w:bottom w:val="single" w:sz="2" w:space="0" w:color="auto"/>
              <w:right w:val="single" w:sz="2" w:space="0" w:color="auto"/>
            </w:tcBorders>
            <w:vAlign w:val="center"/>
          </w:tcPr>
          <w:p w14:paraId="5785031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131,184,209.99</w:t>
            </w:r>
          </w:p>
        </w:tc>
      </w:tr>
      <w:tr w:rsidR="00F73301" w:rsidRPr="00F73301" w14:paraId="2620E98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F1762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244D9F6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36,486,492.42</w:t>
            </w:r>
          </w:p>
        </w:tc>
        <w:tc>
          <w:tcPr>
            <w:tcW w:w="3213" w:type="dxa"/>
            <w:tcBorders>
              <w:top w:val="single" w:sz="2" w:space="0" w:color="auto"/>
              <w:left w:val="single" w:sz="2" w:space="0" w:color="auto"/>
              <w:bottom w:val="single" w:sz="2" w:space="0" w:color="auto"/>
              <w:right w:val="single" w:sz="2" w:space="0" w:color="auto"/>
            </w:tcBorders>
            <w:vAlign w:val="center"/>
          </w:tcPr>
          <w:p w14:paraId="50E96DA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36,486,492.42</w:t>
            </w:r>
          </w:p>
        </w:tc>
      </w:tr>
      <w:tr w:rsidR="00F73301" w:rsidRPr="00F73301" w14:paraId="2844888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ABA08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Inventories</w:t>
            </w:r>
          </w:p>
        </w:tc>
        <w:tc>
          <w:tcPr>
            <w:tcW w:w="3213" w:type="dxa"/>
            <w:tcBorders>
              <w:top w:val="single" w:sz="2" w:space="0" w:color="auto"/>
              <w:left w:val="single" w:sz="2" w:space="0" w:color="auto"/>
              <w:bottom w:val="single" w:sz="2" w:space="0" w:color="auto"/>
              <w:right w:val="single" w:sz="2" w:space="0" w:color="auto"/>
            </w:tcBorders>
            <w:vAlign w:val="center"/>
          </w:tcPr>
          <w:p w14:paraId="6E3B50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39,542,787.41</w:t>
            </w:r>
          </w:p>
        </w:tc>
        <w:tc>
          <w:tcPr>
            <w:tcW w:w="3213" w:type="dxa"/>
            <w:tcBorders>
              <w:top w:val="single" w:sz="2" w:space="0" w:color="auto"/>
              <w:left w:val="single" w:sz="2" w:space="0" w:color="auto"/>
              <w:bottom w:val="single" w:sz="2" w:space="0" w:color="auto"/>
              <w:right w:val="single" w:sz="2" w:space="0" w:color="auto"/>
            </w:tcBorders>
            <w:vAlign w:val="center"/>
          </w:tcPr>
          <w:p w14:paraId="748B8A4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39,542,787.41</w:t>
            </w:r>
          </w:p>
        </w:tc>
      </w:tr>
      <w:tr w:rsidR="00F73301" w:rsidRPr="00F73301" w14:paraId="1B9E028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37836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Fixed assets</w:t>
            </w:r>
          </w:p>
        </w:tc>
        <w:tc>
          <w:tcPr>
            <w:tcW w:w="3213" w:type="dxa"/>
            <w:tcBorders>
              <w:top w:val="single" w:sz="2" w:space="0" w:color="auto"/>
              <w:left w:val="single" w:sz="2" w:space="0" w:color="auto"/>
              <w:bottom w:val="single" w:sz="2" w:space="0" w:color="auto"/>
              <w:right w:val="single" w:sz="2" w:space="0" w:color="auto"/>
            </w:tcBorders>
            <w:vAlign w:val="center"/>
          </w:tcPr>
          <w:p w14:paraId="34B9F69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428,184,391.64</w:t>
            </w:r>
          </w:p>
        </w:tc>
        <w:tc>
          <w:tcPr>
            <w:tcW w:w="3213" w:type="dxa"/>
            <w:tcBorders>
              <w:top w:val="single" w:sz="2" w:space="0" w:color="auto"/>
              <w:left w:val="single" w:sz="2" w:space="0" w:color="auto"/>
              <w:bottom w:val="single" w:sz="2" w:space="0" w:color="auto"/>
              <w:right w:val="single" w:sz="2" w:space="0" w:color="auto"/>
            </w:tcBorders>
            <w:vAlign w:val="center"/>
          </w:tcPr>
          <w:p w14:paraId="5D36D53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394,618,745.61</w:t>
            </w:r>
          </w:p>
        </w:tc>
      </w:tr>
      <w:tr w:rsidR="00F73301" w:rsidRPr="00F73301" w14:paraId="40810C8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D30E2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Intangible assets</w:t>
            </w:r>
          </w:p>
        </w:tc>
        <w:tc>
          <w:tcPr>
            <w:tcW w:w="3213" w:type="dxa"/>
            <w:tcBorders>
              <w:top w:val="single" w:sz="2" w:space="0" w:color="auto"/>
              <w:left w:val="single" w:sz="2" w:space="0" w:color="auto"/>
              <w:bottom w:val="single" w:sz="2" w:space="0" w:color="auto"/>
              <w:right w:val="single" w:sz="2" w:space="0" w:color="auto"/>
            </w:tcBorders>
            <w:vAlign w:val="center"/>
          </w:tcPr>
          <w:p w14:paraId="16D352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1,937,932.04</w:t>
            </w:r>
          </w:p>
        </w:tc>
        <w:tc>
          <w:tcPr>
            <w:tcW w:w="3213" w:type="dxa"/>
            <w:tcBorders>
              <w:top w:val="single" w:sz="2" w:space="0" w:color="auto"/>
              <w:left w:val="single" w:sz="2" w:space="0" w:color="auto"/>
              <w:bottom w:val="single" w:sz="2" w:space="0" w:color="auto"/>
              <w:right w:val="single" w:sz="2" w:space="0" w:color="auto"/>
            </w:tcBorders>
            <w:vAlign w:val="center"/>
          </w:tcPr>
          <w:p w14:paraId="440CF78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1,937,932.04</w:t>
            </w:r>
          </w:p>
        </w:tc>
      </w:tr>
      <w:tr w:rsidR="00F73301" w:rsidRPr="00F73301" w14:paraId="2CAA8DB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1C95A2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Receivables financing</w:t>
            </w:r>
          </w:p>
        </w:tc>
        <w:tc>
          <w:tcPr>
            <w:tcW w:w="3213" w:type="dxa"/>
            <w:tcBorders>
              <w:top w:val="single" w:sz="2" w:space="0" w:color="auto"/>
              <w:left w:val="single" w:sz="2" w:space="0" w:color="auto"/>
              <w:bottom w:val="single" w:sz="2" w:space="0" w:color="auto"/>
              <w:right w:val="single" w:sz="2" w:space="0" w:color="auto"/>
            </w:tcBorders>
            <w:vAlign w:val="center"/>
          </w:tcPr>
          <w:p w14:paraId="149440D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7,020,459.89</w:t>
            </w:r>
          </w:p>
        </w:tc>
        <w:tc>
          <w:tcPr>
            <w:tcW w:w="3213" w:type="dxa"/>
            <w:tcBorders>
              <w:top w:val="single" w:sz="2" w:space="0" w:color="auto"/>
              <w:left w:val="single" w:sz="2" w:space="0" w:color="auto"/>
              <w:bottom w:val="single" w:sz="2" w:space="0" w:color="auto"/>
              <w:right w:val="single" w:sz="2" w:space="0" w:color="auto"/>
            </w:tcBorders>
            <w:vAlign w:val="center"/>
          </w:tcPr>
          <w:p w14:paraId="16894F0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7,020,459.89</w:t>
            </w:r>
          </w:p>
        </w:tc>
      </w:tr>
      <w:tr w:rsidR="00F73301" w:rsidRPr="00F73301" w14:paraId="4F9864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60BD08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Advances paid</w:t>
            </w:r>
          </w:p>
        </w:tc>
        <w:tc>
          <w:tcPr>
            <w:tcW w:w="3213" w:type="dxa"/>
            <w:tcBorders>
              <w:top w:val="single" w:sz="2" w:space="0" w:color="auto"/>
              <w:left w:val="single" w:sz="2" w:space="0" w:color="auto"/>
              <w:bottom w:val="single" w:sz="2" w:space="0" w:color="auto"/>
              <w:right w:val="single" w:sz="2" w:space="0" w:color="auto"/>
            </w:tcBorders>
            <w:vAlign w:val="center"/>
          </w:tcPr>
          <w:p w14:paraId="2E4C324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371,275,721.18</w:t>
            </w:r>
          </w:p>
        </w:tc>
        <w:tc>
          <w:tcPr>
            <w:tcW w:w="3213" w:type="dxa"/>
            <w:tcBorders>
              <w:top w:val="single" w:sz="2" w:space="0" w:color="auto"/>
              <w:left w:val="single" w:sz="2" w:space="0" w:color="auto"/>
              <w:bottom w:val="single" w:sz="2" w:space="0" w:color="auto"/>
              <w:right w:val="single" w:sz="2" w:space="0" w:color="auto"/>
            </w:tcBorders>
            <w:vAlign w:val="center"/>
          </w:tcPr>
          <w:p w14:paraId="3C316FB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371,275,721.18</w:t>
            </w:r>
          </w:p>
        </w:tc>
      </w:tr>
      <w:tr w:rsidR="00F73301" w:rsidRPr="00F73301" w14:paraId="268C25D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44132A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74405A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143,140.70</w:t>
            </w:r>
          </w:p>
        </w:tc>
        <w:tc>
          <w:tcPr>
            <w:tcW w:w="3213" w:type="dxa"/>
            <w:tcBorders>
              <w:top w:val="single" w:sz="2" w:space="0" w:color="auto"/>
              <w:left w:val="single" w:sz="2" w:space="0" w:color="auto"/>
              <w:bottom w:val="single" w:sz="2" w:space="0" w:color="auto"/>
              <w:right w:val="single" w:sz="2" w:space="0" w:color="auto"/>
            </w:tcBorders>
            <w:vAlign w:val="center"/>
          </w:tcPr>
          <w:p w14:paraId="63DCBE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143,140.70</w:t>
            </w:r>
          </w:p>
        </w:tc>
      </w:tr>
      <w:tr w:rsidR="00F73301" w:rsidRPr="00F73301" w14:paraId="157A5B7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6994F3B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Construction in progress</w:t>
            </w:r>
          </w:p>
        </w:tc>
        <w:tc>
          <w:tcPr>
            <w:tcW w:w="3213" w:type="dxa"/>
            <w:tcBorders>
              <w:top w:val="single" w:sz="2" w:space="0" w:color="auto"/>
              <w:left w:val="single" w:sz="2" w:space="0" w:color="auto"/>
              <w:bottom w:val="single" w:sz="2" w:space="0" w:color="auto"/>
              <w:right w:val="single" w:sz="2" w:space="0" w:color="auto"/>
            </w:tcBorders>
            <w:vAlign w:val="center"/>
          </w:tcPr>
          <w:p w14:paraId="12566CF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104,244,382.04</w:t>
            </w:r>
          </w:p>
        </w:tc>
        <w:tc>
          <w:tcPr>
            <w:tcW w:w="3213" w:type="dxa"/>
            <w:tcBorders>
              <w:top w:val="single" w:sz="2" w:space="0" w:color="auto"/>
              <w:left w:val="single" w:sz="2" w:space="0" w:color="auto"/>
              <w:bottom w:val="single" w:sz="2" w:space="0" w:color="auto"/>
              <w:right w:val="single" w:sz="2" w:space="0" w:color="auto"/>
            </w:tcBorders>
            <w:vAlign w:val="center"/>
          </w:tcPr>
          <w:p w14:paraId="189E8C5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104,244,382.04</w:t>
            </w:r>
          </w:p>
        </w:tc>
      </w:tr>
      <w:tr w:rsidR="00F73301" w:rsidRPr="00F73301" w14:paraId="59AF328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214B69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Right-of-use assets</w:t>
            </w:r>
          </w:p>
        </w:tc>
        <w:tc>
          <w:tcPr>
            <w:tcW w:w="3213" w:type="dxa"/>
            <w:tcBorders>
              <w:top w:val="single" w:sz="2" w:space="0" w:color="auto"/>
              <w:left w:val="single" w:sz="2" w:space="0" w:color="auto"/>
              <w:bottom w:val="single" w:sz="2" w:space="0" w:color="auto"/>
              <w:right w:val="single" w:sz="2" w:space="0" w:color="auto"/>
            </w:tcBorders>
            <w:vAlign w:val="center"/>
          </w:tcPr>
          <w:p w14:paraId="3FAE3D3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99,565,236.07</w:t>
            </w:r>
          </w:p>
        </w:tc>
        <w:tc>
          <w:tcPr>
            <w:tcW w:w="3213" w:type="dxa"/>
            <w:tcBorders>
              <w:top w:val="single" w:sz="2" w:space="0" w:color="auto"/>
              <w:left w:val="single" w:sz="2" w:space="0" w:color="auto"/>
              <w:bottom w:val="single" w:sz="2" w:space="0" w:color="auto"/>
              <w:right w:val="single" w:sz="2" w:space="0" w:color="auto"/>
            </w:tcBorders>
            <w:vAlign w:val="center"/>
          </w:tcPr>
          <w:p w14:paraId="1A701A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99,565,236.07</w:t>
            </w:r>
          </w:p>
        </w:tc>
      </w:tr>
      <w:tr w:rsidR="00F73301" w:rsidRPr="00F73301" w14:paraId="6A51E4F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132445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prepayments</w:t>
            </w:r>
          </w:p>
        </w:tc>
        <w:tc>
          <w:tcPr>
            <w:tcW w:w="3213" w:type="dxa"/>
            <w:tcBorders>
              <w:top w:val="single" w:sz="2" w:space="0" w:color="auto"/>
              <w:left w:val="single" w:sz="2" w:space="0" w:color="auto"/>
              <w:bottom w:val="single" w:sz="2" w:space="0" w:color="auto"/>
              <w:right w:val="single" w:sz="2" w:space="0" w:color="auto"/>
            </w:tcBorders>
            <w:vAlign w:val="center"/>
          </w:tcPr>
          <w:p w14:paraId="70750C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21,885,600.48</w:t>
            </w:r>
          </w:p>
        </w:tc>
        <w:tc>
          <w:tcPr>
            <w:tcW w:w="3213" w:type="dxa"/>
            <w:tcBorders>
              <w:top w:val="single" w:sz="2" w:space="0" w:color="auto"/>
              <w:left w:val="single" w:sz="2" w:space="0" w:color="auto"/>
              <w:bottom w:val="single" w:sz="2" w:space="0" w:color="auto"/>
              <w:right w:val="single" w:sz="2" w:space="0" w:color="auto"/>
            </w:tcBorders>
            <w:vAlign w:val="center"/>
          </w:tcPr>
          <w:p w14:paraId="5566F85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21,885,600.48</w:t>
            </w:r>
          </w:p>
        </w:tc>
      </w:tr>
      <w:tr w:rsidR="00F73301" w:rsidRPr="00F73301" w14:paraId="7C31121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C9BCE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70600C2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C0380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013AB0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8F0D9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Borrowings</w:t>
            </w:r>
          </w:p>
        </w:tc>
        <w:tc>
          <w:tcPr>
            <w:tcW w:w="3213" w:type="dxa"/>
            <w:tcBorders>
              <w:top w:val="single" w:sz="2" w:space="0" w:color="auto"/>
              <w:left w:val="single" w:sz="2" w:space="0" w:color="auto"/>
              <w:bottom w:val="single" w:sz="2" w:space="0" w:color="auto"/>
              <w:right w:val="single" w:sz="2" w:space="0" w:color="auto"/>
            </w:tcBorders>
            <w:vAlign w:val="center"/>
          </w:tcPr>
          <w:p w14:paraId="680A08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130,000,000.00</w:t>
            </w:r>
          </w:p>
        </w:tc>
        <w:tc>
          <w:tcPr>
            <w:tcW w:w="3213" w:type="dxa"/>
            <w:tcBorders>
              <w:top w:val="single" w:sz="2" w:space="0" w:color="auto"/>
              <w:left w:val="single" w:sz="2" w:space="0" w:color="auto"/>
              <w:bottom w:val="single" w:sz="2" w:space="0" w:color="auto"/>
              <w:right w:val="single" w:sz="2" w:space="0" w:color="auto"/>
            </w:tcBorders>
            <w:vAlign w:val="center"/>
          </w:tcPr>
          <w:p w14:paraId="63E9169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130,000,000.00</w:t>
            </w:r>
          </w:p>
        </w:tc>
      </w:tr>
      <w:tr w:rsidR="00F73301" w:rsidRPr="00F73301" w14:paraId="7C41028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94995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payable</w:t>
            </w:r>
          </w:p>
        </w:tc>
        <w:tc>
          <w:tcPr>
            <w:tcW w:w="3213" w:type="dxa"/>
            <w:tcBorders>
              <w:top w:val="single" w:sz="2" w:space="0" w:color="auto"/>
              <w:left w:val="single" w:sz="2" w:space="0" w:color="auto"/>
              <w:bottom w:val="single" w:sz="2" w:space="0" w:color="auto"/>
              <w:right w:val="single" w:sz="2" w:space="0" w:color="auto"/>
            </w:tcBorders>
            <w:vAlign w:val="center"/>
          </w:tcPr>
          <w:p w14:paraId="18CB4CC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132,793,154.39</w:t>
            </w:r>
          </w:p>
        </w:tc>
        <w:tc>
          <w:tcPr>
            <w:tcW w:w="3213" w:type="dxa"/>
            <w:tcBorders>
              <w:top w:val="single" w:sz="2" w:space="0" w:color="auto"/>
              <w:left w:val="single" w:sz="2" w:space="0" w:color="auto"/>
              <w:bottom w:val="single" w:sz="2" w:space="0" w:color="auto"/>
              <w:right w:val="single" w:sz="2" w:space="0" w:color="auto"/>
            </w:tcBorders>
            <w:vAlign w:val="center"/>
          </w:tcPr>
          <w:p w14:paraId="4A4CB8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132,793,154.39</w:t>
            </w:r>
          </w:p>
        </w:tc>
      </w:tr>
      <w:tr w:rsidR="00F73301" w:rsidRPr="00F73301" w14:paraId="20C748D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0BE22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Deferred tax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13F06AB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3A687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6B75B9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1843551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Notes payable</w:t>
            </w:r>
          </w:p>
        </w:tc>
        <w:tc>
          <w:tcPr>
            <w:tcW w:w="3213" w:type="dxa"/>
            <w:tcBorders>
              <w:top w:val="single" w:sz="2" w:space="0" w:color="auto"/>
              <w:left w:val="single" w:sz="2" w:space="0" w:color="auto"/>
              <w:bottom w:val="single" w:sz="2" w:space="0" w:color="auto"/>
              <w:right w:val="single" w:sz="2" w:space="0" w:color="auto"/>
            </w:tcBorders>
            <w:vAlign w:val="center"/>
          </w:tcPr>
          <w:p w14:paraId="6A2481D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50,273,429.75</w:t>
            </w:r>
          </w:p>
        </w:tc>
        <w:tc>
          <w:tcPr>
            <w:tcW w:w="3213" w:type="dxa"/>
            <w:tcBorders>
              <w:top w:val="single" w:sz="2" w:space="0" w:color="auto"/>
              <w:left w:val="single" w:sz="2" w:space="0" w:color="auto"/>
              <w:bottom w:val="single" w:sz="2" w:space="0" w:color="auto"/>
              <w:right w:val="single" w:sz="2" w:space="0" w:color="auto"/>
            </w:tcBorders>
            <w:vAlign w:val="center"/>
          </w:tcPr>
          <w:p w14:paraId="1596D6B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50,273,429.75</w:t>
            </w:r>
          </w:p>
        </w:tc>
      </w:tr>
      <w:tr w:rsidR="00F73301" w:rsidRPr="00F73301" w14:paraId="0AA640A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34132B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Contract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0742F97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691,710.00</w:t>
            </w:r>
          </w:p>
        </w:tc>
        <w:tc>
          <w:tcPr>
            <w:tcW w:w="3213" w:type="dxa"/>
            <w:tcBorders>
              <w:top w:val="single" w:sz="2" w:space="0" w:color="auto"/>
              <w:left w:val="single" w:sz="2" w:space="0" w:color="auto"/>
              <w:bottom w:val="single" w:sz="2" w:space="0" w:color="auto"/>
              <w:right w:val="single" w:sz="2" w:space="0" w:color="auto"/>
            </w:tcBorders>
            <w:vAlign w:val="center"/>
          </w:tcPr>
          <w:p w14:paraId="2F69D89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691,710.00</w:t>
            </w:r>
          </w:p>
        </w:tc>
      </w:tr>
      <w:tr w:rsidR="00F73301" w:rsidRPr="00F73301" w14:paraId="58B72B4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70B9B9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Employee benefits payable</w:t>
            </w:r>
          </w:p>
        </w:tc>
        <w:tc>
          <w:tcPr>
            <w:tcW w:w="3213" w:type="dxa"/>
            <w:tcBorders>
              <w:top w:val="single" w:sz="2" w:space="0" w:color="auto"/>
              <w:left w:val="single" w:sz="2" w:space="0" w:color="auto"/>
              <w:bottom w:val="single" w:sz="2" w:space="0" w:color="auto"/>
              <w:right w:val="single" w:sz="2" w:space="0" w:color="auto"/>
            </w:tcBorders>
            <w:vAlign w:val="center"/>
          </w:tcPr>
          <w:p w14:paraId="035DB8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6,345,040.89</w:t>
            </w:r>
          </w:p>
        </w:tc>
        <w:tc>
          <w:tcPr>
            <w:tcW w:w="3213" w:type="dxa"/>
            <w:tcBorders>
              <w:top w:val="single" w:sz="2" w:space="0" w:color="auto"/>
              <w:left w:val="single" w:sz="2" w:space="0" w:color="auto"/>
              <w:bottom w:val="single" w:sz="2" w:space="0" w:color="auto"/>
              <w:right w:val="single" w:sz="2" w:space="0" w:color="auto"/>
            </w:tcBorders>
            <w:vAlign w:val="center"/>
          </w:tcPr>
          <w:p w14:paraId="3D78A74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6,345,040.89</w:t>
            </w:r>
          </w:p>
        </w:tc>
      </w:tr>
      <w:tr w:rsidR="00F73301" w:rsidRPr="00F73301" w14:paraId="4D7CC6B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604621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Taxes and rates payable</w:t>
            </w:r>
          </w:p>
        </w:tc>
        <w:tc>
          <w:tcPr>
            <w:tcW w:w="3213" w:type="dxa"/>
            <w:tcBorders>
              <w:top w:val="single" w:sz="2" w:space="0" w:color="auto"/>
              <w:left w:val="single" w:sz="2" w:space="0" w:color="auto"/>
              <w:bottom w:val="single" w:sz="2" w:space="0" w:color="auto"/>
              <w:right w:val="single" w:sz="2" w:space="0" w:color="auto"/>
            </w:tcBorders>
            <w:vAlign w:val="center"/>
          </w:tcPr>
          <w:p w14:paraId="7133EC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-2,268,705.93</w:t>
            </w:r>
          </w:p>
        </w:tc>
        <w:tc>
          <w:tcPr>
            <w:tcW w:w="3213" w:type="dxa"/>
            <w:tcBorders>
              <w:top w:val="single" w:sz="2" w:space="0" w:color="auto"/>
              <w:left w:val="single" w:sz="2" w:space="0" w:color="auto"/>
              <w:bottom w:val="single" w:sz="2" w:space="0" w:color="auto"/>
              <w:right w:val="single" w:sz="2" w:space="0" w:color="auto"/>
            </w:tcBorders>
            <w:vAlign w:val="center"/>
          </w:tcPr>
          <w:p w14:paraId="700A12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-2,268,705.93</w:t>
            </w:r>
          </w:p>
        </w:tc>
      </w:tr>
      <w:tr w:rsidR="00F73301" w:rsidRPr="00F73301" w14:paraId="312C009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6E0BC1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payables</w:t>
            </w:r>
          </w:p>
        </w:tc>
        <w:tc>
          <w:tcPr>
            <w:tcW w:w="3213" w:type="dxa"/>
            <w:tcBorders>
              <w:top w:val="single" w:sz="2" w:space="0" w:color="auto"/>
              <w:left w:val="single" w:sz="2" w:space="0" w:color="auto"/>
              <w:bottom w:val="single" w:sz="2" w:space="0" w:color="auto"/>
              <w:right w:val="single" w:sz="2" w:space="0" w:color="auto"/>
            </w:tcBorders>
            <w:vAlign w:val="center"/>
          </w:tcPr>
          <w:p w14:paraId="369C95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2,653,592.16</w:t>
            </w:r>
          </w:p>
        </w:tc>
        <w:tc>
          <w:tcPr>
            <w:tcW w:w="3213" w:type="dxa"/>
            <w:tcBorders>
              <w:top w:val="single" w:sz="2" w:space="0" w:color="auto"/>
              <w:left w:val="single" w:sz="2" w:space="0" w:color="auto"/>
              <w:bottom w:val="single" w:sz="2" w:space="0" w:color="auto"/>
              <w:right w:val="single" w:sz="2" w:space="0" w:color="auto"/>
            </w:tcBorders>
            <w:vAlign w:val="center"/>
          </w:tcPr>
          <w:p w14:paraId="3011AD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2,653,592.16</w:t>
            </w:r>
          </w:p>
        </w:tc>
      </w:tr>
      <w:tr w:rsidR="00F73301" w:rsidRPr="00F73301" w14:paraId="706DCD4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0206C4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Long-term borrowings</w:t>
            </w:r>
          </w:p>
        </w:tc>
        <w:tc>
          <w:tcPr>
            <w:tcW w:w="3213" w:type="dxa"/>
            <w:tcBorders>
              <w:top w:val="single" w:sz="2" w:space="0" w:color="auto"/>
              <w:left w:val="single" w:sz="2" w:space="0" w:color="auto"/>
              <w:bottom w:val="single" w:sz="2" w:space="0" w:color="auto"/>
              <w:right w:val="single" w:sz="2" w:space="0" w:color="auto"/>
            </w:tcBorders>
            <w:vAlign w:val="center"/>
          </w:tcPr>
          <w:p w14:paraId="76E62F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50,000,000.00</w:t>
            </w:r>
          </w:p>
        </w:tc>
        <w:tc>
          <w:tcPr>
            <w:tcW w:w="3213" w:type="dxa"/>
            <w:tcBorders>
              <w:top w:val="single" w:sz="2" w:space="0" w:color="auto"/>
              <w:left w:val="single" w:sz="2" w:space="0" w:color="auto"/>
              <w:bottom w:val="single" w:sz="2" w:space="0" w:color="auto"/>
              <w:right w:val="single" w:sz="2" w:space="0" w:color="auto"/>
            </w:tcBorders>
            <w:vAlign w:val="center"/>
          </w:tcPr>
          <w:p w14:paraId="77B4DC2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50,000,000.00</w:t>
            </w:r>
          </w:p>
        </w:tc>
      </w:tr>
      <w:tr w:rsidR="00F73301" w:rsidRPr="00F73301" w14:paraId="2CA1046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F682CC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Lease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1A8A930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108,850,887.01</w:t>
            </w:r>
          </w:p>
        </w:tc>
        <w:tc>
          <w:tcPr>
            <w:tcW w:w="3213" w:type="dxa"/>
            <w:tcBorders>
              <w:top w:val="single" w:sz="2" w:space="0" w:color="auto"/>
              <w:left w:val="single" w:sz="2" w:space="0" w:color="auto"/>
              <w:bottom w:val="single" w:sz="2" w:space="0" w:color="auto"/>
              <w:right w:val="single" w:sz="2" w:space="0" w:color="auto"/>
            </w:tcBorders>
            <w:vAlign w:val="center"/>
          </w:tcPr>
          <w:p w14:paraId="513656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108,850,887.01</w:t>
            </w:r>
          </w:p>
        </w:tc>
      </w:tr>
      <w:tr w:rsidR="00F73301" w:rsidRPr="00F73301" w14:paraId="48C7680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32BB1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assets</w:t>
            </w:r>
          </w:p>
        </w:tc>
        <w:tc>
          <w:tcPr>
            <w:tcW w:w="3213" w:type="dxa"/>
            <w:tcBorders>
              <w:top w:val="single" w:sz="2" w:space="0" w:color="auto"/>
              <w:left w:val="single" w:sz="2" w:space="0" w:color="auto"/>
              <w:bottom w:val="single" w:sz="2" w:space="0" w:color="auto"/>
              <w:right w:val="single" w:sz="2" w:space="0" w:color="auto"/>
            </w:tcBorders>
            <w:vAlign w:val="center"/>
          </w:tcPr>
          <w:p w14:paraId="0D4002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762,131,245.59</w:t>
            </w:r>
          </w:p>
        </w:tc>
        <w:tc>
          <w:tcPr>
            <w:tcW w:w="3213" w:type="dxa"/>
            <w:tcBorders>
              <w:top w:val="single" w:sz="2" w:space="0" w:color="auto"/>
              <w:left w:val="single" w:sz="2" w:space="0" w:color="auto"/>
              <w:bottom w:val="single" w:sz="2" w:space="0" w:color="auto"/>
              <w:right w:val="single" w:sz="2" w:space="0" w:color="auto"/>
            </w:tcBorders>
            <w:vAlign w:val="center"/>
          </w:tcPr>
          <w:p w14:paraId="6BA8E0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728,565,599.56</w:t>
            </w:r>
          </w:p>
        </w:tc>
      </w:tr>
      <w:tr w:rsidR="00F73301" w:rsidRPr="00F73301" w14:paraId="5406CB4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EDF9F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Less: Minority interest</w:t>
            </w:r>
          </w:p>
        </w:tc>
        <w:tc>
          <w:tcPr>
            <w:tcW w:w="3213" w:type="dxa"/>
            <w:tcBorders>
              <w:top w:val="single" w:sz="2" w:space="0" w:color="auto"/>
              <w:left w:val="single" w:sz="2" w:space="0" w:color="auto"/>
              <w:bottom w:val="single" w:sz="2" w:space="0" w:color="auto"/>
              <w:right w:val="single" w:sz="2" w:space="0" w:color="auto"/>
            </w:tcBorders>
            <w:vAlign w:val="center"/>
          </w:tcPr>
          <w:p w14:paraId="589AEEB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228,639,373.68</w:t>
            </w:r>
          </w:p>
        </w:tc>
        <w:tc>
          <w:tcPr>
            <w:tcW w:w="3213" w:type="dxa"/>
            <w:tcBorders>
              <w:top w:val="single" w:sz="2" w:space="0" w:color="auto"/>
              <w:left w:val="single" w:sz="2" w:space="0" w:color="auto"/>
              <w:bottom w:val="single" w:sz="2" w:space="0" w:color="auto"/>
              <w:right w:val="single" w:sz="2" w:space="0" w:color="auto"/>
            </w:tcBorders>
            <w:vAlign w:val="center"/>
          </w:tcPr>
          <w:p w14:paraId="4AC3C91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218,569,679.87</w:t>
            </w:r>
          </w:p>
        </w:tc>
      </w:tr>
      <w:tr w:rsidR="00F73301" w:rsidRPr="00F73301" w14:paraId="60E22A9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B04A2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assets acquired</w:t>
            </w:r>
          </w:p>
        </w:tc>
        <w:tc>
          <w:tcPr>
            <w:tcW w:w="3213" w:type="dxa"/>
            <w:tcBorders>
              <w:top w:val="single" w:sz="2" w:space="0" w:color="auto"/>
              <w:left w:val="single" w:sz="2" w:space="0" w:color="auto"/>
              <w:bottom w:val="single" w:sz="2" w:space="0" w:color="auto"/>
              <w:right w:val="single" w:sz="2" w:space="0" w:color="auto"/>
            </w:tcBorders>
            <w:vAlign w:val="center"/>
          </w:tcPr>
          <w:p w14:paraId="3D1A07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533,491,871.91</w:t>
            </w:r>
          </w:p>
        </w:tc>
        <w:tc>
          <w:tcPr>
            <w:tcW w:w="3213" w:type="dxa"/>
            <w:tcBorders>
              <w:top w:val="single" w:sz="2" w:space="0" w:color="auto"/>
              <w:left w:val="single" w:sz="2" w:space="0" w:color="auto"/>
              <w:bottom w:val="single" w:sz="2" w:space="0" w:color="auto"/>
              <w:right w:val="single" w:sz="2" w:space="0" w:color="auto"/>
            </w:tcBorders>
            <w:vAlign w:val="center"/>
          </w:tcPr>
          <w:p w14:paraId="2A8C3B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509,995,919.69</w:t>
            </w:r>
          </w:p>
        </w:tc>
      </w:tr>
    </w:tbl>
    <w:p w14:paraId="5F8996E2"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determination method of the fair value of identifiable assets and liabilities:</w:t>
      </w:r>
    </w:p>
    <w:p w14:paraId="3C6E51BD"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F42A03D"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Contingent liability of acquiree undertaken in the business combination:</w:t>
      </w:r>
    </w:p>
    <w:p w14:paraId="6A0A4988"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7B3CC89"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37BA6D5A"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601D769"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97" w:name="_Toc989185"/>
      <w:r w:rsidRPr="00F73301">
        <w:rPr>
          <w:rFonts w:ascii="Times New Roman" w:eastAsia="宋体" w:hAnsi="Times New Roman" w:cs="Times New Roman"/>
          <w:b/>
          <w:bCs/>
          <w:sz w:val="24"/>
          <w:szCs w:val="24"/>
        </w:rPr>
        <w:t>(4) Gains or losses from re-measurement of equity held before the purchase date at fair value</w:t>
      </w:r>
      <w:bookmarkEnd w:id="297"/>
    </w:p>
    <w:p w14:paraId="0FB19616"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Whether there is a transaction that through multiple transaction step by step to realize business combination and gaining the control during the Reporting Period</w:t>
      </w:r>
    </w:p>
    <w:p w14:paraId="2AD793A6"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sym w:font="Wingdings 2" w:char="F052"/>
      </w:r>
      <w:r w:rsidRPr="00F73301">
        <w:rPr>
          <w:rFonts w:ascii="Times New Roman" w:eastAsia="宋体" w:hAnsi="Times New Roman" w:cs="Times New Roman"/>
          <w:sz w:val="24"/>
          <w:szCs w:val="24"/>
        </w:rPr>
        <w:t>Yes    □ No</w:t>
      </w:r>
    </w:p>
    <w:p w14:paraId="2B480FF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038FA10E"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69A17B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Acquirees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8D2AF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 of equity held before the purchase date on the purchase date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2B60AE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Fair value of equity held before the purchase date on the purchase date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CCC996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Gains or losses from re-measurement of equity held before the purchase date at fair value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025F6B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Determination method and main assumptions for the fair value of equity held before the purchase date on the purchase date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B75717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transferred to investment income from other comprehensive income related to the equity held before the purchase date</w:t>
            </w:r>
          </w:p>
        </w:tc>
      </w:tr>
      <w:tr w:rsidR="00F73301" w:rsidRPr="00F73301" w14:paraId="26CF6DE3"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382244FE" w14:textId="1FD9F062" w:rsidR="00F73301" w:rsidRPr="00F73301" w:rsidRDefault="00F73301" w:rsidP="00977AE2">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00977AE2">
              <w:rPr>
                <w:rFonts w:ascii="Times New Roman" w:eastAsia="宋体" w:hAnsi="Times New Roman" w:cs="Times New Roman"/>
                <w:sz w:val="18"/>
                <w:szCs w:val="18"/>
              </w:rPr>
              <w:t>Jiec</w:t>
            </w:r>
            <w:r w:rsidRPr="00F73301">
              <w:rPr>
                <w:rFonts w:ascii="Times New Roman" w:eastAsia="宋体" w:hAnsi="Times New Roman" w:cs="Times New Roman"/>
                <w:sz w:val="18"/>
                <w:szCs w:val="18"/>
              </w:rPr>
              <w:t>huwei</w:t>
            </w:r>
            <w:proofErr w:type="spellEnd"/>
            <w:r w:rsidRPr="00F73301">
              <w:rPr>
                <w:rFonts w:ascii="Times New Roman" w:eastAsia="宋体" w:hAnsi="Times New Roman" w:cs="Times New Roman"/>
                <w:sz w:val="18"/>
                <w:szCs w:val="18"/>
              </w:rPr>
              <w:t xml:space="preserve"> Semiconductor Technology Co., Ltd.</w:t>
            </w:r>
          </w:p>
        </w:tc>
        <w:tc>
          <w:tcPr>
            <w:tcW w:w="1606" w:type="dxa"/>
            <w:tcBorders>
              <w:top w:val="single" w:sz="2" w:space="0" w:color="auto"/>
              <w:left w:val="single" w:sz="2" w:space="0" w:color="auto"/>
              <w:bottom w:val="single" w:sz="2" w:space="0" w:color="auto"/>
              <w:right w:val="single" w:sz="2" w:space="0" w:color="auto"/>
            </w:tcBorders>
            <w:vAlign w:val="center"/>
          </w:tcPr>
          <w:p w14:paraId="15BD92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668,760,000.00</w:t>
            </w:r>
          </w:p>
        </w:tc>
        <w:tc>
          <w:tcPr>
            <w:tcW w:w="1606" w:type="dxa"/>
            <w:tcBorders>
              <w:top w:val="single" w:sz="2" w:space="0" w:color="auto"/>
              <w:left w:val="single" w:sz="2" w:space="0" w:color="auto"/>
              <w:bottom w:val="single" w:sz="2" w:space="0" w:color="auto"/>
              <w:right w:val="single" w:sz="2" w:space="0" w:color="auto"/>
            </w:tcBorders>
            <w:vAlign w:val="center"/>
          </w:tcPr>
          <w:p w14:paraId="24B8639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674,488,869.78</w:t>
            </w:r>
          </w:p>
        </w:tc>
        <w:tc>
          <w:tcPr>
            <w:tcW w:w="1606" w:type="dxa"/>
            <w:tcBorders>
              <w:top w:val="single" w:sz="2" w:space="0" w:color="auto"/>
              <w:left w:val="single" w:sz="2" w:space="0" w:color="auto"/>
              <w:bottom w:val="single" w:sz="2" w:space="0" w:color="auto"/>
              <w:right w:val="single" w:sz="2" w:space="0" w:color="auto"/>
            </w:tcBorders>
            <w:vAlign w:val="center"/>
          </w:tcPr>
          <w:p w14:paraId="50D20F0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5,728,869.78</w:t>
            </w:r>
          </w:p>
        </w:tc>
        <w:tc>
          <w:tcPr>
            <w:tcW w:w="1606" w:type="dxa"/>
            <w:tcBorders>
              <w:top w:val="single" w:sz="2" w:space="0" w:color="auto"/>
              <w:left w:val="single" w:sz="2" w:space="0" w:color="auto"/>
              <w:bottom w:val="single" w:sz="2" w:space="0" w:color="auto"/>
              <w:right w:val="single" w:sz="2" w:space="0" w:color="auto"/>
            </w:tcBorders>
            <w:vAlign w:val="center"/>
          </w:tcPr>
          <w:p w14:paraId="2597FBC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Income method; transaction assumption, open market assumption, going concern assumption and special assumption</w:t>
            </w:r>
          </w:p>
        </w:tc>
        <w:tc>
          <w:tcPr>
            <w:tcW w:w="1606" w:type="dxa"/>
            <w:tcBorders>
              <w:top w:val="single" w:sz="2" w:space="0" w:color="auto"/>
              <w:left w:val="single" w:sz="2" w:space="0" w:color="auto"/>
              <w:bottom w:val="single" w:sz="2" w:space="0" w:color="auto"/>
              <w:right w:val="single" w:sz="2" w:space="0" w:color="auto"/>
            </w:tcBorders>
            <w:vAlign w:val="center"/>
          </w:tcPr>
          <w:p w14:paraId="52A1DE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0.00</w:t>
            </w:r>
          </w:p>
        </w:tc>
      </w:tr>
    </w:tbl>
    <w:p w14:paraId="7EB771E8"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5E99C651"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4C5A0723"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98" w:name="_Toc989186"/>
      <w:r w:rsidRPr="00F73301">
        <w:rPr>
          <w:rFonts w:ascii="Times New Roman" w:eastAsia="宋体" w:hAnsi="Times New Roman" w:cs="Times New Roman"/>
          <w:b/>
          <w:bCs/>
          <w:sz w:val="24"/>
          <w:szCs w:val="24"/>
        </w:rPr>
        <w:t>(5) Notes to reasonable consideration or fair value of identifiable assets and liabilities of the acquiree that cannot be determined on the acquisition date or during the period-end of the merger</w:t>
      </w:r>
      <w:bookmarkEnd w:id="298"/>
    </w:p>
    <w:p w14:paraId="34D0B144"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452D5897"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299" w:name="_Toc989187"/>
      <w:r w:rsidRPr="00F73301">
        <w:rPr>
          <w:rFonts w:ascii="Times New Roman" w:eastAsia="宋体" w:hAnsi="Times New Roman" w:cs="Times New Roman"/>
          <w:b/>
          <w:bCs/>
          <w:sz w:val="24"/>
          <w:szCs w:val="24"/>
        </w:rPr>
        <w:t>(6) Other notes</w:t>
      </w:r>
      <w:bookmarkEnd w:id="299"/>
    </w:p>
    <w:p w14:paraId="77AC7F5B"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F9EB27B"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300" w:name="_Toc989188"/>
      <w:r w:rsidRPr="00F73301">
        <w:rPr>
          <w:rFonts w:ascii="Times New Roman" w:eastAsia="宋体" w:hAnsi="Times New Roman" w:cs="Times New Roman"/>
          <w:b/>
          <w:bCs/>
          <w:sz w:val="24"/>
          <w:szCs w:val="24"/>
        </w:rPr>
        <w:t>2. Business combination under the same control</w:t>
      </w:r>
      <w:bookmarkEnd w:id="300"/>
    </w:p>
    <w:p w14:paraId="7631EC3A"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01" w:name="_Toc989189"/>
      <w:r w:rsidRPr="00F73301">
        <w:rPr>
          <w:rFonts w:ascii="Times New Roman" w:eastAsia="宋体" w:hAnsi="Times New Roman" w:cs="Times New Roman"/>
          <w:b/>
          <w:bCs/>
          <w:sz w:val="24"/>
          <w:szCs w:val="24"/>
        </w:rPr>
        <w:t>(1) Business combination under the same control during the current period</w:t>
      </w:r>
      <w:bookmarkEnd w:id="301"/>
    </w:p>
    <w:p w14:paraId="74405B3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1071"/>
        <w:gridCol w:w="1071"/>
        <w:gridCol w:w="1071"/>
        <w:gridCol w:w="1071"/>
        <w:gridCol w:w="1071"/>
        <w:gridCol w:w="1071"/>
        <w:gridCol w:w="1071"/>
      </w:tblGrid>
      <w:tr w:rsidR="00F73301" w:rsidRPr="00F73301" w14:paraId="171742D2" w14:textId="77777777" w:rsidTr="0001208F">
        <w:trPr>
          <w:jc w:val="center"/>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3F8276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Combined party</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20D170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Proportion of the equity</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B3840C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Basis</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818F93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Combination date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11D894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Recognition basis of combination date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5290C0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Income from the period-begin to the combination date of the acquiree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2BFB6E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profits from the period-begin to the combination date of the acquiree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FD8522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Income of the acquiree during the period of comparison</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D539C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profits of the acquiree during the period of comparison</w:t>
            </w:r>
          </w:p>
        </w:tc>
      </w:tr>
    </w:tbl>
    <w:p w14:paraId="726B217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2F0C940"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A655412"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02" w:name="_Toc989190"/>
      <w:r w:rsidRPr="00F73301">
        <w:rPr>
          <w:rFonts w:ascii="Times New Roman" w:eastAsia="宋体" w:hAnsi="Times New Roman" w:cs="Times New Roman"/>
          <w:b/>
          <w:bCs/>
          <w:sz w:val="24"/>
          <w:szCs w:val="24"/>
        </w:rPr>
        <w:t>(2) Combination cost</w:t>
      </w:r>
      <w:bookmarkEnd w:id="302"/>
    </w:p>
    <w:p w14:paraId="5C571CB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54CF06F3"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4F6759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Combination costs</w:t>
            </w:r>
          </w:p>
        </w:tc>
        <w:tc>
          <w:tcPr>
            <w:tcW w:w="4820" w:type="dxa"/>
            <w:tcBorders>
              <w:top w:val="single" w:sz="2" w:space="0" w:color="auto"/>
              <w:left w:val="single" w:sz="2" w:space="0" w:color="auto"/>
              <w:bottom w:val="single" w:sz="2" w:space="0" w:color="auto"/>
              <w:right w:val="single" w:sz="2" w:space="0" w:color="auto"/>
            </w:tcBorders>
            <w:vAlign w:val="center"/>
          </w:tcPr>
          <w:p w14:paraId="4E0945FE" w14:textId="77777777" w:rsidR="00F73301" w:rsidRPr="00F73301" w:rsidRDefault="00F73301" w:rsidP="008C49B7">
            <w:pPr>
              <w:snapToGrid w:val="0"/>
              <w:jc w:val="center"/>
              <w:rPr>
                <w:rFonts w:ascii="Times New Roman" w:eastAsia="宋体" w:hAnsi="Times New Roman" w:cs="Times New Roman"/>
                <w:sz w:val="18"/>
                <w:szCs w:val="18"/>
              </w:rPr>
            </w:pPr>
          </w:p>
        </w:tc>
      </w:tr>
      <w:tr w:rsidR="00F73301" w:rsidRPr="00F73301" w14:paraId="10674B35"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54A84C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-Cash</w:t>
            </w:r>
          </w:p>
        </w:tc>
        <w:tc>
          <w:tcPr>
            <w:tcW w:w="4820" w:type="dxa"/>
            <w:tcBorders>
              <w:top w:val="single" w:sz="2" w:space="0" w:color="auto"/>
              <w:left w:val="single" w:sz="2" w:space="0" w:color="auto"/>
              <w:bottom w:val="single" w:sz="2" w:space="0" w:color="auto"/>
              <w:right w:val="single" w:sz="2" w:space="0" w:color="auto"/>
            </w:tcBorders>
            <w:vAlign w:val="center"/>
          </w:tcPr>
          <w:p w14:paraId="36D47A5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8F0B67C"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5BCE8A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 of non-cash assets</w:t>
            </w:r>
          </w:p>
        </w:tc>
        <w:tc>
          <w:tcPr>
            <w:tcW w:w="4820" w:type="dxa"/>
            <w:tcBorders>
              <w:top w:val="single" w:sz="2" w:space="0" w:color="auto"/>
              <w:left w:val="single" w:sz="2" w:space="0" w:color="auto"/>
              <w:bottom w:val="single" w:sz="2" w:space="0" w:color="auto"/>
              <w:right w:val="single" w:sz="2" w:space="0" w:color="auto"/>
            </w:tcBorders>
            <w:vAlign w:val="center"/>
          </w:tcPr>
          <w:p w14:paraId="1B37061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2EF5CF4"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59573A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 of debt issued or assumed</w:t>
            </w:r>
          </w:p>
        </w:tc>
        <w:tc>
          <w:tcPr>
            <w:tcW w:w="4820" w:type="dxa"/>
            <w:tcBorders>
              <w:top w:val="single" w:sz="2" w:space="0" w:color="auto"/>
              <w:left w:val="single" w:sz="2" w:space="0" w:color="auto"/>
              <w:bottom w:val="single" w:sz="2" w:space="0" w:color="auto"/>
              <w:right w:val="single" w:sz="2" w:space="0" w:color="auto"/>
            </w:tcBorders>
            <w:vAlign w:val="center"/>
          </w:tcPr>
          <w:p w14:paraId="4181FDB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2F203AF"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CDBFB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-Face value of equity securities issued</w:t>
            </w:r>
          </w:p>
        </w:tc>
        <w:tc>
          <w:tcPr>
            <w:tcW w:w="4820" w:type="dxa"/>
            <w:tcBorders>
              <w:top w:val="single" w:sz="2" w:space="0" w:color="auto"/>
              <w:left w:val="single" w:sz="2" w:space="0" w:color="auto"/>
              <w:bottom w:val="single" w:sz="2" w:space="0" w:color="auto"/>
              <w:right w:val="single" w:sz="2" w:space="0" w:color="auto"/>
            </w:tcBorders>
            <w:vAlign w:val="center"/>
          </w:tcPr>
          <w:p w14:paraId="274025A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5986565"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984465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-Contingent consideration</w:t>
            </w:r>
          </w:p>
        </w:tc>
        <w:tc>
          <w:tcPr>
            <w:tcW w:w="4820" w:type="dxa"/>
            <w:tcBorders>
              <w:top w:val="single" w:sz="2" w:space="0" w:color="auto"/>
              <w:left w:val="single" w:sz="2" w:space="0" w:color="auto"/>
              <w:bottom w:val="single" w:sz="2" w:space="0" w:color="auto"/>
              <w:right w:val="single" w:sz="2" w:space="0" w:color="auto"/>
            </w:tcBorders>
            <w:vAlign w:val="center"/>
          </w:tcPr>
          <w:p w14:paraId="628C25F0" w14:textId="77777777" w:rsidR="00F73301" w:rsidRPr="00F73301" w:rsidRDefault="00F73301" w:rsidP="008C49B7">
            <w:pPr>
              <w:snapToGrid w:val="0"/>
              <w:jc w:val="right"/>
              <w:rPr>
                <w:rFonts w:ascii="Times New Roman" w:eastAsia="宋体" w:hAnsi="Times New Roman" w:cs="Times New Roman"/>
                <w:sz w:val="18"/>
                <w:szCs w:val="18"/>
              </w:rPr>
            </w:pPr>
          </w:p>
        </w:tc>
      </w:tr>
    </w:tbl>
    <w:p w14:paraId="32769B2D"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Contingent liabilities and changes thereof:</w:t>
      </w:r>
    </w:p>
    <w:p w14:paraId="0B2BCBC4"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A34DD72"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49201D94"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701B9553"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03" w:name="_Toc989191"/>
      <w:r w:rsidRPr="00F73301">
        <w:rPr>
          <w:rFonts w:ascii="Times New Roman" w:eastAsia="宋体" w:hAnsi="Times New Roman" w:cs="Times New Roman"/>
          <w:b/>
          <w:bCs/>
          <w:sz w:val="24"/>
          <w:szCs w:val="24"/>
        </w:rPr>
        <w:t>(3) The carrying amount of assets and liabilities of the combined party on the combination date</w:t>
      </w:r>
      <w:bookmarkEnd w:id="303"/>
    </w:p>
    <w:p w14:paraId="6D3C73D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36C20440" w14:textId="77777777" w:rsidTr="0001208F">
        <w:trPr>
          <w:jc w:val="center"/>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3494C3" w14:textId="77777777" w:rsidR="00F73301" w:rsidRPr="00F73301" w:rsidRDefault="00F73301" w:rsidP="008C49B7">
            <w:pPr>
              <w:snapToGrid w:val="0"/>
              <w:rPr>
                <w:rFonts w:ascii="Times New Roman" w:eastAsia="等线" w:hAnsi="Times New Roman" w:cs="Times New Roman"/>
                <w:sz w:val="18"/>
                <w:szCs w:val="18"/>
              </w:rPr>
            </w:pP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533BC359" w14:textId="77777777" w:rsidR="00F73301" w:rsidRPr="00F73301" w:rsidRDefault="00F73301" w:rsidP="008C49B7">
            <w:pPr>
              <w:snapToGrid w:val="0"/>
              <w:jc w:val="center"/>
              <w:rPr>
                <w:rFonts w:ascii="Times New Roman" w:eastAsia="宋体" w:hAnsi="Times New Roman" w:cs="Times New Roman"/>
                <w:sz w:val="18"/>
                <w:szCs w:val="18"/>
              </w:rPr>
            </w:pPr>
          </w:p>
        </w:tc>
      </w:tr>
      <w:tr w:rsidR="00F73301" w:rsidRPr="00F73301" w14:paraId="7E9E0E4D" w14:textId="77777777" w:rsidTr="0001208F">
        <w:trPr>
          <w:jc w:val="center"/>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29D9B3"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9188A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Combination date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35878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End of the previous period</w:t>
            </w:r>
          </w:p>
        </w:tc>
      </w:tr>
      <w:tr w:rsidR="00F73301" w:rsidRPr="00F73301" w14:paraId="2876F67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97975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Assets:</w:t>
            </w:r>
          </w:p>
        </w:tc>
        <w:tc>
          <w:tcPr>
            <w:tcW w:w="3213" w:type="dxa"/>
            <w:tcBorders>
              <w:top w:val="single" w:sz="2" w:space="0" w:color="auto"/>
              <w:left w:val="single" w:sz="2" w:space="0" w:color="auto"/>
              <w:bottom w:val="single" w:sz="2" w:space="0" w:color="auto"/>
              <w:right w:val="single" w:sz="2" w:space="0" w:color="auto"/>
            </w:tcBorders>
            <w:vAlign w:val="center"/>
          </w:tcPr>
          <w:p w14:paraId="22957F5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4399F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E2C1F3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D9391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Cash and bank balances</w:t>
            </w:r>
          </w:p>
        </w:tc>
        <w:tc>
          <w:tcPr>
            <w:tcW w:w="3213" w:type="dxa"/>
            <w:tcBorders>
              <w:top w:val="single" w:sz="2" w:space="0" w:color="auto"/>
              <w:left w:val="single" w:sz="2" w:space="0" w:color="auto"/>
              <w:bottom w:val="single" w:sz="2" w:space="0" w:color="auto"/>
              <w:right w:val="single" w:sz="2" w:space="0" w:color="auto"/>
            </w:tcBorders>
            <w:vAlign w:val="center"/>
          </w:tcPr>
          <w:p w14:paraId="06704B1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FCED6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B0DE12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B5A36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6C4A388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68518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FC647F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832E9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Inventories</w:t>
            </w:r>
          </w:p>
        </w:tc>
        <w:tc>
          <w:tcPr>
            <w:tcW w:w="3213" w:type="dxa"/>
            <w:tcBorders>
              <w:top w:val="single" w:sz="2" w:space="0" w:color="auto"/>
              <w:left w:val="single" w:sz="2" w:space="0" w:color="auto"/>
              <w:bottom w:val="single" w:sz="2" w:space="0" w:color="auto"/>
              <w:right w:val="single" w:sz="2" w:space="0" w:color="auto"/>
            </w:tcBorders>
            <w:vAlign w:val="center"/>
          </w:tcPr>
          <w:p w14:paraId="099E609F"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ED75A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366CC4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C50FC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Fixed assets</w:t>
            </w:r>
          </w:p>
        </w:tc>
        <w:tc>
          <w:tcPr>
            <w:tcW w:w="3213" w:type="dxa"/>
            <w:tcBorders>
              <w:top w:val="single" w:sz="2" w:space="0" w:color="auto"/>
              <w:left w:val="single" w:sz="2" w:space="0" w:color="auto"/>
              <w:bottom w:val="single" w:sz="2" w:space="0" w:color="auto"/>
              <w:right w:val="single" w:sz="2" w:space="0" w:color="auto"/>
            </w:tcBorders>
            <w:vAlign w:val="center"/>
          </w:tcPr>
          <w:p w14:paraId="46FB0EC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73894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F4FBDB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B784F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Intangible assets</w:t>
            </w:r>
          </w:p>
        </w:tc>
        <w:tc>
          <w:tcPr>
            <w:tcW w:w="3213" w:type="dxa"/>
            <w:tcBorders>
              <w:top w:val="single" w:sz="2" w:space="0" w:color="auto"/>
              <w:left w:val="single" w:sz="2" w:space="0" w:color="auto"/>
              <w:bottom w:val="single" w:sz="2" w:space="0" w:color="auto"/>
              <w:right w:val="single" w:sz="2" w:space="0" w:color="auto"/>
            </w:tcBorders>
            <w:vAlign w:val="center"/>
          </w:tcPr>
          <w:p w14:paraId="2074514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5F7D1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F97173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12D0851" w14:textId="77777777" w:rsidR="00F73301" w:rsidRPr="00F73301" w:rsidRDefault="00F73301" w:rsidP="008C49B7">
            <w:pPr>
              <w:snapToGrid w:val="0"/>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A4DD2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C5C15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20949F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62BFC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6163CF2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0E8B7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857FE9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668A1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Borrowings</w:t>
            </w:r>
          </w:p>
        </w:tc>
        <w:tc>
          <w:tcPr>
            <w:tcW w:w="3213" w:type="dxa"/>
            <w:tcBorders>
              <w:top w:val="single" w:sz="2" w:space="0" w:color="auto"/>
              <w:left w:val="single" w:sz="2" w:space="0" w:color="auto"/>
              <w:bottom w:val="single" w:sz="2" w:space="0" w:color="auto"/>
              <w:right w:val="single" w:sz="2" w:space="0" w:color="auto"/>
            </w:tcBorders>
            <w:vAlign w:val="center"/>
          </w:tcPr>
          <w:p w14:paraId="6DCCE25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13BD7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CF6F4D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CF56A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payable</w:t>
            </w:r>
          </w:p>
        </w:tc>
        <w:tc>
          <w:tcPr>
            <w:tcW w:w="3213" w:type="dxa"/>
            <w:tcBorders>
              <w:top w:val="single" w:sz="2" w:space="0" w:color="auto"/>
              <w:left w:val="single" w:sz="2" w:space="0" w:color="auto"/>
              <w:bottom w:val="single" w:sz="2" w:space="0" w:color="auto"/>
              <w:right w:val="single" w:sz="2" w:space="0" w:color="auto"/>
            </w:tcBorders>
            <w:vAlign w:val="center"/>
          </w:tcPr>
          <w:p w14:paraId="273B1B8F"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9CF1D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2E38D2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91AA761" w14:textId="77777777" w:rsidR="00F73301" w:rsidRPr="00F73301" w:rsidRDefault="00F73301" w:rsidP="008C49B7">
            <w:pPr>
              <w:snapToGrid w:val="0"/>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94099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406EB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B3F9EE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AA55D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assets</w:t>
            </w:r>
          </w:p>
        </w:tc>
        <w:tc>
          <w:tcPr>
            <w:tcW w:w="3213" w:type="dxa"/>
            <w:tcBorders>
              <w:top w:val="single" w:sz="2" w:space="0" w:color="auto"/>
              <w:left w:val="single" w:sz="2" w:space="0" w:color="auto"/>
              <w:bottom w:val="single" w:sz="2" w:space="0" w:color="auto"/>
              <w:right w:val="single" w:sz="2" w:space="0" w:color="auto"/>
            </w:tcBorders>
            <w:vAlign w:val="center"/>
          </w:tcPr>
          <w:p w14:paraId="47AB5EE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63FF2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89130A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C0F9A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Less: Minority interest</w:t>
            </w:r>
          </w:p>
        </w:tc>
        <w:tc>
          <w:tcPr>
            <w:tcW w:w="3213" w:type="dxa"/>
            <w:tcBorders>
              <w:top w:val="single" w:sz="2" w:space="0" w:color="auto"/>
              <w:left w:val="single" w:sz="2" w:space="0" w:color="auto"/>
              <w:bottom w:val="single" w:sz="2" w:space="0" w:color="auto"/>
              <w:right w:val="single" w:sz="2" w:space="0" w:color="auto"/>
            </w:tcBorders>
            <w:vAlign w:val="center"/>
          </w:tcPr>
          <w:p w14:paraId="3036A322"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1D27E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31EA1F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05093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assets acquired</w:t>
            </w:r>
          </w:p>
        </w:tc>
        <w:tc>
          <w:tcPr>
            <w:tcW w:w="3213" w:type="dxa"/>
            <w:tcBorders>
              <w:top w:val="single" w:sz="2" w:space="0" w:color="auto"/>
              <w:left w:val="single" w:sz="2" w:space="0" w:color="auto"/>
              <w:bottom w:val="single" w:sz="2" w:space="0" w:color="auto"/>
              <w:right w:val="single" w:sz="2" w:space="0" w:color="auto"/>
            </w:tcBorders>
            <w:vAlign w:val="center"/>
          </w:tcPr>
          <w:p w14:paraId="4D3EFE1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A7596F" w14:textId="77777777" w:rsidR="00F73301" w:rsidRPr="00F73301" w:rsidRDefault="00F73301" w:rsidP="008C49B7">
            <w:pPr>
              <w:snapToGrid w:val="0"/>
              <w:jc w:val="right"/>
              <w:rPr>
                <w:rFonts w:ascii="Times New Roman" w:eastAsia="宋体" w:hAnsi="Times New Roman" w:cs="Times New Roman"/>
                <w:sz w:val="18"/>
                <w:szCs w:val="18"/>
              </w:rPr>
            </w:pPr>
          </w:p>
        </w:tc>
      </w:tr>
    </w:tbl>
    <w:p w14:paraId="69381B67"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Contingent liabilities of the combined party undertaken in the business combination:</w:t>
      </w:r>
    </w:p>
    <w:p w14:paraId="288031BC"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5900C1AD"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0D12F586"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2B61C9D5"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04" w:name="_Toc989192"/>
      <w:r w:rsidRPr="00F73301">
        <w:rPr>
          <w:rFonts w:ascii="Times New Roman" w:eastAsia="宋体" w:hAnsi="Times New Roman" w:cs="Times New Roman"/>
          <w:b/>
          <w:bCs/>
          <w:sz w:val="24"/>
          <w:szCs w:val="24"/>
        </w:rPr>
        <w:t>3. Counter purchase</w:t>
      </w:r>
      <w:bookmarkEnd w:id="304"/>
    </w:p>
    <w:p w14:paraId="6188B40A"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Basic information of trading and the basis of transactions constitute counter purchase; Whether the retain assets and liabilities of the listed companies constitute a business and its basis; The determination of the combination costs; The amount and calculation of adjusted rights and interests in accordance with the equity transaction process:</w:t>
      </w:r>
    </w:p>
    <w:p w14:paraId="546FBE4C"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5DE43B34"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05" w:name="_Toc989193"/>
      <w:r w:rsidRPr="00F73301">
        <w:rPr>
          <w:rFonts w:ascii="Times New Roman" w:eastAsia="宋体" w:hAnsi="Times New Roman" w:cs="Times New Roman"/>
          <w:b/>
          <w:bCs/>
          <w:sz w:val="24"/>
          <w:szCs w:val="24"/>
        </w:rPr>
        <w:t>4. Disposal of subsidiary</w:t>
      </w:r>
      <w:bookmarkEnd w:id="305"/>
    </w:p>
    <w:p w14:paraId="17C032AE"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Whether there was a single disposal of an investment in a subsidiary that resulted in a loss of control</w:t>
      </w:r>
    </w:p>
    <w:p w14:paraId="4364E932" w14:textId="1FB5EB12"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□Yes </w:t>
      </w:r>
      <w:r w:rsidR="008A539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w:t>
      </w:r>
    </w:p>
    <w:p w14:paraId="1152EE8C"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Whether there was a step-by-step disposal of investment in a subsidiary through multiple transactions and loss of control during the current period</w:t>
      </w:r>
    </w:p>
    <w:p w14:paraId="359619FF" w14:textId="3F8A6E01"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□Yes </w:t>
      </w:r>
      <w:r w:rsidR="008A539F"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w:t>
      </w:r>
    </w:p>
    <w:p w14:paraId="5A701AC2"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06" w:name="_Toc989194"/>
      <w:r w:rsidRPr="00F73301">
        <w:rPr>
          <w:rFonts w:ascii="Times New Roman" w:eastAsia="宋体" w:hAnsi="Times New Roman" w:cs="Times New Roman"/>
          <w:b/>
          <w:bCs/>
          <w:sz w:val="24"/>
          <w:szCs w:val="24"/>
        </w:rPr>
        <w:t>5. Changes in combination scope for other reasons</w:t>
      </w:r>
      <w:bookmarkEnd w:id="306"/>
    </w:p>
    <w:p w14:paraId="19BF7D7D"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of other changes in the combination scope (e.g., new subsidiaries, liquidation of subsidiaries, etc.) and relevant situations:</w:t>
      </w:r>
    </w:p>
    <w:p w14:paraId="623DE54C"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(1) Entities included in the consolidation scope</w:t>
      </w:r>
    </w:p>
    <w:tbl>
      <w:tblPr>
        <w:tblW w:w="5000" w:type="pct"/>
        <w:jc w:val="center"/>
        <w:tblCellMar>
          <w:left w:w="57" w:type="dxa"/>
          <w:right w:w="57" w:type="dxa"/>
        </w:tblCellMar>
        <w:tblLook w:val="04A0" w:firstRow="1" w:lastRow="0" w:firstColumn="1" w:lastColumn="0" w:noHBand="0" w:noVBand="1"/>
      </w:tblPr>
      <w:tblGrid>
        <w:gridCol w:w="1392"/>
        <w:gridCol w:w="2116"/>
        <w:gridCol w:w="1876"/>
        <w:gridCol w:w="2226"/>
        <w:gridCol w:w="2007"/>
      </w:tblGrid>
      <w:tr w:rsidR="00F73301" w:rsidRPr="00F73301" w14:paraId="23A4AD0C" w14:textId="77777777" w:rsidTr="008A539F">
        <w:trPr>
          <w:jc w:val="center"/>
        </w:trPr>
        <w:tc>
          <w:tcPr>
            <w:tcW w:w="914"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5EAF89"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lastRenderedPageBreak/>
              <w:t>Entity</w:t>
            </w:r>
          </w:p>
        </w:tc>
        <w:tc>
          <w:tcPr>
            <w:tcW w:w="110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480DF53"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Equity acquisition method</w:t>
            </w:r>
          </w:p>
        </w:tc>
        <w:tc>
          <w:tcPr>
            <w:tcW w:w="975"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F047B13"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Equity acquisition date</w:t>
            </w:r>
          </w:p>
        </w:tc>
        <w:tc>
          <w:tcPr>
            <w:tcW w:w="76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9F24E8F"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Capital contribution (RMB)</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BCA8CE"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Capital contribution proportion</w:t>
            </w:r>
          </w:p>
        </w:tc>
      </w:tr>
      <w:tr w:rsidR="00F73301" w:rsidRPr="00F73301" w14:paraId="056710E1" w14:textId="77777777" w:rsidTr="008A539F">
        <w:trPr>
          <w:jc w:val="center"/>
        </w:trPr>
        <w:tc>
          <w:tcPr>
            <w:tcW w:w="91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8F6066" w14:textId="77777777" w:rsidR="00F73301" w:rsidRPr="00F73301" w:rsidRDefault="00F73301" w:rsidP="008A539F">
            <w:pPr>
              <w:widowControl/>
              <w:snapToGrid w:val="0"/>
              <w:jc w:val="both"/>
              <w:rPr>
                <w:rFonts w:ascii="Times New Roman" w:eastAsia="等线" w:hAnsi="Times New Roman" w:cs="Times New Roman"/>
                <w:kern w:val="0"/>
                <w:sz w:val="18"/>
                <w:szCs w:val="18"/>
              </w:rPr>
            </w:pPr>
            <w:proofErr w:type="spellStart"/>
            <w:r w:rsidRPr="00F73301">
              <w:rPr>
                <w:rFonts w:ascii="Times New Roman" w:eastAsia="宋体" w:hAnsi="Times New Roman" w:cs="Times New Roman"/>
                <w:kern w:val="0"/>
                <w:sz w:val="18"/>
                <w:szCs w:val="18"/>
              </w:rPr>
              <w:t>Yangjie</w:t>
            </w:r>
            <w:proofErr w:type="spellEnd"/>
            <w:r w:rsidRPr="00F73301">
              <w:rPr>
                <w:rFonts w:ascii="Times New Roman" w:eastAsia="宋体" w:hAnsi="Times New Roman" w:cs="Times New Roman"/>
                <w:kern w:val="0"/>
                <w:sz w:val="18"/>
                <w:szCs w:val="18"/>
              </w:rPr>
              <w:t xml:space="preserve"> Japan</w:t>
            </w:r>
          </w:p>
        </w:tc>
        <w:tc>
          <w:tcPr>
            <w:tcW w:w="11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722E5A"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Incorporation</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6911EE"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March 2023</w:t>
            </w:r>
          </w:p>
        </w:tc>
        <w:tc>
          <w:tcPr>
            <w:tcW w:w="7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E1AC21"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0</w:t>
            </w:r>
          </w:p>
        </w:tc>
        <w:tc>
          <w:tcPr>
            <w:tcW w:w="12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55192"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100%</w:t>
            </w:r>
          </w:p>
        </w:tc>
      </w:tr>
      <w:tr w:rsidR="00F73301" w:rsidRPr="00F73301" w14:paraId="6D4F4DCC" w14:textId="77777777" w:rsidTr="008A539F">
        <w:trPr>
          <w:jc w:val="center"/>
        </w:trPr>
        <w:tc>
          <w:tcPr>
            <w:tcW w:w="91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FF3C1D" w14:textId="77777777" w:rsidR="00F73301" w:rsidRPr="00F73301" w:rsidRDefault="00F73301" w:rsidP="008A539F">
            <w:pPr>
              <w:widowControl/>
              <w:snapToGrid w:val="0"/>
              <w:jc w:val="both"/>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MCC Singapore</w:t>
            </w:r>
          </w:p>
        </w:tc>
        <w:tc>
          <w:tcPr>
            <w:tcW w:w="11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B1FD1A"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Incorporation</w:t>
            </w:r>
          </w:p>
        </w:tc>
        <w:tc>
          <w:tcPr>
            <w:tcW w:w="97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479CBE"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March 2023</w:t>
            </w:r>
          </w:p>
        </w:tc>
        <w:tc>
          <w:tcPr>
            <w:tcW w:w="7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551E1C" w14:textId="77777777" w:rsidR="00F73301" w:rsidRPr="00F73301" w:rsidRDefault="00F73301" w:rsidP="008A539F">
            <w:pPr>
              <w:widowControl/>
              <w:snapToGrid w:val="0"/>
              <w:ind w:firstLine="42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83,377,200.00</w:t>
            </w:r>
          </w:p>
        </w:tc>
        <w:tc>
          <w:tcPr>
            <w:tcW w:w="12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0E008" w14:textId="77777777" w:rsidR="00F73301" w:rsidRPr="00F73301" w:rsidRDefault="00F73301" w:rsidP="008A539F">
            <w:pPr>
              <w:widowControl/>
              <w:snapToGrid w:val="0"/>
              <w:jc w:val="center"/>
              <w:rPr>
                <w:rFonts w:ascii="Times New Roman" w:eastAsia="等线" w:hAnsi="Times New Roman" w:cs="Times New Roman"/>
                <w:kern w:val="0"/>
                <w:sz w:val="18"/>
                <w:szCs w:val="18"/>
              </w:rPr>
            </w:pPr>
            <w:r w:rsidRPr="00F73301">
              <w:rPr>
                <w:rFonts w:ascii="Times New Roman" w:eastAsia="宋体" w:hAnsi="Times New Roman" w:cs="Times New Roman"/>
                <w:kern w:val="0"/>
                <w:sz w:val="18"/>
                <w:szCs w:val="18"/>
              </w:rPr>
              <w:t>100%</w:t>
            </w:r>
          </w:p>
        </w:tc>
      </w:tr>
    </w:tbl>
    <w:p w14:paraId="16688279"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42621D12"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307" w:name="_Toc989195"/>
      <w:r w:rsidRPr="00F73301">
        <w:rPr>
          <w:rFonts w:ascii="Times New Roman" w:eastAsia="宋体" w:hAnsi="Times New Roman" w:cs="Times New Roman"/>
          <w:b/>
          <w:bCs/>
          <w:sz w:val="24"/>
          <w:szCs w:val="24"/>
        </w:rPr>
        <w:t>6. Others</w:t>
      </w:r>
      <w:bookmarkEnd w:id="307"/>
    </w:p>
    <w:p w14:paraId="49020F75"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F17E620" w14:textId="77777777" w:rsidR="00F73301" w:rsidRPr="00F73301" w:rsidRDefault="00F73301" w:rsidP="008A539F">
      <w:pPr>
        <w:keepNext/>
        <w:keepLines/>
        <w:snapToGrid w:val="0"/>
        <w:spacing w:beforeLines="50" w:before="156" w:afterLines="50" w:after="156"/>
        <w:jc w:val="both"/>
        <w:outlineLvl w:val="1"/>
        <w:rPr>
          <w:rFonts w:ascii="Times New Roman" w:eastAsia="宋体" w:hAnsi="Times New Roman" w:cs="Times New Roman"/>
          <w:b/>
          <w:bCs/>
          <w:sz w:val="24"/>
          <w:szCs w:val="24"/>
        </w:rPr>
      </w:pPr>
      <w:bookmarkStart w:id="308" w:name="_Toc989196"/>
      <w:r w:rsidRPr="00F73301">
        <w:rPr>
          <w:rFonts w:ascii="Times New Roman" w:eastAsia="宋体" w:hAnsi="Times New Roman" w:cs="Times New Roman"/>
          <w:b/>
          <w:bCs/>
          <w:sz w:val="24"/>
          <w:szCs w:val="24"/>
        </w:rPr>
        <w:t>IX. Equity in Other Entities</w:t>
      </w:r>
      <w:bookmarkEnd w:id="308"/>
    </w:p>
    <w:p w14:paraId="02E445AD"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309" w:name="_Toc989197"/>
      <w:r w:rsidRPr="00F73301">
        <w:rPr>
          <w:rFonts w:ascii="Times New Roman" w:eastAsia="宋体" w:hAnsi="Times New Roman" w:cs="Times New Roman"/>
          <w:b/>
          <w:bCs/>
          <w:sz w:val="24"/>
          <w:szCs w:val="24"/>
        </w:rPr>
        <w:t>1. Equity in subsidiaries</w:t>
      </w:r>
      <w:bookmarkEnd w:id="309"/>
    </w:p>
    <w:p w14:paraId="0A51AEA1"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10" w:name="_Toc989198"/>
      <w:r w:rsidRPr="00F73301">
        <w:rPr>
          <w:rFonts w:ascii="Times New Roman" w:eastAsia="宋体" w:hAnsi="Times New Roman" w:cs="Times New Roman"/>
          <w:b/>
          <w:bCs/>
          <w:sz w:val="24"/>
          <w:szCs w:val="24"/>
        </w:rPr>
        <w:t>(1) Compositions of the Group</w:t>
      </w:r>
      <w:bookmarkEnd w:id="310"/>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6302D6DF"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AA5137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Subsidiary</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E940F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Principal place of operation</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6E5F5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Place of registration</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4D0A2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Business nature</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B8BBA8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Shareholding percentage (%)</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7EF17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 method</w:t>
            </w:r>
          </w:p>
        </w:tc>
      </w:tr>
      <w:tr w:rsidR="00F73301" w:rsidRPr="00F73301" w14:paraId="12192960"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EFA0505"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89F931E"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CDBBAF0"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49F8F9D"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55286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Direct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5FC550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Indirect</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57DF2A"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F8E622D"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A54F68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J&amp;V Semiconductor</w:t>
            </w:r>
          </w:p>
        </w:tc>
        <w:tc>
          <w:tcPr>
            <w:tcW w:w="1377" w:type="dxa"/>
            <w:tcBorders>
              <w:top w:val="single" w:sz="2" w:space="0" w:color="auto"/>
              <w:left w:val="single" w:sz="2" w:space="0" w:color="auto"/>
              <w:bottom w:val="single" w:sz="2" w:space="0" w:color="auto"/>
              <w:right w:val="single" w:sz="2" w:space="0" w:color="auto"/>
            </w:tcBorders>
            <w:vAlign w:val="center"/>
          </w:tcPr>
          <w:p w14:paraId="588385A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Yangzhou</w:t>
            </w:r>
          </w:p>
        </w:tc>
        <w:tc>
          <w:tcPr>
            <w:tcW w:w="1377" w:type="dxa"/>
            <w:tcBorders>
              <w:top w:val="single" w:sz="2" w:space="0" w:color="auto"/>
              <w:left w:val="single" w:sz="2" w:space="0" w:color="auto"/>
              <w:bottom w:val="single" w:sz="2" w:space="0" w:color="auto"/>
              <w:right w:val="single" w:sz="2" w:space="0" w:color="auto"/>
            </w:tcBorders>
            <w:vAlign w:val="center"/>
          </w:tcPr>
          <w:p w14:paraId="48AADF8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Yangzhou</w:t>
            </w:r>
          </w:p>
        </w:tc>
        <w:tc>
          <w:tcPr>
            <w:tcW w:w="1377" w:type="dxa"/>
            <w:tcBorders>
              <w:top w:val="single" w:sz="2" w:space="0" w:color="auto"/>
              <w:left w:val="single" w:sz="2" w:space="0" w:color="auto"/>
              <w:bottom w:val="single" w:sz="2" w:space="0" w:color="auto"/>
              <w:right w:val="single" w:sz="2" w:space="0" w:color="auto"/>
            </w:tcBorders>
            <w:vAlign w:val="center"/>
          </w:tcPr>
          <w:p w14:paraId="5E4E676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Electronic components manufacturing industry</w:t>
            </w:r>
          </w:p>
        </w:tc>
        <w:tc>
          <w:tcPr>
            <w:tcW w:w="1377" w:type="dxa"/>
            <w:tcBorders>
              <w:top w:val="single" w:sz="2" w:space="0" w:color="auto"/>
              <w:left w:val="single" w:sz="2" w:space="0" w:color="auto"/>
              <w:bottom w:val="single" w:sz="2" w:space="0" w:color="auto"/>
              <w:right w:val="single" w:sz="2" w:space="0" w:color="auto"/>
            </w:tcBorders>
            <w:vAlign w:val="center"/>
          </w:tcPr>
          <w:p w14:paraId="00E0E19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98.00%</w:t>
            </w:r>
          </w:p>
        </w:tc>
        <w:tc>
          <w:tcPr>
            <w:tcW w:w="1377" w:type="dxa"/>
            <w:tcBorders>
              <w:top w:val="single" w:sz="2" w:space="0" w:color="auto"/>
              <w:left w:val="single" w:sz="2" w:space="0" w:color="auto"/>
              <w:bottom w:val="single" w:sz="2" w:space="0" w:color="auto"/>
              <w:right w:val="single" w:sz="2" w:space="0" w:color="auto"/>
            </w:tcBorders>
            <w:vAlign w:val="center"/>
          </w:tcPr>
          <w:p w14:paraId="4E3A0550"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EAAA2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Incorporation</w:t>
            </w:r>
          </w:p>
        </w:tc>
      </w:tr>
      <w:tr w:rsidR="00F73301" w:rsidRPr="00F73301" w14:paraId="64D7C5F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3459212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MCC Hong Kong</w:t>
            </w:r>
          </w:p>
        </w:tc>
        <w:tc>
          <w:tcPr>
            <w:tcW w:w="1377" w:type="dxa"/>
            <w:tcBorders>
              <w:top w:val="single" w:sz="2" w:space="0" w:color="auto"/>
              <w:left w:val="single" w:sz="2" w:space="0" w:color="auto"/>
              <w:bottom w:val="single" w:sz="2" w:space="0" w:color="auto"/>
              <w:right w:val="single" w:sz="2" w:space="0" w:color="auto"/>
            </w:tcBorders>
            <w:vAlign w:val="center"/>
          </w:tcPr>
          <w:p w14:paraId="5A5AAA7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Hong Kong, China</w:t>
            </w:r>
          </w:p>
        </w:tc>
        <w:tc>
          <w:tcPr>
            <w:tcW w:w="1377" w:type="dxa"/>
            <w:tcBorders>
              <w:top w:val="single" w:sz="2" w:space="0" w:color="auto"/>
              <w:left w:val="single" w:sz="2" w:space="0" w:color="auto"/>
              <w:bottom w:val="single" w:sz="2" w:space="0" w:color="auto"/>
              <w:right w:val="single" w:sz="2" w:space="0" w:color="auto"/>
            </w:tcBorders>
            <w:vAlign w:val="center"/>
          </w:tcPr>
          <w:p w14:paraId="634A7F6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Hong Kong, China</w:t>
            </w:r>
          </w:p>
        </w:tc>
        <w:tc>
          <w:tcPr>
            <w:tcW w:w="1377" w:type="dxa"/>
            <w:tcBorders>
              <w:top w:val="single" w:sz="2" w:space="0" w:color="auto"/>
              <w:left w:val="single" w:sz="2" w:space="0" w:color="auto"/>
              <w:bottom w:val="single" w:sz="2" w:space="0" w:color="auto"/>
              <w:right w:val="single" w:sz="2" w:space="0" w:color="auto"/>
            </w:tcBorders>
            <w:vAlign w:val="center"/>
          </w:tcPr>
          <w:p w14:paraId="3C05988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and import &amp; export trade</w:t>
            </w:r>
          </w:p>
        </w:tc>
        <w:tc>
          <w:tcPr>
            <w:tcW w:w="1377" w:type="dxa"/>
            <w:tcBorders>
              <w:top w:val="single" w:sz="2" w:space="0" w:color="auto"/>
              <w:left w:val="single" w:sz="2" w:space="0" w:color="auto"/>
              <w:bottom w:val="single" w:sz="2" w:space="0" w:color="auto"/>
              <w:right w:val="single" w:sz="2" w:space="0" w:color="auto"/>
            </w:tcBorders>
            <w:vAlign w:val="center"/>
          </w:tcPr>
          <w:p w14:paraId="3DB89F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6EBD57A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D98BD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Incorporation</w:t>
            </w:r>
          </w:p>
        </w:tc>
      </w:tr>
      <w:tr w:rsidR="00F73301" w:rsidRPr="00F73301" w14:paraId="58FFAFC9"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44D1D05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MCC Shenzhen</w:t>
            </w:r>
          </w:p>
        </w:tc>
        <w:tc>
          <w:tcPr>
            <w:tcW w:w="1377" w:type="dxa"/>
            <w:tcBorders>
              <w:top w:val="single" w:sz="2" w:space="0" w:color="auto"/>
              <w:left w:val="single" w:sz="2" w:space="0" w:color="auto"/>
              <w:bottom w:val="single" w:sz="2" w:space="0" w:color="auto"/>
              <w:right w:val="single" w:sz="2" w:space="0" w:color="auto"/>
            </w:tcBorders>
            <w:vAlign w:val="center"/>
          </w:tcPr>
          <w:p w14:paraId="4031B9D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Shenzhen</w:t>
            </w:r>
          </w:p>
        </w:tc>
        <w:tc>
          <w:tcPr>
            <w:tcW w:w="1377" w:type="dxa"/>
            <w:tcBorders>
              <w:top w:val="single" w:sz="2" w:space="0" w:color="auto"/>
              <w:left w:val="single" w:sz="2" w:space="0" w:color="auto"/>
              <w:bottom w:val="single" w:sz="2" w:space="0" w:color="auto"/>
              <w:right w:val="single" w:sz="2" w:space="0" w:color="auto"/>
            </w:tcBorders>
            <w:vAlign w:val="center"/>
          </w:tcPr>
          <w:p w14:paraId="4EB38E6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Shenzhen</w:t>
            </w:r>
          </w:p>
        </w:tc>
        <w:tc>
          <w:tcPr>
            <w:tcW w:w="1377" w:type="dxa"/>
            <w:tcBorders>
              <w:top w:val="single" w:sz="2" w:space="0" w:color="auto"/>
              <w:left w:val="single" w:sz="2" w:space="0" w:color="auto"/>
              <w:bottom w:val="single" w:sz="2" w:space="0" w:color="auto"/>
              <w:right w:val="single" w:sz="2" w:space="0" w:color="auto"/>
            </w:tcBorders>
            <w:vAlign w:val="center"/>
          </w:tcPr>
          <w:p w14:paraId="596BC83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Trade</w:t>
            </w:r>
          </w:p>
        </w:tc>
        <w:tc>
          <w:tcPr>
            <w:tcW w:w="1377" w:type="dxa"/>
            <w:tcBorders>
              <w:top w:val="single" w:sz="2" w:space="0" w:color="auto"/>
              <w:left w:val="single" w:sz="2" w:space="0" w:color="auto"/>
              <w:bottom w:val="single" w:sz="2" w:space="0" w:color="auto"/>
              <w:right w:val="single" w:sz="2" w:space="0" w:color="auto"/>
            </w:tcBorders>
            <w:vAlign w:val="center"/>
          </w:tcPr>
          <w:p w14:paraId="16EC869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0AF38FC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DF2E4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w:t>
            </w:r>
          </w:p>
        </w:tc>
      </w:tr>
      <w:tr w:rsidR="00F73301" w:rsidRPr="00F73301" w14:paraId="7CB8544E"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407A93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MCC USA</w:t>
            </w:r>
          </w:p>
        </w:tc>
        <w:tc>
          <w:tcPr>
            <w:tcW w:w="1377" w:type="dxa"/>
            <w:tcBorders>
              <w:top w:val="single" w:sz="2" w:space="0" w:color="auto"/>
              <w:left w:val="single" w:sz="2" w:space="0" w:color="auto"/>
              <w:bottom w:val="single" w:sz="2" w:space="0" w:color="auto"/>
              <w:right w:val="single" w:sz="2" w:space="0" w:color="auto"/>
            </w:tcBorders>
            <w:vAlign w:val="center"/>
          </w:tcPr>
          <w:p w14:paraId="14F415E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The USA</w:t>
            </w:r>
          </w:p>
        </w:tc>
        <w:tc>
          <w:tcPr>
            <w:tcW w:w="1377" w:type="dxa"/>
            <w:tcBorders>
              <w:top w:val="single" w:sz="2" w:space="0" w:color="auto"/>
              <w:left w:val="single" w:sz="2" w:space="0" w:color="auto"/>
              <w:bottom w:val="single" w:sz="2" w:space="0" w:color="auto"/>
              <w:right w:val="single" w:sz="2" w:space="0" w:color="auto"/>
            </w:tcBorders>
            <w:vAlign w:val="center"/>
          </w:tcPr>
          <w:p w14:paraId="72F8EDB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The USA</w:t>
            </w:r>
          </w:p>
        </w:tc>
        <w:tc>
          <w:tcPr>
            <w:tcW w:w="1377" w:type="dxa"/>
            <w:tcBorders>
              <w:top w:val="single" w:sz="2" w:space="0" w:color="auto"/>
              <w:left w:val="single" w:sz="2" w:space="0" w:color="auto"/>
              <w:bottom w:val="single" w:sz="2" w:space="0" w:color="auto"/>
              <w:right w:val="single" w:sz="2" w:space="0" w:color="auto"/>
            </w:tcBorders>
            <w:vAlign w:val="center"/>
          </w:tcPr>
          <w:p w14:paraId="52C5A66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Import &amp; export trade</w:t>
            </w:r>
          </w:p>
        </w:tc>
        <w:tc>
          <w:tcPr>
            <w:tcW w:w="1377" w:type="dxa"/>
            <w:tcBorders>
              <w:top w:val="single" w:sz="2" w:space="0" w:color="auto"/>
              <w:left w:val="single" w:sz="2" w:space="0" w:color="auto"/>
              <w:bottom w:val="single" w:sz="2" w:space="0" w:color="auto"/>
              <w:right w:val="single" w:sz="2" w:space="0" w:color="auto"/>
            </w:tcBorders>
            <w:vAlign w:val="center"/>
          </w:tcPr>
          <w:p w14:paraId="038CC9F5"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2C73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0344AD4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w:t>
            </w:r>
          </w:p>
        </w:tc>
      </w:tr>
      <w:tr w:rsidR="00F73301" w:rsidRPr="00F73301" w14:paraId="4A068BFE"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46873A8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MCC Taiwan</w:t>
            </w:r>
          </w:p>
        </w:tc>
        <w:tc>
          <w:tcPr>
            <w:tcW w:w="1377" w:type="dxa"/>
            <w:tcBorders>
              <w:top w:val="single" w:sz="2" w:space="0" w:color="auto"/>
              <w:left w:val="single" w:sz="2" w:space="0" w:color="auto"/>
              <w:bottom w:val="single" w:sz="2" w:space="0" w:color="auto"/>
              <w:right w:val="single" w:sz="2" w:space="0" w:color="auto"/>
            </w:tcBorders>
            <w:vAlign w:val="center"/>
          </w:tcPr>
          <w:p w14:paraId="4CDD707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Taiwan, China</w:t>
            </w:r>
          </w:p>
        </w:tc>
        <w:tc>
          <w:tcPr>
            <w:tcW w:w="1377" w:type="dxa"/>
            <w:tcBorders>
              <w:top w:val="single" w:sz="2" w:space="0" w:color="auto"/>
              <w:left w:val="single" w:sz="2" w:space="0" w:color="auto"/>
              <w:bottom w:val="single" w:sz="2" w:space="0" w:color="auto"/>
              <w:right w:val="single" w:sz="2" w:space="0" w:color="auto"/>
            </w:tcBorders>
            <w:vAlign w:val="center"/>
          </w:tcPr>
          <w:p w14:paraId="66303EC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Taiwan, China</w:t>
            </w:r>
          </w:p>
        </w:tc>
        <w:tc>
          <w:tcPr>
            <w:tcW w:w="1377" w:type="dxa"/>
            <w:tcBorders>
              <w:top w:val="single" w:sz="2" w:space="0" w:color="auto"/>
              <w:left w:val="single" w:sz="2" w:space="0" w:color="auto"/>
              <w:bottom w:val="single" w:sz="2" w:space="0" w:color="auto"/>
              <w:right w:val="single" w:sz="2" w:space="0" w:color="auto"/>
            </w:tcBorders>
            <w:vAlign w:val="center"/>
          </w:tcPr>
          <w:p w14:paraId="63E51EF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Import &amp; export trade</w:t>
            </w:r>
          </w:p>
        </w:tc>
        <w:tc>
          <w:tcPr>
            <w:tcW w:w="1377" w:type="dxa"/>
            <w:tcBorders>
              <w:top w:val="single" w:sz="2" w:space="0" w:color="auto"/>
              <w:left w:val="single" w:sz="2" w:space="0" w:color="auto"/>
              <w:bottom w:val="single" w:sz="2" w:space="0" w:color="auto"/>
              <w:right w:val="single" w:sz="2" w:space="0" w:color="auto"/>
            </w:tcBorders>
            <w:vAlign w:val="center"/>
          </w:tcPr>
          <w:p w14:paraId="67E13521"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C01F8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7687925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w:t>
            </w:r>
          </w:p>
        </w:tc>
      </w:tr>
      <w:tr w:rsidR="00F73301" w:rsidRPr="00F73301" w14:paraId="1276E81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78356E81" w14:textId="74E58722" w:rsidR="00F73301" w:rsidRPr="00F73301" w:rsidRDefault="00F73301" w:rsidP="00F87479">
            <w:pPr>
              <w:snapToGrid w:val="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Yixing</w:t>
            </w:r>
            <w:proofErr w:type="spellEnd"/>
            <w:r w:rsidRPr="00F73301">
              <w:rPr>
                <w:rFonts w:ascii="Times New Roman" w:eastAsia="宋体" w:hAnsi="Times New Roman" w:cs="Times New Roman"/>
                <w:sz w:val="18"/>
                <w:szCs w:val="18"/>
              </w:rPr>
              <w:t xml:space="preserve"> </w:t>
            </w:r>
            <w:proofErr w:type="spellStart"/>
            <w:r w:rsidRPr="00F73301">
              <w:rPr>
                <w:rFonts w:ascii="Times New Roman" w:eastAsia="宋体" w:hAnsi="Times New Roman" w:cs="Times New Roman"/>
                <w:sz w:val="18"/>
                <w:szCs w:val="18"/>
              </w:rPr>
              <w:t>Jiexin</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34DD45E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Yixing</w:t>
            </w:r>
          </w:p>
        </w:tc>
        <w:tc>
          <w:tcPr>
            <w:tcW w:w="1377" w:type="dxa"/>
            <w:tcBorders>
              <w:top w:val="single" w:sz="2" w:space="0" w:color="auto"/>
              <w:left w:val="single" w:sz="2" w:space="0" w:color="auto"/>
              <w:bottom w:val="single" w:sz="2" w:space="0" w:color="auto"/>
              <w:right w:val="single" w:sz="2" w:space="0" w:color="auto"/>
            </w:tcBorders>
            <w:vAlign w:val="center"/>
          </w:tcPr>
          <w:p w14:paraId="27CF45E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Yixing</w:t>
            </w:r>
          </w:p>
        </w:tc>
        <w:tc>
          <w:tcPr>
            <w:tcW w:w="1377" w:type="dxa"/>
            <w:tcBorders>
              <w:top w:val="single" w:sz="2" w:space="0" w:color="auto"/>
              <w:left w:val="single" w:sz="2" w:space="0" w:color="auto"/>
              <w:bottom w:val="single" w:sz="2" w:space="0" w:color="auto"/>
              <w:right w:val="single" w:sz="2" w:space="0" w:color="auto"/>
            </w:tcBorders>
            <w:vAlign w:val="center"/>
          </w:tcPr>
          <w:p w14:paraId="55BA3F8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Electronic components manufacturing industry</w:t>
            </w:r>
          </w:p>
        </w:tc>
        <w:tc>
          <w:tcPr>
            <w:tcW w:w="1377" w:type="dxa"/>
            <w:tcBorders>
              <w:top w:val="single" w:sz="2" w:space="0" w:color="auto"/>
              <w:left w:val="single" w:sz="2" w:space="0" w:color="auto"/>
              <w:bottom w:val="single" w:sz="2" w:space="0" w:color="auto"/>
              <w:right w:val="single" w:sz="2" w:space="0" w:color="auto"/>
            </w:tcBorders>
            <w:vAlign w:val="center"/>
          </w:tcPr>
          <w:p w14:paraId="652330B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54.50%</w:t>
            </w:r>
          </w:p>
        </w:tc>
        <w:tc>
          <w:tcPr>
            <w:tcW w:w="1377" w:type="dxa"/>
            <w:tcBorders>
              <w:top w:val="single" w:sz="2" w:space="0" w:color="auto"/>
              <w:left w:val="single" w:sz="2" w:space="0" w:color="auto"/>
              <w:bottom w:val="single" w:sz="2" w:space="0" w:color="auto"/>
              <w:right w:val="single" w:sz="2" w:space="0" w:color="auto"/>
            </w:tcBorders>
            <w:vAlign w:val="center"/>
          </w:tcPr>
          <w:p w14:paraId="12110286"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9A95F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Incorporation</w:t>
            </w:r>
          </w:p>
        </w:tc>
      </w:tr>
      <w:tr w:rsidR="00F73301" w:rsidRPr="00F73301" w14:paraId="3C3A7FCA"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76B1796A" w14:textId="1611E8F0" w:rsidR="00F73301" w:rsidRPr="00F73301" w:rsidRDefault="0066314B" w:rsidP="0066314B">
            <w:pPr>
              <w:snapToGrid w:val="0"/>
              <w:rPr>
                <w:rFonts w:ascii="Times New Roman" w:eastAsia="宋体" w:hAnsi="Times New Roman" w:cs="Times New Roman"/>
                <w:sz w:val="18"/>
                <w:szCs w:val="18"/>
              </w:rPr>
            </w:pPr>
            <w:r>
              <w:rPr>
                <w:rFonts w:ascii="Times New Roman" w:eastAsia="宋体" w:hAnsi="Times New Roman" w:cs="Times New Roman"/>
                <w:sz w:val="18"/>
                <w:szCs w:val="18"/>
              </w:rPr>
              <w:t>Chengdu Qingyang</w:t>
            </w:r>
          </w:p>
        </w:tc>
        <w:tc>
          <w:tcPr>
            <w:tcW w:w="1377" w:type="dxa"/>
            <w:tcBorders>
              <w:top w:val="single" w:sz="2" w:space="0" w:color="auto"/>
              <w:left w:val="single" w:sz="2" w:space="0" w:color="auto"/>
              <w:bottom w:val="single" w:sz="2" w:space="0" w:color="auto"/>
              <w:right w:val="single" w:sz="2" w:space="0" w:color="auto"/>
            </w:tcBorders>
            <w:vAlign w:val="center"/>
          </w:tcPr>
          <w:p w14:paraId="118BBBE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Chengdu</w:t>
            </w:r>
          </w:p>
        </w:tc>
        <w:tc>
          <w:tcPr>
            <w:tcW w:w="1377" w:type="dxa"/>
            <w:tcBorders>
              <w:top w:val="single" w:sz="2" w:space="0" w:color="auto"/>
              <w:left w:val="single" w:sz="2" w:space="0" w:color="auto"/>
              <w:bottom w:val="single" w:sz="2" w:space="0" w:color="auto"/>
              <w:right w:val="single" w:sz="2" w:space="0" w:color="auto"/>
            </w:tcBorders>
            <w:vAlign w:val="center"/>
          </w:tcPr>
          <w:p w14:paraId="38B4C2C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Chengdu</w:t>
            </w:r>
          </w:p>
        </w:tc>
        <w:tc>
          <w:tcPr>
            <w:tcW w:w="1377" w:type="dxa"/>
            <w:tcBorders>
              <w:top w:val="single" w:sz="2" w:space="0" w:color="auto"/>
              <w:left w:val="single" w:sz="2" w:space="0" w:color="auto"/>
              <w:bottom w:val="single" w:sz="2" w:space="0" w:color="auto"/>
              <w:right w:val="single" w:sz="2" w:space="0" w:color="auto"/>
            </w:tcBorders>
            <w:vAlign w:val="center"/>
          </w:tcPr>
          <w:p w14:paraId="09A0D35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Electronic components manufacturing industry</w:t>
            </w:r>
          </w:p>
        </w:tc>
        <w:tc>
          <w:tcPr>
            <w:tcW w:w="1377" w:type="dxa"/>
            <w:tcBorders>
              <w:top w:val="single" w:sz="2" w:space="0" w:color="auto"/>
              <w:left w:val="single" w:sz="2" w:space="0" w:color="auto"/>
              <w:bottom w:val="single" w:sz="2" w:space="0" w:color="auto"/>
              <w:right w:val="single" w:sz="2" w:space="0" w:color="auto"/>
            </w:tcBorders>
            <w:vAlign w:val="center"/>
          </w:tcPr>
          <w:p w14:paraId="79D866E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w:t>
            </w:r>
          </w:p>
        </w:tc>
        <w:tc>
          <w:tcPr>
            <w:tcW w:w="1377" w:type="dxa"/>
            <w:tcBorders>
              <w:top w:val="single" w:sz="2" w:space="0" w:color="auto"/>
              <w:left w:val="single" w:sz="2" w:space="0" w:color="auto"/>
              <w:bottom w:val="single" w:sz="2" w:space="0" w:color="auto"/>
              <w:right w:val="single" w:sz="2" w:space="0" w:color="auto"/>
            </w:tcBorders>
            <w:vAlign w:val="center"/>
          </w:tcPr>
          <w:p w14:paraId="7DF18662"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BD5A3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w:t>
            </w:r>
          </w:p>
        </w:tc>
      </w:tr>
      <w:tr w:rsidR="00F73301" w:rsidRPr="00F73301" w14:paraId="7AC8013D"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2B454EBD" w14:textId="2B4621D7" w:rsidR="00F73301" w:rsidRPr="00F73301" w:rsidRDefault="00F87479" w:rsidP="00F87479">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Jiangsu </w:t>
            </w:r>
            <w:proofErr w:type="spellStart"/>
            <w:r>
              <w:rPr>
                <w:rFonts w:ascii="Times New Roman" w:eastAsia="宋体" w:hAnsi="Times New Roman" w:cs="Times New Roman"/>
                <w:sz w:val="18"/>
                <w:szCs w:val="18"/>
              </w:rPr>
              <w:t>Runau</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1CEA60C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Yangzhou</w:t>
            </w:r>
          </w:p>
        </w:tc>
        <w:tc>
          <w:tcPr>
            <w:tcW w:w="1377" w:type="dxa"/>
            <w:tcBorders>
              <w:top w:val="single" w:sz="2" w:space="0" w:color="auto"/>
              <w:left w:val="single" w:sz="2" w:space="0" w:color="auto"/>
              <w:bottom w:val="single" w:sz="2" w:space="0" w:color="auto"/>
              <w:right w:val="single" w:sz="2" w:space="0" w:color="auto"/>
            </w:tcBorders>
            <w:vAlign w:val="center"/>
          </w:tcPr>
          <w:p w14:paraId="668FB45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Yangzhou</w:t>
            </w:r>
          </w:p>
        </w:tc>
        <w:tc>
          <w:tcPr>
            <w:tcW w:w="1377" w:type="dxa"/>
            <w:tcBorders>
              <w:top w:val="single" w:sz="2" w:space="0" w:color="auto"/>
              <w:left w:val="single" w:sz="2" w:space="0" w:color="auto"/>
              <w:bottom w:val="single" w:sz="2" w:space="0" w:color="auto"/>
              <w:right w:val="single" w:sz="2" w:space="0" w:color="auto"/>
            </w:tcBorders>
            <w:vAlign w:val="center"/>
          </w:tcPr>
          <w:p w14:paraId="3207609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Electronic components manufacturing industry</w:t>
            </w:r>
          </w:p>
        </w:tc>
        <w:tc>
          <w:tcPr>
            <w:tcW w:w="1377" w:type="dxa"/>
            <w:tcBorders>
              <w:top w:val="single" w:sz="2" w:space="0" w:color="auto"/>
              <w:left w:val="single" w:sz="2" w:space="0" w:color="auto"/>
              <w:bottom w:val="single" w:sz="2" w:space="0" w:color="auto"/>
              <w:right w:val="single" w:sz="2" w:space="0" w:color="auto"/>
            </w:tcBorders>
            <w:vAlign w:val="center"/>
          </w:tcPr>
          <w:p w14:paraId="6010CCD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8FC52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60.82%</w:t>
            </w:r>
          </w:p>
        </w:tc>
        <w:tc>
          <w:tcPr>
            <w:tcW w:w="1377" w:type="dxa"/>
            <w:tcBorders>
              <w:top w:val="single" w:sz="2" w:space="0" w:color="auto"/>
              <w:left w:val="single" w:sz="2" w:space="0" w:color="auto"/>
              <w:bottom w:val="single" w:sz="2" w:space="0" w:color="auto"/>
              <w:right w:val="single" w:sz="2" w:space="0" w:color="auto"/>
            </w:tcBorders>
            <w:vAlign w:val="center"/>
          </w:tcPr>
          <w:p w14:paraId="498B299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w:t>
            </w:r>
          </w:p>
        </w:tc>
      </w:tr>
      <w:tr w:rsidR="00F73301" w:rsidRPr="00F73301" w14:paraId="58E34800"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65E46A82" w14:textId="3C8CFE77" w:rsidR="00F73301" w:rsidRPr="00F73301" w:rsidRDefault="00F73301" w:rsidP="00F87479">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Sichuan </w:t>
            </w:r>
            <w:proofErr w:type="spellStart"/>
            <w:r w:rsidRPr="00F73301">
              <w:rPr>
                <w:rFonts w:ascii="Times New Roman" w:eastAsia="宋体" w:hAnsi="Times New Roman" w:cs="Times New Roman"/>
                <w:sz w:val="18"/>
                <w:szCs w:val="18"/>
              </w:rPr>
              <w:t>Yajixin</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06D6E60E" w14:textId="77777777" w:rsidR="00F73301" w:rsidRPr="00F73301" w:rsidRDefault="00F73301" w:rsidP="008C49B7">
            <w:pPr>
              <w:snapToGrid w:val="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Ya'an</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7D445EFB" w14:textId="77777777" w:rsidR="00F73301" w:rsidRPr="00F73301" w:rsidRDefault="00F73301" w:rsidP="008C49B7">
            <w:pPr>
              <w:snapToGrid w:val="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Ya'an</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42FCB0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Electronic components manufacturing industry</w:t>
            </w:r>
          </w:p>
        </w:tc>
        <w:tc>
          <w:tcPr>
            <w:tcW w:w="1377" w:type="dxa"/>
            <w:tcBorders>
              <w:top w:val="single" w:sz="2" w:space="0" w:color="auto"/>
              <w:left w:val="single" w:sz="2" w:space="0" w:color="auto"/>
              <w:bottom w:val="single" w:sz="2" w:space="0" w:color="auto"/>
              <w:right w:val="single" w:sz="2" w:space="0" w:color="auto"/>
            </w:tcBorders>
            <w:vAlign w:val="center"/>
          </w:tcPr>
          <w:p w14:paraId="73065F8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8CDC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w:t>
            </w:r>
          </w:p>
        </w:tc>
        <w:tc>
          <w:tcPr>
            <w:tcW w:w="1377" w:type="dxa"/>
            <w:tcBorders>
              <w:top w:val="single" w:sz="2" w:space="0" w:color="auto"/>
              <w:left w:val="single" w:sz="2" w:space="0" w:color="auto"/>
              <w:bottom w:val="single" w:sz="2" w:space="0" w:color="auto"/>
              <w:right w:val="single" w:sz="2" w:space="0" w:color="auto"/>
            </w:tcBorders>
            <w:vAlign w:val="center"/>
          </w:tcPr>
          <w:p w14:paraId="74EA3AE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w:t>
            </w:r>
          </w:p>
        </w:tc>
      </w:tr>
      <w:tr w:rsidR="00F73301" w:rsidRPr="00F73301" w14:paraId="12AB91F8"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224E00F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2586E85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Changsha</w:t>
            </w:r>
          </w:p>
        </w:tc>
        <w:tc>
          <w:tcPr>
            <w:tcW w:w="1377" w:type="dxa"/>
            <w:tcBorders>
              <w:top w:val="single" w:sz="2" w:space="0" w:color="auto"/>
              <w:left w:val="single" w:sz="2" w:space="0" w:color="auto"/>
              <w:bottom w:val="single" w:sz="2" w:space="0" w:color="auto"/>
              <w:right w:val="single" w:sz="2" w:space="0" w:color="auto"/>
            </w:tcBorders>
            <w:vAlign w:val="center"/>
          </w:tcPr>
          <w:p w14:paraId="438BC2F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Changsha</w:t>
            </w:r>
          </w:p>
        </w:tc>
        <w:tc>
          <w:tcPr>
            <w:tcW w:w="1377" w:type="dxa"/>
            <w:tcBorders>
              <w:top w:val="single" w:sz="2" w:space="0" w:color="auto"/>
              <w:left w:val="single" w:sz="2" w:space="0" w:color="auto"/>
              <w:bottom w:val="single" w:sz="2" w:space="0" w:color="auto"/>
              <w:right w:val="single" w:sz="2" w:space="0" w:color="auto"/>
            </w:tcBorders>
            <w:vAlign w:val="center"/>
          </w:tcPr>
          <w:p w14:paraId="63C47A5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Electronic components manufacturing industry</w:t>
            </w:r>
          </w:p>
        </w:tc>
        <w:tc>
          <w:tcPr>
            <w:tcW w:w="1377" w:type="dxa"/>
            <w:tcBorders>
              <w:top w:val="single" w:sz="2" w:space="0" w:color="auto"/>
              <w:left w:val="single" w:sz="2" w:space="0" w:color="auto"/>
              <w:bottom w:val="single" w:sz="2" w:space="0" w:color="auto"/>
              <w:right w:val="single" w:sz="2" w:space="0" w:color="auto"/>
            </w:tcBorders>
            <w:vAlign w:val="center"/>
          </w:tcPr>
          <w:p w14:paraId="039737C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70.00%</w:t>
            </w:r>
          </w:p>
        </w:tc>
        <w:tc>
          <w:tcPr>
            <w:tcW w:w="1377" w:type="dxa"/>
            <w:tcBorders>
              <w:top w:val="single" w:sz="2" w:space="0" w:color="auto"/>
              <w:left w:val="single" w:sz="2" w:space="0" w:color="auto"/>
              <w:bottom w:val="single" w:sz="2" w:space="0" w:color="auto"/>
              <w:right w:val="single" w:sz="2" w:space="0" w:color="auto"/>
            </w:tcBorders>
            <w:vAlign w:val="center"/>
          </w:tcPr>
          <w:p w14:paraId="5B446A2B"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A9E46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Acquisition</w:t>
            </w:r>
          </w:p>
        </w:tc>
      </w:tr>
    </w:tbl>
    <w:p w14:paraId="5B0B8F10"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of shareholding percentage in subsidiaries different from voting percentage:</w:t>
      </w:r>
    </w:p>
    <w:p w14:paraId="657C4CF3"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CA0F4F2"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Basis of holding half or less voting rights but still controlling the investee and holding more than half of the voting rights but not controlling the investee:</w:t>
      </w:r>
    </w:p>
    <w:p w14:paraId="75E1CC9D"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7273A808"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Basis of controlling significant structural entities incorporated in the scope of combination:</w:t>
      </w:r>
    </w:p>
    <w:p w14:paraId="5A0224A1"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1F4419B8"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Basis of determining whether the Company is the agent or the mandator:</w:t>
      </w:r>
    </w:p>
    <w:p w14:paraId="129B6A88"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F52B035"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523EC20F"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4CA7AD5D"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11" w:name="_Toc989199"/>
      <w:r w:rsidRPr="00F73301">
        <w:rPr>
          <w:rFonts w:ascii="Times New Roman" w:eastAsia="宋体" w:hAnsi="Times New Roman" w:cs="Times New Roman"/>
          <w:b/>
          <w:bCs/>
          <w:sz w:val="24"/>
          <w:szCs w:val="24"/>
        </w:rPr>
        <w:t>(2) Significant non-wholly-owned subsidiaries</w:t>
      </w:r>
      <w:bookmarkEnd w:id="311"/>
    </w:p>
    <w:p w14:paraId="57B2A28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627229B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12C5E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Subsidiary</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3FF29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Holding proportion of minority shareholders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4B188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Minority shareholders' profit or loss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F89BF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Dividend declared to minority shareholders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83C03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of minority interest</w:t>
            </w:r>
          </w:p>
        </w:tc>
      </w:tr>
      <w:tr w:rsidR="00F73301" w:rsidRPr="00F73301" w14:paraId="3FFE3B94"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50B7379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J&amp;V Semiconductor</w:t>
            </w:r>
          </w:p>
        </w:tc>
        <w:tc>
          <w:tcPr>
            <w:tcW w:w="1928" w:type="dxa"/>
            <w:tcBorders>
              <w:top w:val="single" w:sz="2" w:space="0" w:color="auto"/>
              <w:left w:val="single" w:sz="2" w:space="0" w:color="auto"/>
              <w:bottom w:val="single" w:sz="2" w:space="0" w:color="auto"/>
              <w:right w:val="single" w:sz="2" w:space="0" w:color="auto"/>
            </w:tcBorders>
            <w:vAlign w:val="center"/>
          </w:tcPr>
          <w:p w14:paraId="1FDD254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w:t>
            </w:r>
          </w:p>
        </w:tc>
        <w:tc>
          <w:tcPr>
            <w:tcW w:w="1928" w:type="dxa"/>
            <w:tcBorders>
              <w:top w:val="single" w:sz="2" w:space="0" w:color="auto"/>
              <w:left w:val="single" w:sz="2" w:space="0" w:color="auto"/>
              <w:bottom w:val="single" w:sz="2" w:space="0" w:color="auto"/>
              <w:right w:val="single" w:sz="2" w:space="0" w:color="auto"/>
            </w:tcBorders>
            <w:vAlign w:val="center"/>
          </w:tcPr>
          <w:p w14:paraId="01EAF0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460,174.29</w:t>
            </w:r>
          </w:p>
        </w:tc>
        <w:tc>
          <w:tcPr>
            <w:tcW w:w="1928" w:type="dxa"/>
            <w:tcBorders>
              <w:top w:val="single" w:sz="2" w:space="0" w:color="auto"/>
              <w:left w:val="single" w:sz="2" w:space="0" w:color="auto"/>
              <w:bottom w:val="single" w:sz="2" w:space="0" w:color="auto"/>
              <w:right w:val="single" w:sz="2" w:space="0" w:color="auto"/>
            </w:tcBorders>
            <w:vAlign w:val="center"/>
          </w:tcPr>
          <w:p w14:paraId="2D128575"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A96A32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9,300,923.53</w:t>
            </w:r>
          </w:p>
        </w:tc>
      </w:tr>
      <w:tr w:rsidR="00F73301" w:rsidRPr="00F73301" w14:paraId="324D93A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174074E2" w14:textId="43C82FEB" w:rsidR="00F73301" w:rsidRPr="00F73301" w:rsidRDefault="0066314B" w:rsidP="0066314B">
            <w:pPr>
              <w:snapToGrid w:val="0"/>
              <w:rPr>
                <w:rFonts w:ascii="Times New Roman" w:eastAsia="宋体" w:hAnsi="Times New Roman" w:cs="Times New Roman"/>
                <w:sz w:val="18"/>
                <w:szCs w:val="18"/>
              </w:rPr>
            </w:pPr>
            <w:r>
              <w:rPr>
                <w:rFonts w:ascii="Times New Roman" w:eastAsia="宋体" w:hAnsi="Times New Roman" w:cs="Times New Roman"/>
                <w:sz w:val="18"/>
                <w:szCs w:val="18"/>
              </w:rPr>
              <w:t>Chengdu Qingyang</w:t>
            </w:r>
          </w:p>
        </w:tc>
        <w:tc>
          <w:tcPr>
            <w:tcW w:w="1928" w:type="dxa"/>
            <w:tcBorders>
              <w:top w:val="single" w:sz="2" w:space="0" w:color="auto"/>
              <w:left w:val="single" w:sz="2" w:space="0" w:color="auto"/>
              <w:bottom w:val="single" w:sz="2" w:space="0" w:color="auto"/>
              <w:right w:val="single" w:sz="2" w:space="0" w:color="auto"/>
            </w:tcBorders>
            <w:vAlign w:val="center"/>
          </w:tcPr>
          <w:p w14:paraId="1ED0CC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14:paraId="4B53981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1,622,622.85</w:t>
            </w:r>
          </w:p>
        </w:tc>
        <w:tc>
          <w:tcPr>
            <w:tcW w:w="1928" w:type="dxa"/>
            <w:tcBorders>
              <w:top w:val="single" w:sz="2" w:space="0" w:color="auto"/>
              <w:left w:val="single" w:sz="2" w:space="0" w:color="auto"/>
              <w:bottom w:val="single" w:sz="2" w:space="0" w:color="auto"/>
              <w:right w:val="single" w:sz="2" w:space="0" w:color="auto"/>
            </w:tcBorders>
            <w:vAlign w:val="center"/>
          </w:tcPr>
          <w:p w14:paraId="60FE6FF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C1A26C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82,401,504.69</w:t>
            </w:r>
          </w:p>
        </w:tc>
      </w:tr>
      <w:tr w:rsidR="00F73301" w:rsidRPr="00F73301" w14:paraId="7F0DBA74"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652649D4" w14:textId="247E238E" w:rsidR="00F73301" w:rsidRPr="00F73301" w:rsidRDefault="00F73301" w:rsidP="00F87479">
            <w:pPr>
              <w:snapToGrid w:val="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Yixing</w:t>
            </w:r>
            <w:proofErr w:type="spellEnd"/>
            <w:r w:rsidRPr="00F73301">
              <w:rPr>
                <w:rFonts w:ascii="Times New Roman" w:eastAsia="宋体" w:hAnsi="Times New Roman" w:cs="Times New Roman"/>
                <w:sz w:val="18"/>
                <w:szCs w:val="18"/>
              </w:rPr>
              <w:t xml:space="preserve"> </w:t>
            </w:r>
            <w:proofErr w:type="spellStart"/>
            <w:r w:rsidRPr="00F73301">
              <w:rPr>
                <w:rFonts w:ascii="Times New Roman" w:eastAsia="宋体" w:hAnsi="Times New Roman" w:cs="Times New Roman"/>
                <w:sz w:val="18"/>
                <w:szCs w:val="18"/>
              </w:rPr>
              <w:t>Jiexin</w:t>
            </w:r>
            <w:proofErr w:type="spellEnd"/>
          </w:p>
        </w:tc>
        <w:tc>
          <w:tcPr>
            <w:tcW w:w="1928" w:type="dxa"/>
            <w:tcBorders>
              <w:top w:val="single" w:sz="2" w:space="0" w:color="auto"/>
              <w:left w:val="single" w:sz="2" w:space="0" w:color="auto"/>
              <w:bottom w:val="single" w:sz="2" w:space="0" w:color="auto"/>
              <w:right w:val="single" w:sz="2" w:space="0" w:color="auto"/>
            </w:tcBorders>
            <w:vAlign w:val="center"/>
          </w:tcPr>
          <w:p w14:paraId="08EB33E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45.50%</w:t>
            </w:r>
          </w:p>
        </w:tc>
        <w:tc>
          <w:tcPr>
            <w:tcW w:w="1928" w:type="dxa"/>
            <w:tcBorders>
              <w:top w:val="single" w:sz="2" w:space="0" w:color="auto"/>
              <w:left w:val="single" w:sz="2" w:space="0" w:color="auto"/>
              <w:bottom w:val="single" w:sz="2" w:space="0" w:color="auto"/>
              <w:right w:val="single" w:sz="2" w:space="0" w:color="auto"/>
            </w:tcBorders>
            <w:vAlign w:val="center"/>
          </w:tcPr>
          <w:p w14:paraId="42327E8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1,994,316.63</w:t>
            </w:r>
          </w:p>
        </w:tc>
        <w:tc>
          <w:tcPr>
            <w:tcW w:w="1928" w:type="dxa"/>
            <w:tcBorders>
              <w:top w:val="single" w:sz="2" w:space="0" w:color="auto"/>
              <w:left w:val="single" w:sz="2" w:space="0" w:color="auto"/>
              <w:bottom w:val="single" w:sz="2" w:space="0" w:color="auto"/>
              <w:right w:val="single" w:sz="2" w:space="0" w:color="auto"/>
            </w:tcBorders>
            <w:vAlign w:val="center"/>
          </w:tcPr>
          <w:p w14:paraId="262DE76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A1412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46,885,083.35</w:t>
            </w:r>
          </w:p>
        </w:tc>
      </w:tr>
      <w:tr w:rsidR="00F73301" w:rsidRPr="00F73301" w14:paraId="541247F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4CB6E8BB" w14:textId="1626D056" w:rsidR="00F73301" w:rsidRPr="00F73301" w:rsidRDefault="00F73301" w:rsidP="00F87479">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Jiangsu </w:t>
            </w:r>
            <w:proofErr w:type="spellStart"/>
            <w:r w:rsidRPr="00F73301">
              <w:rPr>
                <w:rFonts w:ascii="Times New Roman" w:eastAsia="宋体" w:hAnsi="Times New Roman" w:cs="Times New Roman"/>
                <w:sz w:val="18"/>
                <w:szCs w:val="18"/>
              </w:rPr>
              <w:t>Runau</w:t>
            </w:r>
            <w:proofErr w:type="spellEnd"/>
          </w:p>
        </w:tc>
        <w:tc>
          <w:tcPr>
            <w:tcW w:w="1928" w:type="dxa"/>
            <w:tcBorders>
              <w:top w:val="single" w:sz="2" w:space="0" w:color="auto"/>
              <w:left w:val="single" w:sz="2" w:space="0" w:color="auto"/>
              <w:bottom w:val="single" w:sz="2" w:space="0" w:color="auto"/>
              <w:right w:val="single" w:sz="2" w:space="0" w:color="auto"/>
            </w:tcBorders>
            <w:vAlign w:val="center"/>
          </w:tcPr>
          <w:p w14:paraId="200B19B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39.18%</w:t>
            </w:r>
          </w:p>
        </w:tc>
        <w:tc>
          <w:tcPr>
            <w:tcW w:w="1928" w:type="dxa"/>
            <w:tcBorders>
              <w:top w:val="single" w:sz="2" w:space="0" w:color="auto"/>
              <w:left w:val="single" w:sz="2" w:space="0" w:color="auto"/>
              <w:bottom w:val="single" w:sz="2" w:space="0" w:color="auto"/>
              <w:right w:val="single" w:sz="2" w:space="0" w:color="auto"/>
            </w:tcBorders>
            <w:vAlign w:val="center"/>
          </w:tcPr>
          <w:p w14:paraId="64E540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1,645,304.17</w:t>
            </w:r>
          </w:p>
        </w:tc>
        <w:tc>
          <w:tcPr>
            <w:tcW w:w="1928" w:type="dxa"/>
            <w:tcBorders>
              <w:top w:val="single" w:sz="2" w:space="0" w:color="auto"/>
              <w:left w:val="single" w:sz="2" w:space="0" w:color="auto"/>
              <w:bottom w:val="single" w:sz="2" w:space="0" w:color="auto"/>
              <w:right w:val="single" w:sz="2" w:space="0" w:color="auto"/>
            </w:tcBorders>
            <w:vAlign w:val="center"/>
          </w:tcPr>
          <w:p w14:paraId="49F831E4"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19ECC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19,850,047.27</w:t>
            </w:r>
          </w:p>
        </w:tc>
      </w:tr>
      <w:tr w:rsidR="00F73301" w:rsidRPr="00F73301" w14:paraId="75D22FE4"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5C600CE6" w14:textId="6A132D3C" w:rsidR="00F73301" w:rsidRPr="00F73301" w:rsidRDefault="00F73301" w:rsidP="00F87479">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Sichuan </w:t>
            </w:r>
            <w:proofErr w:type="spellStart"/>
            <w:r w:rsidRPr="00F73301">
              <w:rPr>
                <w:rFonts w:ascii="Times New Roman" w:eastAsia="宋体" w:hAnsi="Times New Roman" w:cs="Times New Roman"/>
                <w:sz w:val="18"/>
                <w:szCs w:val="18"/>
              </w:rPr>
              <w:t>Yajixin</w:t>
            </w:r>
            <w:proofErr w:type="spellEnd"/>
          </w:p>
        </w:tc>
        <w:tc>
          <w:tcPr>
            <w:tcW w:w="1928" w:type="dxa"/>
            <w:tcBorders>
              <w:top w:val="single" w:sz="2" w:space="0" w:color="auto"/>
              <w:left w:val="single" w:sz="2" w:space="0" w:color="auto"/>
              <w:bottom w:val="single" w:sz="2" w:space="0" w:color="auto"/>
              <w:right w:val="single" w:sz="2" w:space="0" w:color="auto"/>
            </w:tcBorders>
            <w:vAlign w:val="center"/>
          </w:tcPr>
          <w:p w14:paraId="6BDBAD8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14:paraId="659D8D1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-7,523,132.21</w:t>
            </w:r>
          </w:p>
        </w:tc>
        <w:tc>
          <w:tcPr>
            <w:tcW w:w="1928" w:type="dxa"/>
            <w:tcBorders>
              <w:top w:val="single" w:sz="2" w:space="0" w:color="auto"/>
              <w:left w:val="single" w:sz="2" w:space="0" w:color="auto"/>
              <w:bottom w:val="single" w:sz="2" w:space="0" w:color="auto"/>
              <w:right w:val="single" w:sz="2" w:space="0" w:color="auto"/>
            </w:tcBorders>
            <w:vAlign w:val="center"/>
          </w:tcPr>
          <w:p w14:paraId="683B15F4"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DC626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12,105,255.84</w:t>
            </w:r>
          </w:p>
        </w:tc>
      </w:tr>
      <w:tr w:rsidR="00F73301" w:rsidRPr="00F73301" w14:paraId="14B5DA2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1B842D5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p>
        </w:tc>
        <w:tc>
          <w:tcPr>
            <w:tcW w:w="1928" w:type="dxa"/>
            <w:tcBorders>
              <w:top w:val="single" w:sz="2" w:space="0" w:color="auto"/>
              <w:left w:val="single" w:sz="2" w:space="0" w:color="auto"/>
              <w:bottom w:val="single" w:sz="2" w:space="0" w:color="auto"/>
              <w:right w:val="single" w:sz="2" w:space="0" w:color="auto"/>
            </w:tcBorders>
            <w:vAlign w:val="center"/>
          </w:tcPr>
          <w:p w14:paraId="38CB876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30.00%</w:t>
            </w:r>
          </w:p>
        </w:tc>
        <w:tc>
          <w:tcPr>
            <w:tcW w:w="1928" w:type="dxa"/>
            <w:tcBorders>
              <w:top w:val="single" w:sz="2" w:space="0" w:color="auto"/>
              <w:left w:val="single" w:sz="2" w:space="0" w:color="auto"/>
              <w:bottom w:val="single" w:sz="2" w:space="0" w:color="auto"/>
              <w:right w:val="single" w:sz="2" w:space="0" w:color="auto"/>
            </w:tcBorders>
            <w:vAlign w:val="center"/>
          </w:tcPr>
          <w:p w14:paraId="7316EB8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223,796,875.31</w:t>
            </w:r>
          </w:p>
        </w:tc>
        <w:tc>
          <w:tcPr>
            <w:tcW w:w="1928" w:type="dxa"/>
            <w:tcBorders>
              <w:top w:val="single" w:sz="2" w:space="0" w:color="auto"/>
              <w:left w:val="single" w:sz="2" w:space="0" w:color="auto"/>
              <w:bottom w:val="single" w:sz="2" w:space="0" w:color="auto"/>
              <w:right w:val="single" w:sz="2" w:space="0" w:color="auto"/>
            </w:tcBorders>
            <w:vAlign w:val="center"/>
          </w:tcPr>
          <w:p w14:paraId="5156D48A"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B24900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223,796,875.31</w:t>
            </w:r>
          </w:p>
        </w:tc>
      </w:tr>
    </w:tbl>
    <w:p w14:paraId="1F7E9E7A"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Holding proportion of minority interests in subsidiary different from voting proportion:</w:t>
      </w:r>
    </w:p>
    <w:p w14:paraId="57926A69"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70931E9"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6CC8379"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EDC8BE8"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12" w:name="_Toc989200"/>
      <w:r w:rsidRPr="00F73301">
        <w:rPr>
          <w:rFonts w:ascii="Times New Roman" w:eastAsia="宋体" w:hAnsi="Times New Roman" w:cs="Times New Roman"/>
          <w:b/>
          <w:bCs/>
          <w:sz w:val="24"/>
          <w:szCs w:val="24"/>
        </w:rPr>
        <w:t>(3) The main financial information of significant not wholly-owned subsidiaries</w:t>
      </w:r>
      <w:bookmarkEnd w:id="312"/>
    </w:p>
    <w:p w14:paraId="3DEFF9A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48"/>
        <w:gridCol w:w="634"/>
        <w:gridCol w:w="741"/>
        <w:gridCol w:w="741"/>
        <w:gridCol w:w="741"/>
        <w:gridCol w:w="741"/>
        <w:gridCol w:w="744"/>
        <w:gridCol w:w="741"/>
        <w:gridCol w:w="741"/>
        <w:gridCol w:w="741"/>
        <w:gridCol w:w="741"/>
        <w:gridCol w:w="741"/>
        <w:gridCol w:w="744"/>
      </w:tblGrid>
      <w:tr w:rsidR="00F73301" w:rsidRPr="008A539F" w14:paraId="2945A079" w14:textId="77777777" w:rsidTr="008A539F">
        <w:trPr>
          <w:jc w:val="center"/>
        </w:trPr>
        <w:tc>
          <w:tcPr>
            <w:tcW w:w="84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4A5D1B"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Subsidiary</w:t>
            </w:r>
          </w:p>
        </w:tc>
        <w:tc>
          <w:tcPr>
            <w:tcW w:w="4342"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51E2A6EE"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Closing balance</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7F2AD54B"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Opening balance</w:t>
            </w:r>
          </w:p>
        </w:tc>
      </w:tr>
      <w:tr w:rsidR="008C49B7" w:rsidRPr="008A539F" w14:paraId="6F9A07F5" w14:textId="77777777" w:rsidTr="008A539F">
        <w:trPr>
          <w:jc w:val="center"/>
        </w:trPr>
        <w:tc>
          <w:tcPr>
            <w:tcW w:w="84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F2A101B" w14:textId="77777777" w:rsidR="00F73301" w:rsidRPr="008A539F" w:rsidRDefault="00F73301" w:rsidP="008C49B7">
            <w:pPr>
              <w:snapToGrid w:val="0"/>
              <w:rPr>
                <w:rFonts w:ascii="Times New Roman" w:eastAsia="等线" w:hAnsi="Times New Roman" w:cs="Times New Roman"/>
                <w:sz w:val="16"/>
                <w:szCs w:val="16"/>
              </w:rPr>
            </w:pPr>
          </w:p>
        </w:tc>
        <w:tc>
          <w:tcPr>
            <w:tcW w:w="634" w:type="dxa"/>
            <w:tcBorders>
              <w:top w:val="single" w:sz="2" w:space="0" w:color="auto"/>
              <w:left w:val="single" w:sz="2" w:space="0" w:color="auto"/>
              <w:bottom w:val="single" w:sz="2" w:space="0" w:color="auto"/>
              <w:right w:val="single" w:sz="2" w:space="0" w:color="auto"/>
            </w:tcBorders>
            <w:shd w:val="clear" w:color="auto" w:fill="D3D3D3"/>
            <w:vAlign w:val="center"/>
          </w:tcPr>
          <w:p w14:paraId="3BB8C6F5"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Current assets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AB57541"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Non-current assets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E6006B1"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Total assets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4EDAA77"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Current liabilities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CB15BDD"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Non-current liabilities</w:t>
            </w:r>
          </w:p>
        </w:tc>
        <w:tc>
          <w:tcPr>
            <w:tcW w:w="744" w:type="dxa"/>
            <w:tcBorders>
              <w:top w:val="single" w:sz="2" w:space="0" w:color="auto"/>
              <w:left w:val="single" w:sz="2" w:space="0" w:color="auto"/>
              <w:bottom w:val="single" w:sz="2" w:space="0" w:color="auto"/>
              <w:right w:val="single" w:sz="2" w:space="0" w:color="auto"/>
            </w:tcBorders>
            <w:shd w:val="clear" w:color="auto" w:fill="D3D3D3"/>
            <w:vAlign w:val="center"/>
          </w:tcPr>
          <w:p w14:paraId="4B1E15CF"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Total liabilities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C378EF3"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Current assets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A73D791"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Non-current assets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921C6F8"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Total assets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FDAE426"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Current liabilities</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B6F474A"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Non-current liabilities</w:t>
            </w:r>
          </w:p>
        </w:tc>
        <w:tc>
          <w:tcPr>
            <w:tcW w:w="744" w:type="dxa"/>
            <w:tcBorders>
              <w:top w:val="single" w:sz="2" w:space="0" w:color="auto"/>
              <w:left w:val="single" w:sz="2" w:space="0" w:color="auto"/>
              <w:bottom w:val="single" w:sz="2" w:space="0" w:color="auto"/>
              <w:right w:val="single" w:sz="2" w:space="0" w:color="auto"/>
            </w:tcBorders>
            <w:shd w:val="clear" w:color="auto" w:fill="D3D3D3"/>
            <w:vAlign w:val="center"/>
          </w:tcPr>
          <w:p w14:paraId="570ED8A5"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Total liabilities</w:t>
            </w:r>
          </w:p>
        </w:tc>
      </w:tr>
      <w:tr w:rsidR="00F73301" w:rsidRPr="008A539F" w14:paraId="0C9FAF2C" w14:textId="77777777" w:rsidTr="008A539F">
        <w:trPr>
          <w:jc w:val="center"/>
        </w:trPr>
        <w:tc>
          <w:tcPr>
            <w:tcW w:w="848" w:type="dxa"/>
            <w:tcBorders>
              <w:top w:val="single" w:sz="2" w:space="0" w:color="auto"/>
              <w:left w:val="single" w:sz="2" w:space="0" w:color="auto"/>
              <w:bottom w:val="single" w:sz="2" w:space="0" w:color="auto"/>
              <w:right w:val="single" w:sz="2" w:space="0" w:color="auto"/>
            </w:tcBorders>
            <w:vAlign w:val="center"/>
          </w:tcPr>
          <w:p w14:paraId="03302FEE" w14:textId="77777777" w:rsidR="00F73301" w:rsidRPr="008A539F" w:rsidRDefault="00F73301" w:rsidP="008C49B7">
            <w:pPr>
              <w:snapToGrid w:val="0"/>
              <w:rPr>
                <w:rFonts w:ascii="Times New Roman" w:eastAsia="宋体" w:hAnsi="Times New Roman" w:cs="Times New Roman"/>
                <w:sz w:val="16"/>
                <w:szCs w:val="16"/>
              </w:rPr>
            </w:pPr>
            <w:r w:rsidRPr="008A539F">
              <w:rPr>
                <w:rFonts w:ascii="Times New Roman" w:eastAsia="宋体" w:hAnsi="Times New Roman" w:cs="Times New Roman"/>
                <w:sz w:val="16"/>
                <w:szCs w:val="16"/>
              </w:rPr>
              <w:t>J&amp;V Semiconductor</w:t>
            </w:r>
          </w:p>
        </w:tc>
        <w:tc>
          <w:tcPr>
            <w:tcW w:w="634" w:type="dxa"/>
            <w:tcBorders>
              <w:top w:val="single" w:sz="2" w:space="0" w:color="auto"/>
              <w:left w:val="single" w:sz="2" w:space="0" w:color="auto"/>
              <w:bottom w:val="single" w:sz="2" w:space="0" w:color="auto"/>
              <w:right w:val="single" w:sz="2" w:space="0" w:color="auto"/>
            </w:tcBorders>
            <w:vAlign w:val="center"/>
          </w:tcPr>
          <w:p w14:paraId="6AAB5C8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232,928,469.64</w:t>
            </w:r>
          </w:p>
        </w:tc>
        <w:tc>
          <w:tcPr>
            <w:tcW w:w="741" w:type="dxa"/>
            <w:tcBorders>
              <w:top w:val="single" w:sz="2" w:space="0" w:color="auto"/>
              <w:left w:val="single" w:sz="2" w:space="0" w:color="auto"/>
              <w:bottom w:val="single" w:sz="2" w:space="0" w:color="auto"/>
              <w:right w:val="single" w:sz="2" w:space="0" w:color="auto"/>
            </w:tcBorders>
            <w:vAlign w:val="center"/>
          </w:tcPr>
          <w:p w14:paraId="4B0A9C0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403,235,658.41</w:t>
            </w:r>
          </w:p>
        </w:tc>
        <w:tc>
          <w:tcPr>
            <w:tcW w:w="741" w:type="dxa"/>
            <w:tcBorders>
              <w:top w:val="single" w:sz="2" w:space="0" w:color="auto"/>
              <w:left w:val="single" w:sz="2" w:space="0" w:color="auto"/>
              <w:bottom w:val="single" w:sz="2" w:space="0" w:color="auto"/>
              <w:right w:val="single" w:sz="2" w:space="0" w:color="auto"/>
            </w:tcBorders>
            <w:vAlign w:val="center"/>
          </w:tcPr>
          <w:p w14:paraId="7110FE0D"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636,164,128.05</w:t>
            </w:r>
          </w:p>
        </w:tc>
        <w:tc>
          <w:tcPr>
            <w:tcW w:w="741" w:type="dxa"/>
            <w:tcBorders>
              <w:top w:val="single" w:sz="2" w:space="0" w:color="auto"/>
              <w:left w:val="single" w:sz="2" w:space="0" w:color="auto"/>
              <w:bottom w:val="single" w:sz="2" w:space="0" w:color="auto"/>
              <w:right w:val="single" w:sz="2" w:space="0" w:color="auto"/>
            </w:tcBorders>
            <w:vAlign w:val="center"/>
          </w:tcPr>
          <w:p w14:paraId="33EF316F"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126,409,873.49</w:t>
            </w:r>
          </w:p>
        </w:tc>
        <w:tc>
          <w:tcPr>
            <w:tcW w:w="741" w:type="dxa"/>
            <w:tcBorders>
              <w:top w:val="single" w:sz="2" w:space="0" w:color="auto"/>
              <w:left w:val="single" w:sz="2" w:space="0" w:color="auto"/>
              <w:bottom w:val="single" w:sz="2" w:space="0" w:color="auto"/>
              <w:right w:val="single" w:sz="2" w:space="0" w:color="auto"/>
            </w:tcBorders>
            <w:vAlign w:val="center"/>
          </w:tcPr>
          <w:p w14:paraId="7A483AC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35,372,165.91</w:t>
            </w:r>
          </w:p>
        </w:tc>
        <w:tc>
          <w:tcPr>
            <w:tcW w:w="744" w:type="dxa"/>
            <w:tcBorders>
              <w:top w:val="single" w:sz="2" w:space="0" w:color="auto"/>
              <w:left w:val="single" w:sz="2" w:space="0" w:color="auto"/>
              <w:bottom w:val="single" w:sz="2" w:space="0" w:color="auto"/>
              <w:right w:val="single" w:sz="2" w:space="0" w:color="auto"/>
            </w:tcBorders>
            <w:vAlign w:val="center"/>
          </w:tcPr>
          <w:p w14:paraId="4003BAC3"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161,782,039.40</w:t>
            </w:r>
          </w:p>
        </w:tc>
        <w:tc>
          <w:tcPr>
            <w:tcW w:w="741" w:type="dxa"/>
            <w:tcBorders>
              <w:top w:val="single" w:sz="2" w:space="0" w:color="auto"/>
              <w:left w:val="single" w:sz="2" w:space="0" w:color="auto"/>
              <w:bottom w:val="single" w:sz="2" w:space="0" w:color="auto"/>
              <w:right w:val="single" w:sz="2" w:space="0" w:color="auto"/>
            </w:tcBorders>
            <w:vAlign w:val="center"/>
          </w:tcPr>
          <w:p w14:paraId="6A2095F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218,588,417.26</w:t>
            </w:r>
          </w:p>
        </w:tc>
        <w:tc>
          <w:tcPr>
            <w:tcW w:w="741" w:type="dxa"/>
            <w:tcBorders>
              <w:top w:val="single" w:sz="2" w:space="0" w:color="auto"/>
              <w:left w:val="single" w:sz="2" w:space="0" w:color="auto"/>
              <w:bottom w:val="single" w:sz="2" w:space="0" w:color="auto"/>
              <w:right w:val="single" w:sz="2" w:space="0" w:color="auto"/>
            </w:tcBorders>
            <w:vAlign w:val="center"/>
          </w:tcPr>
          <w:p w14:paraId="7F27123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378,439,936.80</w:t>
            </w:r>
          </w:p>
        </w:tc>
        <w:tc>
          <w:tcPr>
            <w:tcW w:w="741" w:type="dxa"/>
            <w:tcBorders>
              <w:top w:val="single" w:sz="2" w:space="0" w:color="auto"/>
              <w:left w:val="single" w:sz="2" w:space="0" w:color="auto"/>
              <w:bottom w:val="single" w:sz="2" w:space="0" w:color="auto"/>
              <w:right w:val="single" w:sz="2" w:space="0" w:color="auto"/>
            </w:tcBorders>
            <w:vAlign w:val="center"/>
          </w:tcPr>
          <w:p w14:paraId="18F33CE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597,028,354.06</w:t>
            </w:r>
          </w:p>
        </w:tc>
        <w:tc>
          <w:tcPr>
            <w:tcW w:w="741" w:type="dxa"/>
            <w:tcBorders>
              <w:top w:val="single" w:sz="2" w:space="0" w:color="auto"/>
              <w:left w:val="single" w:sz="2" w:space="0" w:color="auto"/>
              <w:bottom w:val="single" w:sz="2" w:space="0" w:color="auto"/>
              <w:right w:val="single" w:sz="2" w:space="0" w:color="auto"/>
            </w:tcBorders>
            <w:vAlign w:val="center"/>
          </w:tcPr>
          <w:p w14:paraId="4674FB55"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120,772,323.00</w:t>
            </w:r>
          </w:p>
        </w:tc>
        <w:tc>
          <w:tcPr>
            <w:tcW w:w="741" w:type="dxa"/>
            <w:tcBorders>
              <w:top w:val="single" w:sz="2" w:space="0" w:color="auto"/>
              <w:left w:val="single" w:sz="2" w:space="0" w:color="auto"/>
              <w:bottom w:val="single" w:sz="2" w:space="0" w:color="auto"/>
              <w:right w:val="single" w:sz="2" w:space="0" w:color="auto"/>
            </w:tcBorders>
            <w:vAlign w:val="center"/>
          </w:tcPr>
          <w:p w14:paraId="10DABE4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25,994,756.85</w:t>
            </w:r>
          </w:p>
        </w:tc>
        <w:tc>
          <w:tcPr>
            <w:tcW w:w="744" w:type="dxa"/>
            <w:tcBorders>
              <w:top w:val="single" w:sz="2" w:space="0" w:color="auto"/>
              <w:left w:val="single" w:sz="2" w:space="0" w:color="auto"/>
              <w:bottom w:val="single" w:sz="2" w:space="0" w:color="auto"/>
              <w:right w:val="single" w:sz="2" w:space="0" w:color="auto"/>
            </w:tcBorders>
            <w:vAlign w:val="center"/>
          </w:tcPr>
          <w:p w14:paraId="32C36252"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146,767,079.85</w:t>
            </w:r>
          </w:p>
        </w:tc>
      </w:tr>
      <w:tr w:rsidR="00F73301" w:rsidRPr="008A539F" w14:paraId="450E1FBE" w14:textId="77777777" w:rsidTr="008A539F">
        <w:trPr>
          <w:jc w:val="center"/>
        </w:trPr>
        <w:tc>
          <w:tcPr>
            <w:tcW w:w="848" w:type="dxa"/>
            <w:tcBorders>
              <w:top w:val="single" w:sz="2" w:space="0" w:color="auto"/>
              <w:left w:val="single" w:sz="2" w:space="0" w:color="auto"/>
              <w:bottom w:val="single" w:sz="2" w:space="0" w:color="auto"/>
              <w:right w:val="single" w:sz="2" w:space="0" w:color="auto"/>
            </w:tcBorders>
            <w:vAlign w:val="center"/>
          </w:tcPr>
          <w:p w14:paraId="650FD41E" w14:textId="0144F41E" w:rsidR="00F73301" w:rsidRPr="008A539F" w:rsidRDefault="00F73301" w:rsidP="0066314B">
            <w:pPr>
              <w:snapToGrid w:val="0"/>
              <w:rPr>
                <w:rFonts w:ascii="Times New Roman" w:eastAsia="宋体" w:hAnsi="Times New Roman" w:cs="Times New Roman"/>
                <w:sz w:val="16"/>
                <w:szCs w:val="16"/>
              </w:rPr>
            </w:pPr>
            <w:r w:rsidRPr="008A539F">
              <w:rPr>
                <w:rFonts w:ascii="Times New Roman" w:eastAsia="宋体" w:hAnsi="Times New Roman" w:cs="Times New Roman"/>
                <w:sz w:val="16"/>
                <w:szCs w:val="16"/>
              </w:rPr>
              <w:t xml:space="preserve">Chengdu </w:t>
            </w:r>
            <w:r w:rsidR="0066314B">
              <w:rPr>
                <w:rFonts w:ascii="Times New Roman" w:eastAsia="宋体" w:hAnsi="Times New Roman" w:cs="Times New Roman"/>
                <w:sz w:val="16"/>
                <w:szCs w:val="16"/>
              </w:rPr>
              <w:t>Qingyang</w:t>
            </w:r>
          </w:p>
        </w:tc>
        <w:tc>
          <w:tcPr>
            <w:tcW w:w="634" w:type="dxa"/>
            <w:tcBorders>
              <w:top w:val="single" w:sz="2" w:space="0" w:color="auto"/>
              <w:left w:val="single" w:sz="2" w:space="0" w:color="auto"/>
              <w:bottom w:val="single" w:sz="2" w:space="0" w:color="auto"/>
              <w:right w:val="single" w:sz="2" w:space="0" w:color="auto"/>
            </w:tcBorders>
            <w:vAlign w:val="center"/>
          </w:tcPr>
          <w:p w14:paraId="2B497863"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218,835,951.77</w:t>
            </w:r>
          </w:p>
        </w:tc>
        <w:tc>
          <w:tcPr>
            <w:tcW w:w="741" w:type="dxa"/>
            <w:tcBorders>
              <w:top w:val="single" w:sz="2" w:space="0" w:color="auto"/>
              <w:left w:val="single" w:sz="2" w:space="0" w:color="auto"/>
              <w:bottom w:val="single" w:sz="2" w:space="0" w:color="auto"/>
              <w:right w:val="single" w:sz="2" w:space="0" w:color="auto"/>
            </w:tcBorders>
            <w:vAlign w:val="center"/>
          </w:tcPr>
          <w:p w14:paraId="3C9C409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100,059,210.91</w:t>
            </w:r>
          </w:p>
        </w:tc>
        <w:tc>
          <w:tcPr>
            <w:tcW w:w="741" w:type="dxa"/>
            <w:tcBorders>
              <w:top w:val="single" w:sz="2" w:space="0" w:color="auto"/>
              <w:left w:val="single" w:sz="2" w:space="0" w:color="auto"/>
              <w:bottom w:val="single" w:sz="2" w:space="0" w:color="auto"/>
              <w:right w:val="single" w:sz="2" w:space="0" w:color="auto"/>
            </w:tcBorders>
            <w:vAlign w:val="center"/>
          </w:tcPr>
          <w:p w14:paraId="516787E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318,895,162.68</w:t>
            </w:r>
          </w:p>
        </w:tc>
        <w:tc>
          <w:tcPr>
            <w:tcW w:w="741" w:type="dxa"/>
            <w:tcBorders>
              <w:top w:val="single" w:sz="2" w:space="0" w:color="auto"/>
              <w:left w:val="single" w:sz="2" w:space="0" w:color="auto"/>
              <w:bottom w:val="single" w:sz="2" w:space="0" w:color="auto"/>
              <w:right w:val="single" w:sz="2" w:space="0" w:color="auto"/>
            </w:tcBorders>
            <w:vAlign w:val="center"/>
          </w:tcPr>
          <w:p w14:paraId="0BD64E1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104,548,492.32</w:t>
            </w:r>
          </w:p>
        </w:tc>
        <w:tc>
          <w:tcPr>
            <w:tcW w:w="741" w:type="dxa"/>
            <w:tcBorders>
              <w:top w:val="single" w:sz="2" w:space="0" w:color="auto"/>
              <w:left w:val="single" w:sz="2" w:space="0" w:color="auto"/>
              <w:bottom w:val="single" w:sz="2" w:space="0" w:color="auto"/>
              <w:right w:val="single" w:sz="2" w:space="0" w:color="auto"/>
            </w:tcBorders>
            <w:vAlign w:val="center"/>
          </w:tcPr>
          <w:p w14:paraId="377F7F29"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3,845,485.13</w:t>
            </w:r>
          </w:p>
        </w:tc>
        <w:tc>
          <w:tcPr>
            <w:tcW w:w="744" w:type="dxa"/>
            <w:tcBorders>
              <w:top w:val="single" w:sz="2" w:space="0" w:color="auto"/>
              <w:left w:val="single" w:sz="2" w:space="0" w:color="auto"/>
              <w:bottom w:val="single" w:sz="2" w:space="0" w:color="auto"/>
              <w:right w:val="single" w:sz="2" w:space="0" w:color="auto"/>
            </w:tcBorders>
            <w:vAlign w:val="center"/>
          </w:tcPr>
          <w:p w14:paraId="313E0C75"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108,393,977.45</w:t>
            </w:r>
          </w:p>
        </w:tc>
        <w:tc>
          <w:tcPr>
            <w:tcW w:w="741" w:type="dxa"/>
            <w:tcBorders>
              <w:top w:val="single" w:sz="2" w:space="0" w:color="auto"/>
              <w:left w:val="single" w:sz="2" w:space="0" w:color="auto"/>
              <w:bottom w:val="single" w:sz="2" w:space="0" w:color="auto"/>
              <w:right w:val="single" w:sz="2" w:space="0" w:color="auto"/>
            </w:tcBorders>
            <w:vAlign w:val="center"/>
          </w:tcPr>
          <w:p w14:paraId="34709FB3"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200,356,076.56</w:t>
            </w:r>
          </w:p>
        </w:tc>
        <w:tc>
          <w:tcPr>
            <w:tcW w:w="741" w:type="dxa"/>
            <w:tcBorders>
              <w:top w:val="single" w:sz="2" w:space="0" w:color="auto"/>
              <w:left w:val="single" w:sz="2" w:space="0" w:color="auto"/>
              <w:bottom w:val="single" w:sz="2" w:space="0" w:color="auto"/>
              <w:right w:val="single" w:sz="2" w:space="0" w:color="auto"/>
            </w:tcBorders>
            <w:vAlign w:val="center"/>
          </w:tcPr>
          <w:p w14:paraId="5FAB5C89"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103,423,127.41</w:t>
            </w:r>
          </w:p>
        </w:tc>
        <w:tc>
          <w:tcPr>
            <w:tcW w:w="741" w:type="dxa"/>
            <w:tcBorders>
              <w:top w:val="single" w:sz="2" w:space="0" w:color="auto"/>
              <w:left w:val="single" w:sz="2" w:space="0" w:color="auto"/>
              <w:bottom w:val="single" w:sz="2" w:space="0" w:color="auto"/>
              <w:right w:val="single" w:sz="2" w:space="0" w:color="auto"/>
            </w:tcBorders>
            <w:vAlign w:val="center"/>
          </w:tcPr>
          <w:p w14:paraId="4C09CAB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303,779,203.97</w:t>
            </w:r>
          </w:p>
        </w:tc>
        <w:tc>
          <w:tcPr>
            <w:tcW w:w="741" w:type="dxa"/>
            <w:tcBorders>
              <w:top w:val="single" w:sz="2" w:space="0" w:color="auto"/>
              <w:left w:val="single" w:sz="2" w:space="0" w:color="auto"/>
              <w:bottom w:val="single" w:sz="2" w:space="0" w:color="auto"/>
              <w:right w:val="single" w:sz="2" w:space="0" w:color="auto"/>
            </w:tcBorders>
            <w:vAlign w:val="center"/>
          </w:tcPr>
          <w:p w14:paraId="2EB19064"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93,045,241.75</w:t>
            </w:r>
          </w:p>
        </w:tc>
        <w:tc>
          <w:tcPr>
            <w:tcW w:w="741" w:type="dxa"/>
            <w:tcBorders>
              <w:top w:val="single" w:sz="2" w:space="0" w:color="auto"/>
              <w:left w:val="single" w:sz="2" w:space="0" w:color="auto"/>
              <w:bottom w:val="single" w:sz="2" w:space="0" w:color="auto"/>
              <w:right w:val="single" w:sz="2" w:space="0" w:color="auto"/>
            </w:tcBorders>
            <w:vAlign w:val="center"/>
          </w:tcPr>
          <w:p w14:paraId="6CFD069F"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4,289,334.11</w:t>
            </w:r>
          </w:p>
        </w:tc>
        <w:tc>
          <w:tcPr>
            <w:tcW w:w="744" w:type="dxa"/>
            <w:tcBorders>
              <w:top w:val="single" w:sz="2" w:space="0" w:color="auto"/>
              <w:left w:val="single" w:sz="2" w:space="0" w:color="auto"/>
              <w:bottom w:val="single" w:sz="2" w:space="0" w:color="auto"/>
              <w:right w:val="single" w:sz="2" w:space="0" w:color="auto"/>
            </w:tcBorders>
            <w:vAlign w:val="center"/>
          </w:tcPr>
          <w:p w14:paraId="41F3E7BD"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97,334,575.86</w:t>
            </w:r>
          </w:p>
        </w:tc>
      </w:tr>
      <w:tr w:rsidR="00F73301" w:rsidRPr="008A539F" w14:paraId="4D197038" w14:textId="77777777" w:rsidTr="008A539F">
        <w:trPr>
          <w:jc w:val="center"/>
        </w:trPr>
        <w:tc>
          <w:tcPr>
            <w:tcW w:w="848" w:type="dxa"/>
            <w:tcBorders>
              <w:top w:val="single" w:sz="2" w:space="0" w:color="auto"/>
              <w:left w:val="single" w:sz="2" w:space="0" w:color="auto"/>
              <w:bottom w:val="single" w:sz="2" w:space="0" w:color="auto"/>
              <w:right w:val="single" w:sz="2" w:space="0" w:color="auto"/>
            </w:tcBorders>
            <w:vAlign w:val="center"/>
          </w:tcPr>
          <w:p w14:paraId="49E48CF2" w14:textId="0763FED7" w:rsidR="00F73301" w:rsidRPr="008A539F" w:rsidRDefault="00F87479" w:rsidP="00F87479">
            <w:pPr>
              <w:snapToGrid w:val="0"/>
              <w:rPr>
                <w:rFonts w:ascii="Times New Roman" w:eastAsia="宋体" w:hAnsi="Times New Roman" w:cs="Times New Roman"/>
                <w:sz w:val="16"/>
                <w:szCs w:val="16"/>
              </w:rPr>
            </w:pPr>
            <w:proofErr w:type="spellStart"/>
            <w:r>
              <w:rPr>
                <w:rFonts w:ascii="Times New Roman" w:eastAsia="宋体" w:hAnsi="Times New Roman" w:cs="Times New Roman"/>
                <w:sz w:val="16"/>
                <w:szCs w:val="16"/>
              </w:rPr>
              <w:t>Yixing</w:t>
            </w:r>
            <w:proofErr w:type="spellEnd"/>
            <w:r>
              <w:rPr>
                <w:rFonts w:ascii="Times New Roman" w:eastAsia="宋体" w:hAnsi="Times New Roman" w:cs="Times New Roman"/>
                <w:sz w:val="16"/>
                <w:szCs w:val="16"/>
              </w:rPr>
              <w:t xml:space="preserve"> </w:t>
            </w:r>
            <w:proofErr w:type="spellStart"/>
            <w:r>
              <w:rPr>
                <w:rFonts w:ascii="Times New Roman" w:eastAsia="宋体" w:hAnsi="Times New Roman" w:cs="Times New Roman"/>
                <w:sz w:val="16"/>
                <w:szCs w:val="16"/>
              </w:rPr>
              <w:t>Jiexin</w:t>
            </w:r>
            <w:proofErr w:type="spellEnd"/>
          </w:p>
        </w:tc>
        <w:tc>
          <w:tcPr>
            <w:tcW w:w="634" w:type="dxa"/>
            <w:tcBorders>
              <w:top w:val="single" w:sz="2" w:space="0" w:color="auto"/>
              <w:left w:val="single" w:sz="2" w:space="0" w:color="auto"/>
              <w:bottom w:val="single" w:sz="2" w:space="0" w:color="auto"/>
              <w:right w:val="single" w:sz="2" w:space="0" w:color="auto"/>
            </w:tcBorders>
            <w:vAlign w:val="center"/>
          </w:tcPr>
          <w:p w14:paraId="60000058"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89,532,273.11</w:t>
            </w:r>
          </w:p>
        </w:tc>
        <w:tc>
          <w:tcPr>
            <w:tcW w:w="741" w:type="dxa"/>
            <w:tcBorders>
              <w:top w:val="single" w:sz="2" w:space="0" w:color="auto"/>
              <w:left w:val="single" w:sz="2" w:space="0" w:color="auto"/>
              <w:bottom w:val="single" w:sz="2" w:space="0" w:color="auto"/>
              <w:right w:val="single" w:sz="2" w:space="0" w:color="auto"/>
            </w:tcBorders>
            <w:vAlign w:val="center"/>
          </w:tcPr>
          <w:p w14:paraId="7B1A2767"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106,601,669.72</w:t>
            </w:r>
          </w:p>
        </w:tc>
        <w:tc>
          <w:tcPr>
            <w:tcW w:w="741" w:type="dxa"/>
            <w:tcBorders>
              <w:top w:val="single" w:sz="2" w:space="0" w:color="auto"/>
              <w:left w:val="single" w:sz="2" w:space="0" w:color="auto"/>
              <w:bottom w:val="single" w:sz="2" w:space="0" w:color="auto"/>
              <w:right w:val="single" w:sz="2" w:space="0" w:color="auto"/>
            </w:tcBorders>
            <w:vAlign w:val="center"/>
          </w:tcPr>
          <w:p w14:paraId="356688C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196,133,942.83</w:t>
            </w:r>
          </w:p>
        </w:tc>
        <w:tc>
          <w:tcPr>
            <w:tcW w:w="741" w:type="dxa"/>
            <w:tcBorders>
              <w:top w:val="single" w:sz="2" w:space="0" w:color="auto"/>
              <w:left w:val="single" w:sz="2" w:space="0" w:color="auto"/>
              <w:bottom w:val="single" w:sz="2" w:space="0" w:color="auto"/>
              <w:right w:val="single" w:sz="2" w:space="0" w:color="auto"/>
            </w:tcBorders>
            <w:vAlign w:val="center"/>
          </w:tcPr>
          <w:p w14:paraId="399A764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89,383,040.01</w:t>
            </w:r>
          </w:p>
        </w:tc>
        <w:tc>
          <w:tcPr>
            <w:tcW w:w="741" w:type="dxa"/>
            <w:tcBorders>
              <w:top w:val="single" w:sz="2" w:space="0" w:color="auto"/>
              <w:left w:val="single" w:sz="2" w:space="0" w:color="auto"/>
              <w:bottom w:val="single" w:sz="2" w:space="0" w:color="auto"/>
              <w:right w:val="single" w:sz="2" w:space="0" w:color="auto"/>
            </w:tcBorders>
            <w:vAlign w:val="center"/>
          </w:tcPr>
          <w:p w14:paraId="75B8C49B"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3,466,928.59</w:t>
            </w:r>
          </w:p>
        </w:tc>
        <w:tc>
          <w:tcPr>
            <w:tcW w:w="744" w:type="dxa"/>
            <w:tcBorders>
              <w:top w:val="single" w:sz="2" w:space="0" w:color="auto"/>
              <w:left w:val="single" w:sz="2" w:space="0" w:color="auto"/>
              <w:bottom w:val="single" w:sz="2" w:space="0" w:color="auto"/>
              <w:right w:val="single" w:sz="2" w:space="0" w:color="auto"/>
            </w:tcBorders>
            <w:vAlign w:val="center"/>
          </w:tcPr>
          <w:p w14:paraId="4C5B525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92,849,968.60</w:t>
            </w:r>
          </w:p>
        </w:tc>
        <w:tc>
          <w:tcPr>
            <w:tcW w:w="741" w:type="dxa"/>
            <w:tcBorders>
              <w:top w:val="single" w:sz="2" w:space="0" w:color="auto"/>
              <w:left w:val="single" w:sz="2" w:space="0" w:color="auto"/>
              <w:bottom w:val="single" w:sz="2" w:space="0" w:color="auto"/>
              <w:right w:val="single" w:sz="2" w:space="0" w:color="auto"/>
            </w:tcBorders>
            <w:vAlign w:val="center"/>
          </w:tcPr>
          <w:p w14:paraId="667299F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84,135,213.29</w:t>
            </w:r>
          </w:p>
        </w:tc>
        <w:tc>
          <w:tcPr>
            <w:tcW w:w="741" w:type="dxa"/>
            <w:tcBorders>
              <w:top w:val="single" w:sz="2" w:space="0" w:color="auto"/>
              <w:left w:val="single" w:sz="2" w:space="0" w:color="auto"/>
              <w:bottom w:val="single" w:sz="2" w:space="0" w:color="auto"/>
              <w:right w:val="single" w:sz="2" w:space="0" w:color="auto"/>
            </w:tcBorders>
            <w:vAlign w:val="center"/>
          </w:tcPr>
          <w:p w14:paraId="558961B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102,669,496.28</w:t>
            </w:r>
          </w:p>
        </w:tc>
        <w:tc>
          <w:tcPr>
            <w:tcW w:w="741" w:type="dxa"/>
            <w:tcBorders>
              <w:top w:val="single" w:sz="2" w:space="0" w:color="auto"/>
              <w:left w:val="single" w:sz="2" w:space="0" w:color="auto"/>
              <w:bottom w:val="single" w:sz="2" w:space="0" w:color="auto"/>
              <w:right w:val="single" w:sz="2" w:space="0" w:color="auto"/>
            </w:tcBorders>
            <w:vAlign w:val="center"/>
          </w:tcPr>
          <w:p w14:paraId="127659D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186,804,709.57</w:t>
            </w:r>
          </w:p>
        </w:tc>
        <w:tc>
          <w:tcPr>
            <w:tcW w:w="741" w:type="dxa"/>
            <w:tcBorders>
              <w:top w:val="single" w:sz="2" w:space="0" w:color="auto"/>
              <w:left w:val="single" w:sz="2" w:space="0" w:color="auto"/>
              <w:bottom w:val="single" w:sz="2" w:space="0" w:color="auto"/>
              <w:right w:val="single" w:sz="2" w:space="0" w:color="auto"/>
            </w:tcBorders>
            <w:vAlign w:val="center"/>
          </w:tcPr>
          <w:p w14:paraId="61603A1B"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84,442,789.75</w:t>
            </w:r>
          </w:p>
        </w:tc>
        <w:tc>
          <w:tcPr>
            <w:tcW w:w="741" w:type="dxa"/>
            <w:tcBorders>
              <w:top w:val="single" w:sz="2" w:space="0" w:color="auto"/>
              <w:left w:val="single" w:sz="2" w:space="0" w:color="auto"/>
              <w:bottom w:val="single" w:sz="2" w:space="0" w:color="auto"/>
              <w:right w:val="single" w:sz="2" w:space="0" w:color="auto"/>
            </w:tcBorders>
            <w:vAlign w:val="center"/>
          </w:tcPr>
          <w:p w14:paraId="43A20AD4"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3,491,389.07</w:t>
            </w:r>
          </w:p>
        </w:tc>
        <w:tc>
          <w:tcPr>
            <w:tcW w:w="744" w:type="dxa"/>
            <w:tcBorders>
              <w:top w:val="single" w:sz="2" w:space="0" w:color="auto"/>
              <w:left w:val="single" w:sz="2" w:space="0" w:color="auto"/>
              <w:bottom w:val="single" w:sz="2" w:space="0" w:color="auto"/>
              <w:right w:val="single" w:sz="2" w:space="0" w:color="auto"/>
            </w:tcBorders>
            <w:vAlign w:val="center"/>
          </w:tcPr>
          <w:p w14:paraId="3A864BDF"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87,934,178.82</w:t>
            </w:r>
          </w:p>
        </w:tc>
      </w:tr>
      <w:tr w:rsidR="00F73301" w:rsidRPr="008A539F" w14:paraId="0A12047E" w14:textId="77777777" w:rsidTr="008A539F">
        <w:trPr>
          <w:jc w:val="center"/>
        </w:trPr>
        <w:tc>
          <w:tcPr>
            <w:tcW w:w="848" w:type="dxa"/>
            <w:tcBorders>
              <w:top w:val="single" w:sz="2" w:space="0" w:color="auto"/>
              <w:left w:val="single" w:sz="2" w:space="0" w:color="auto"/>
              <w:bottom w:val="single" w:sz="2" w:space="0" w:color="auto"/>
              <w:right w:val="single" w:sz="2" w:space="0" w:color="auto"/>
            </w:tcBorders>
            <w:vAlign w:val="center"/>
          </w:tcPr>
          <w:p w14:paraId="63F2F5C0" w14:textId="28CC9DA7" w:rsidR="00F73301" w:rsidRPr="008A539F" w:rsidRDefault="00F87479" w:rsidP="00F87479">
            <w:pPr>
              <w:snapToGrid w:val="0"/>
              <w:rPr>
                <w:rFonts w:ascii="Times New Roman" w:eastAsia="宋体" w:hAnsi="Times New Roman" w:cs="Times New Roman"/>
                <w:sz w:val="16"/>
                <w:szCs w:val="16"/>
              </w:rPr>
            </w:pPr>
            <w:r>
              <w:rPr>
                <w:rFonts w:ascii="Times New Roman" w:eastAsia="宋体" w:hAnsi="Times New Roman" w:cs="Times New Roman"/>
                <w:sz w:val="16"/>
                <w:szCs w:val="16"/>
              </w:rPr>
              <w:t xml:space="preserve">Jiangsu </w:t>
            </w:r>
            <w:proofErr w:type="spellStart"/>
            <w:r>
              <w:rPr>
                <w:rFonts w:ascii="Times New Roman" w:eastAsia="宋体" w:hAnsi="Times New Roman" w:cs="Times New Roman"/>
                <w:sz w:val="16"/>
                <w:szCs w:val="16"/>
              </w:rPr>
              <w:t>Runau</w:t>
            </w:r>
            <w:proofErr w:type="spellEnd"/>
          </w:p>
        </w:tc>
        <w:tc>
          <w:tcPr>
            <w:tcW w:w="634" w:type="dxa"/>
            <w:tcBorders>
              <w:top w:val="single" w:sz="2" w:space="0" w:color="auto"/>
              <w:left w:val="single" w:sz="2" w:space="0" w:color="auto"/>
              <w:bottom w:val="single" w:sz="2" w:space="0" w:color="auto"/>
              <w:right w:val="single" w:sz="2" w:space="0" w:color="auto"/>
            </w:tcBorders>
            <w:vAlign w:val="center"/>
          </w:tcPr>
          <w:p w14:paraId="7ACAA5A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55,624,897.15</w:t>
            </w:r>
          </w:p>
        </w:tc>
        <w:tc>
          <w:tcPr>
            <w:tcW w:w="741" w:type="dxa"/>
            <w:tcBorders>
              <w:top w:val="single" w:sz="2" w:space="0" w:color="auto"/>
              <w:left w:val="single" w:sz="2" w:space="0" w:color="auto"/>
              <w:bottom w:val="single" w:sz="2" w:space="0" w:color="auto"/>
              <w:right w:val="single" w:sz="2" w:space="0" w:color="auto"/>
            </w:tcBorders>
            <w:vAlign w:val="center"/>
          </w:tcPr>
          <w:p w14:paraId="4B4309B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24,908,020.92</w:t>
            </w:r>
          </w:p>
        </w:tc>
        <w:tc>
          <w:tcPr>
            <w:tcW w:w="741" w:type="dxa"/>
            <w:tcBorders>
              <w:top w:val="single" w:sz="2" w:space="0" w:color="auto"/>
              <w:left w:val="single" w:sz="2" w:space="0" w:color="auto"/>
              <w:bottom w:val="single" w:sz="2" w:space="0" w:color="auto"/>
              <w:right w:val="single" w:sz="2" w:space="0" w:color="auto"/>
            </w:tcBorders>
            <w:vAlign w:val="center"/>
          </w:tcPr>
          <w:p w14:paraId="65D93F25"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80,532,918.07</w:t>
            </w:r>
          </w:p>
        </w:tc>
        <w:tc>
          <w:tcPr>
            <w:tcW w:w="741" w:type="dxa"/>
            <w:tcBorders>
              <w:top w:val="single" w:sz="2" w:space="0" w:color="auto"/>
              <w:left w:val="single" w:sz="2" w:space="0" w:color="auto"/>
              <w:bottom w:val="single" w:sz="2" w:space="0" w:color="auto"/>
              <w:right w:val="single" w:sz="2" w:space="0" w:color="auto"/>
            </w:tcBorders>
            <w:vAlign w:val="center"/>
          </w:tcPr>
          <w:p w14:paraId="5A586414"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37,794,540.87</w:t>
            </w:r>
          </w:p>
        </w:tc>
        <w:tc>
          <w:tcPr>
            <w:tcW w:w="741" w:type="dxa"/>
            <w:tcBorders>
              <w:top w:val="single" w:sz="2" w:space="0" w:color="auto"/>
              <w:left w:val="single" w:sz="2" w:space="0" w:color="auto"/>
              <w:bottom w:val="single" w:sz="2" w:space="0" w:color="auto"/>
              <w:right w:val="single" w:sz="2" w:space="0" w:color="auto"/>
            </w:tcBorders>
            <w:vAlign w:val="center"/>
          </w:tcPr>
          <w:p w14:paraId="0C0433D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294,629.53</w:t>
            </w:r>
          </w:p>
        </w:tc>
        <w:tc>
          <w:tcPr>
            <w:tcW w:w="744" w:type="dxa"/>
            <w:tcBorders>
              <w:top w:val="single" w:sz="2" w:space="0" w:color="auto"/>
              <w:left w:val="single" w:sz="2" w:space="0" w:color="auto"/>
              <w:bottom w:val="single" w:sz="2" w:space="0" w:color="auto"/>
              <w:right w:val="single" w:sz="2" w:space="0" w:color="auto"/>
            </w:tcBorders>
            <w:vAlign w:val="center"/>
          </w:tcPr>
          <w:p w14:paraId="1845EAD8"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38,089,170.40</w:t>
            </w:r>
          </w:p>
        </w:tc>
        <w:tc>
          <w:tcPr>
            <w:tcW w:w="741" w:type="dxa"/>
            <w:tcBorders>
              <w:top w:val="single" w:sz="2" w:space="0" w:color="auto"/>
              <w:left w:val="single" w:sz="2" w:space="0" w:color="auto"/>
              <w:bottom w:val="single" w:sz="2" w:space="0" w:color="auto"/>
              <w:right w:val="single" w:sz="2" w:space="0" w:color="auto"/>
            </w:tcBorders>
            <w:vAlign w:val="center"/>
          </w:tcPr>
          <w:p w14:paraId="4D4F203B"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46,820,837.60</w:t>
            </w:r>
          </w:p>
        </w:tc>
        <w:tc>
          <w:tcPr>
            <w:tcW w:w="741" w:type="dxa"/>
            <w:tcBorders>
              <w:top w:val="single" w:sz="2" w:space="0" w:color="auto"/>
              <w:left w:val="single" w:sz="2" w:space="0" w:color="auto"/>
              <w:bottom w:val="single" w:sz="2" w:space="0" w:color="auto"/>
              <w:right w:val="single" w:sz="2" w:space="0" w:color="auto"/>
            </w:tcBorders>
            <w:vAlign w:val="center"/>
          </w:tcPr>
          <w:p w14:paraId="6F94676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19,672,731.51</w:t>
            </w:r>
          </w:p>
        </w:tc>
        <w:tc>
          <w:tcPr>
            <w:tcW w:w="741" w:type="dxa"/>
            <w:tcBorders>
              <w:top w:val="single" w:sz="2" w:space="0" w:color="auto"/>
              <w:left w:val="single" w:sz="2" w:space="0" w:color="auto"/>
              <w:bottom w:val="single" w:sz="2" w:space="0" w:color="auto"/>
              <w:right w:val="single" w:sz="2" w:space="0" w:color="auto"/>
            </w:tcBorders>
            <w:vAlign w:val="center"/>
          </w:tcPr>
          <w:p w14:paraId="2B4EB5F4"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66,493,569.11</w:t>
            </w:r>
          </w:p>
        </w:tc>
        <w:tc>
          <w:tcPr>
            <w:tcW w:w="741" w:type="dxa"/>
            <w:tcBorders>
              <w:top w:val="single" w:sz="2" w:space="0" w:color="auto"/>
              <w:left w:val="single" w:sz="2" w:space="0" w:color="auto"/>
              <w:bottom w:val="single" w:sz="2" w:space="0" w:color="auto"/>
              <w:right w:val="single" w:sz="2" w:space="0" w:color="auto"/>
            </w:tcBorders>
            <w:vAlign w:val="center"/>
          </w:tcPr>
          <w:p w14:paraId="05A710A9"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27,914,978.41</w:t>
            </w:r>
          </w:p>
        </w:tc>
        <w:tc>
          <w:tcPr>
            <w:tcW w:w="741" w:type="dxa"/>
            <w:tcBorders>
              <w:top w:val="single" w:sz="2" w:space="0" w:color="auto"/>
              <w:left w:val="single" w:sz="2" w:space="0" w:color="auto"/>
              <w:bottom w:val="single" w:sz="2" w:space="0" w:color="auto"/>
              <w:right w:val="single" w:sz="2" w:space="0" w:color="auto"/>
            </w:tcBorders>
            <w:vAlign w:val="center"/>
          </w:tcPr>
          <w:p w14:paraId="7536CDA7"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334,629.55</w:t>
            </w:r>
          </w:p>
        </w:tc>
        <w:tc>
          <w:tcPr>
            <w:tcW w:w="744" w:type="dxa"/>
            <w:tcBorders>
              <w:top w:val="single" w:sz="2" w:space="0" w:color="auto"/>
              <w:left w:val="single" w:sz="2" w:space="0" w:color="auto"/>
              <w:bottom w:val="single" w:sz="2" w:space="0" w:color="auto"/>
              <w:right w:val="single" w:sz="2" w:space="0" w:color="auto"/>
            </w:tcBorders>
            <w:vAlign w:val="center"/>
          </w:tcPr>
          <w:p w14:paraId="527C6A97"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28,249,607.96</w:t>
            </w:r>
          </w:p>
        </w:tc>
      </w:tr>
      <w:tr w:rsidR="00F73301" w:rsidRPr="008A539F" w14:paraId="6D132AAD" w14:textId="77777777" w:rsidTr="008A539F">
        <w:trPr>
          <w:jc w:val="center"/>
        </w:trPr>
        <w:tc>
          <w:tcPr>
            <w:tcW w:w="848" w:type="dxa"/>
            <w:tcBorders>
              <w:top w:val="single" w:sz="2" w:space="0" w:color="auto"/>
              <w:left w:val="single" w:sz="2" w:space="0" w:color="auto"/>
              <w:bottom w:val="single" w:sz="2" w:space="0" w:color="auto"/>
              <w:right w:val="single" w:sz="2" w:space="0" w:color="auto"/>
            </w:tcBorders>
            <w:vAlign w:val="center"/>
          </w:tcPr>
          <w:p w14:paraId="7042FCE2" w14:textId="340FF9E2" w:rsidR="00F73301" w:rsidRPr="008A539F" w:rsidRDefault="00F87479" w:rsidP="00F87479">
            <w:pPr>
              <w:snapToGrid w:val="0"/>
              <w:rPr>
                <w:rFonts w:ascii="Times New Roman" w:eastAsia="宋体" w:hAnsi="Times New Roman" w:cs="Times New Roman"/>
                <w:sz w:val="16"/>
                <w:szCs w:val="16"/>
              </w:rPr>
            </w:pPr>
            <w:r>
              <w:rPr>
                <w:rFonts w:ascii="Times New Roman" w:eastAsia="宋体" w:hAnsi="Times New Roman" w:cs="Times New Roman"/>
                <w:sz w:val="16"/>
                <w:szCs w:val="16"/>
              </w:rPr>
              <w:t xml:space="preserve">Sichuan </w:t>
            </w:r>
            <w:proofErr w:type="spellStart"/>
            <w:r>
              <w:rPr>
                <w:rFonts w:ascii="Times New Roman" w:eastAsia="宋体" w:hAnsi="Times New Roman" w:cs="Times New Roman"/>
                <w:sz w:val="16"/>
                <w:szCs w:val="16"/>
              </w:rPr>
              <w:t>Yajixin</w:t>
            </w:r>
            <w:proofErr w:type="spellEnd"/>
          </w:p>
        </w:tc>
        <w:tc>
          <w:tcPr>
            <w:tcW w:w="634" w:type="dxa"/>
            <w:tcBorders>
              <w:top w:val="single" w:sz="2" w:space="0" w:color="auto"/>
              <w:left w:val="single" w:sz="2" w:space="0" w:color="auto"/>
              <w:bottom w:val="single" w:sz="2" w:space="0" w:color="auto"/>
              <w:right w:val="single" w:sz="2" w:space="0" w:color="auto"/>
            </w:tcBorders>
            <w:vAlign w:val="center"/>
          </w:tcPr>
          <w:p w14:paraId="54EC6342"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79,967,371.25</w:t>
            </w:r>
          </w:p>
        </w:tc>
        <w:tc>
          <w:tcPr>
            <w:tcW w:w="741" w:type="dxa"/>
            <w:tcBorders>
              <w:top w:val="single" w:sz="2" w:space="0" w:color="auto"/>
              <w:left w:val="single" w:sz="2" w:space="0" w:color="auto"/>
              <w:bottom w:val="single" w:sz="2" w:space="0" w:color="auto"/>
              <w:right w:val="single" w:sz="2" w:space="0" w:color="auto"/>
            </w:tcBorders>
            <w:vAlign w:val="center"/>
          </w:tcPr>
          <w:p w14:paraId="0BA8D03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253,815,746.78</w:t>
            </w:r>
          </w:p>
        </w:tc>
        <w:tc>
          <w:tcPr>
            <w:tcW w:w="741" w:type="dxa"/>
            <w:tcBorders>
              <w:top w:val="single" w:sz="2" w:space="0" w:color="auto"/>
              <w:left w:val="single" w:sz="2" w:space="0" w:color="auto"/>
              <w:bottom w:val="single" w:sz="2" w:space="0" w:color="auto"/>
              <w:right w:val="single" w:sz="2" w:space="0" w:color="auto"/>
            </w:tcBorders>
            <w:vAlign w:val="center"/>
          </w:tcPr>
          <w:p w14:paraId="66499843"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333,783,118.03</w:t>
            </w:r>
          </w:p>
        </w:tc>
        <w:tc>
          <w:tcPr>
            <w:tcW w:w="741" w:type="dxa"/>
            <w:tcBorders>
              <w:top w:val="single" w:sz="2" w:space="0" w:color="auto"/>
              <w:left w:val="single" w:sz="2" w:space="0" w:color="auto"/>
              <w:bottom w:val="single" w:sz="2" w:space="0" w:color="auto"/>
              <w:right w:val="single" w:sz="2" w:space="0" w:color="auto"/>
            </w:tcBorders>
            <w:vAlign w:val="center"/>
          </w:tcPr>
          <w:p w14:paraId="306335F5"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151,430,607.44</w:t>
            </w:r>
          </w:p>
        </w:tc>
        <w:tc>
          <w:tcPr>
            <w:tcW w:w="741" w:type="dxa"/>
            <w:tcBorders>
              <w:top w:val="single" w:sz="2" w:space="0" w:color="auto"/>
              <w:left w:val="single" w:sz="2" w:space="0" w:color="auto"/>
              <w:bottom w:val="single" w:sz="2" w:space="0" w:color="auto"/>
              <w:right w:val="single" w:sz="2" w:space="0" w:color="auto"/>
            </w:tcBorders>
            <w:vAlign w:val="center"/>
          </w:tcPr>
          <w:p w14:paraId="6919B5E4"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112,069,297.88</w:t>
            </w:r>
          </w:p>
        </w:tc>
        <w:tc>
          <w:tcPr>
            <w:tcW w:w="744" w:type="dxa"/>
            <w:tcBorders>
              <w:top w:val="single" w:sz="2" w:space="0" w:color="auto"/>
              <w:left w:val="single" w:sz="2" w:space="0" w:color="auto"/>
              <w:bottom w:val="single" w:sz="2" w:space="0" w:color="auto"/>
              <w:right w:val="single" w:sz="2" w:space="0" w:color="auto"/>
            </w:tcBorders>
            <w:vAlign w:val="center"/>
          </w:tcPr>
          <w:p w14:paraId="1A63ED62"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263,499,905.32</w:t>
            </w:r>
          </w:p>
        </w:tc>
        <w:tc>
          <w:tcPr>
            <w:tcW w:w="741" w:type="dxa"/>
            <w:tcBorders>
              <w:top w:val="single" w:sz="2" w:space="0" w:color="auto"/>
              <w:left w:val="single" w:sz="2" w:space="0" w:color="auto"/>
              <w:bottom w:val="single" w:sz="2" w:space="0" w:color="auto"/>
              <w:right w:val="single" w:sz="2" w:space="0" w:color="auto"/>
            </w:tcBorders>
            <w:vAlign w:val="center"/>
          </w:tcPr>
          <w:p w14:paraId="06967E41"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64,852,428.56</w:t>
            </w:r>
          </w:p>
        </w:tc>
        <w:tc>
          <w:tcPr>
            <w:tcW w:w="741" w:type="dxa"/>
            <w:tcBorders>
              <w:top w:val="single" w:sz="2" w:space="0" w:color="auto"/>
              <w:left w:val="single" w:sz="2" w:space="0" w:color="auto"/>
              <w:bottom w:val="single" w:sz="2" w:space="0" w:color="auto"/>
              <w:right w:val="single" w:sz="2" w:space="0" w:color="auto"/>
            </w:tcBorders>
            <w:vAlign w:val="center"/>
          </w:tcPr>
          <w:p w14:paraId="5676393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259,138,793.78</w:t>
            </w:r>
          </w:p>
        </w:tc>
        <w:tc>
          <w:tcPr>
            <w:tcW w:w="741" w:type="dxa"/>
            <w:tcBorders>
              <w:top w:val="single" w:sz="2" w:space="0" w:color="auto"/>
              <w:left w:val="single" w:sz="2" w:space="0" w:color="auto"/>
              <w:bottom w:val="single" w:sz="2" w:space="0" w:color="auto"/>
              <w:right w:val="single" w:sz="2" w:space="0" w:color="auto"/>
            </w:tcBorders>
            <w:vAlign w:val="center"/>
          </w:tcPr>
          <w:p w14:paraId="107CBB69"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323,991,222.34</w:t>
            </w:r>
          </w:p>
        </w:tc>
        <w:tc>
          <w:tcPr>
            <w:tcW w:w="741" w:type="dxa"/>
            <w:tcBorders>
              <w:top w:val="single" w:sz="2" w:space="0" w:color="auto"/>
              <w:left w:val="single" w:sz="2" w:space="0" w:color="auto"/>
              <w:bottom w:val="single" w:sz="2" w:space="0" w:color="auto"/>
              <w:right w:val="single" w:sz="2" w:space="0" w:color="auto"/>
            </w:tcBorders>
            <w:vAlign w:val="center"/>
          </w:tcPr>
          <w:p w14:paraId="1C2E5DE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229,854,656.12</w:t>
            </w:r>
          </w:p>
        </w:tc>
        <w:tc>
          <w:tcPr>
            <w:tcW w:w="741" w:type="dxa"/>
            <w:tcBorders>
              <w:top w:val="single" w:sz="2" w:space="0" w:color="auto"/>
              <w:left w:val="single" w:sz="2" w:space="0" w:color="auto"/>
              <w:bottom w:val="single" w:sz="2" w:space="0" w:color="auto"/>
              <w:right w:val="single" w:sz="2" w:space="0" w:color="auto"/>
            </w:tcBorders>
            <w:vAlign w:val="center"/>
          </w:tcPr>
          <w:p w14:paraId="39D40CB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5,045,522.99</w:t>
            </w:r>
          </w:p>
        </w:tc>
        <w:tc>
          <w:tcPr>
            <w:tcW w:w="744" w:type="dxa"/>
            <w:tcBorders>
              <w:top w:val="single" w:sz="2" w:space="0" w:color="auto"/>
              <w:left w:val="single" w:sz="2" w:space="0" w:color="auto"/>
              <w:bottom w:val="single" w:sz="2" w:space="0" w:color="auto"/>
              <w:right w:val="single" w:sz="2" w:space="0" w:color="auto"/>
            </w:tcBorders>
            <w:vAlign w:val="center"/>
          </w:tcPr>
          <w:p w14:paraId="16F917CF"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234,900,179.11</w:t>
            </w:r>
          </w:p>
        </w:tc>
      </w:tr>
      <w:tr w:rsidR="00F73301" w:rsidRPr="008A539F" w14:paraId="1FFE89A4" w14:textId="77777777" w:rsidTr="008A539F">
        <w:trPr>
          <w:jc w:val="center"/>
        </w:trPr>
        <w:tc>
          <w:tcPr>
            <w:tcW w:w="848" w:type="dxa"/>
            <w:tcBorders>
              <w:top w:val="single" w:sz="2" w:space="0" w:color="auto"/>
              <w:left w:val="single" w:sz="2" w:space="0" w:color="auto"/>
              <w:bottom w:val="single" w:sz="2" w:space="0" w:color="auto"/>
              <w:right w:val="single" w:sz="2" w:space="0" w:color="auto"/>
            </w:tcBorders>
            <w:vAlign w:val="center"/>
          </w:tcPr>
          <w:p w14:paraId="13591DD2" w14:textId="77777777" w:rsidR="00F73301" w:rsidRPr="008A539F" w:rsidRDefault="00F73301" w:rsidP="008C49B7">
            <w:pPr>
              <w:snapToGrid w:val="0"/>
              <w:rPr>
                <w:rFonts w:ascii="Times New Roman" w:eastAsia="宋体" w:hAnsi="Times New Roman" w:cs="Times New Roman"/>
                <w:sz w:val="16"/>
                <w:szCs w:val="16"/>
              </w:rPr>
            </w:pPr>
            <w:r w:rsidRPr="008A539F">
              <w:rPr>
                <w:rFonts w:ascii="Times New Roman" w:eastAsia="宋体" w:hAnsi="Times New Roman" w:cs="Times New Roman"/>
                <w:sz w:val="16"/>
                <w:szCs w:val="16"/>
              </w:rPr>
              <w:t xml:space="preserve">Hunan </w:t>
            </w:r>
            <w:proofErr w:type="spellStart"/>
            <w:r w:rsidRPr="008A539F">
              <w:rPr>
                <w:rFonts w:ascii="Times New Roman" w:eastAsia="宋体" w:hAnsi="Times New Roman" w:cs="Times New Roman"/>
                <w:sz w:val="16"/>
                <w:szCs w:val="16"/>
              </w:rPr>
              <w:t>Chuwei</w:t>
            </w:r>
            <w:proofErr w:type="spellEnd"/>
          </w:p>
        </w:tc>
        <w:tc>
          <w:tcPr>
            <w:tcW w:w="634" w:type="dxa"/>
            <w:tcBorders>
              <w:top w:val="single" w:sz="2" w:space="0" w:color="auto"/>
              <w:left w:val="single" w:sz="2" w:space="0" w:color="auto"/>
              <w:bottom w:val="single" w:sz="2" w:space="0" w:color="auto"/>
              <w:right w:val="single" w:sz="2" w:space="0" w:color="auto"/>
            </w:tcBorders>
            <w:vAlign w:val="center"/>
          </w:tcPr>
          <w:p w14:paraId="5CD9B537"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290,364,963.69</w:t>
            </w:r>
          </w:p>
        </w:tc>
        <w:tc>
          <w:tcPr>
            <w:tcW w:w="741" w:type="dxa"/>
            <w:tcBorders>
              <w:top w:val="single" w:sz="2" w:space="0" w:color="auto"/>
              <w:left w:val="single" w:sz="2" w:space="0" w:color="auto"/>
              <w:bottom w:val="single" w:sz="2" w:space="0" w:color="auto"/>
              <w:right w:val="single" w:sz="2" w:space="0" w:color="auto"/>
            </w:tcBorders>
            <w:vAlign w:val="center"/>
          </w:tcPr>
          <w:p w14:paraId="2709D41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1,011,006,589.99</w:t>
            </w:r>
          </w:p>
        </w:tc>
        <w:tc>
          <w:tcPr>
            <w:tcW w:w="741" w:type="dxa"/>
            <w:tcBorders>
              <w:top w:val="single" w:sz="2" w:space="0" w:color="auto"/>
              <w:left w:val="single" w:sz="2" w:space="0" w:color="auto"/>
              <w:bottom w:val="single" w:sz="2" w:space="0" w:color="auto"/>
              <w:right w:val="single" w:sz="2" w:space="0" w:color="auto"/>
            </w:tcBorders>
            <w:vAlign w:val="center"/>
          </w:tcPr>
          <w:p w14:paraId="3F1AAA1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1,301,371,553.68</w:t>
            </w:r>
          </w:p>
        </w:tc>
        <w:tc>
          <w:tcPr>
            <w:tcW w:w="741" w:type="dxa"/>
            <w:tcBorders>
              <w:top w:val="single" w:sz="2" w:space="0" w:color="auto"/>
              <w:left w:val="single" w:sz="2" w:space="0" w:color="auto"/>
              <w:bottom w:val="single" w:sz="2" w:space="0" w:color="auto"/>
              <w:right w:val="single" w:sz="2" w:space="0" w:color="auto"/>
            </w:tcBorders>
            <w:vAlign w:val="center"/>
          </w:tcPr>
          <w:p w14:paraId="7CFCC4A4"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423,790,397.55</w:t>
            </w:r>
          </w:p>
        </w:tc>
        <w:tc>
          <w:tcPr>
            <w:tcW w:w="741" w:type="dxa"/>
            <w:tcBorders>
              <w:top w:val="single" w:sz="2" w:space="0" w:color="auto"/>
              <w:left w:val="single" w:sz="2" w:space="0" w:color="auto"/>
              <w:bottom w:val="single" w:sz="2" w:space="0" w:color="auto"/>
              <w:right w:val="single" w:sz="2" w:space="0" w:color="auto"/>
            </w:tcBorders>
            <w:vAlign w:val="center"/>
          </w:tcPr>
          <w:p w14:paraId="0810CAE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160,112,823.54</w:t>
            </w:r>
          </w:p>
        </w:tc>
        <w:tc>
          <w:tcPr>
            <w:tcW w:w="744" w:type="dxa"/>
            <w:tcBorders>
              <w:top w:val="single" w:sz="2" w:space="0" w:color="auto"/>
              <w:left w:val="single" w:sz="2" w:space="0" w:color="auto"/>
              <w:bottom w:val="single" w:sz="2" w:space="0" w:color="auto"/>
              <w:right w:val="single" w:sz="2" w:space="0" w:color="auto"/>
            </w:tcBorders>
            <w:vAlign w:val="center"/>
          </w:tcPr>
          <w:p w14:paraId="0745CFF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583,903,221.09</w:t>
            </w:r>
          </w:p>
        </w:tc>
        <w:tc>
          <w:tcPr>
            <w:tcW w:w="741" w:type="dxa"/>
            <w:tcBorders>
              <w:top w:val="single" w:sz="2" w:space="0" w:color="auto"/>
              <w:left w:val="single" w:sz="2" w:space="0" w:color="auto"/>
              <w:bottom w:val="single" w:sz="2" w:space="0" w:color="auto"/>
              <w:right w:val="single" w:sz="2" w:space="0" w:color="auto"/>
            </w:tcBorders>
            <w:vAlign w:val="center"/>
          </w:tcPr>
          <w:p w14:paraId="1C48503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142,369,437.86</w:t>
            </w:r>
          </w:p>
        </w:tc>
        <w:tc>
          <w:tcPr>
            <w:tcW w:w="741" w:type="dxa"/>
            <w:tcBorders>
              <w:top w:val="single" w:sz="2" w:space="0" w:color="auto"/>
              <w:left w:val="single" w:sz="2" w:space="0" w:color="auto"/>
              <w:bottom w:val="single" w:sz="2" w:space="0" w:color="auto"/>
              <w:right w:val="single" w:sz="2" w:space="0" w:color="auto"/>
            </w:tcBorders>
            <w:vAlign w:val="center"/>
          </w:tcPr>
          <w:p w14:paraId="1D38F4E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911,084,885.90</w:t>
            </w:r>
          </w:p>
        </w:tc>
        <w:tc>
          <w:tcPr>
            <w:tcW w:w="741" w:type="dxa"/>
            <w:tcBorders>
              <w:top w:val="single" w:sz="2" w:space="0" w:color="auto"/>
              <w:left w:val="single" w:sz="2" w:space="0" w:color="auto"/>
              <w:bottom w:val="single" w:sz="2" w:space="0" w:color="auto"/>
              <w:right w:val="single" w:sz="2" w:space="0" w:color="auto"/>
            </w:tcBorders>
            <w:vAlign w:val="center"/>
          </w:tcPr>
          <w:p w14:paraId="2D1886A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1,053,454,323.76</w:t>
            </w:r>
          </w:p>
        </w:tc>
        <w:tc>
          <w:tcPr>
            <w:tcW w:w="741" w:type="dxa"/>
            <w:tcBorders>
              <w:top w:val="single" w:sz="2" w:space="0" w:color="auto"/>
              <w:left w:val="single" w:sz="2" w:space="0" w:color="auto"/>
              <w:bottom w:val="single" w:sz="2" w:space="0" w:color="auto"/>
              <w:right w:val="single" w:sz="2" w:space="0" w:color="auto"/>
            </w:tcBorders>
            <w:vAlign w:val="center"/>
          </w:tcPr>
          <w:p w14:paraId="20F39A9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287,115,936.50</w:t>
            </w:r>
          </w:p>
        </w:tc>
        <w:tc>
          <w:tcPr>
            <w:tcW w:w="741" w:type="dxa"/>
            <w:tcBorders>
              <w:top w:val="single" w:sz="2" w:space="0" w:color="auto"/>
              <w:left w:val="single" w:sz="2" w:space="0" w:color="auto"/>
              <w:bottom w:val="single" w:sz="2" w:space="0" w:color="auto"/>
              <w:right w:val="single" w:sz="2" w:space="0" w:color="auto"/>
            </w:tcBorders>
            <w:vAlign w:val="center"/>
          </w:tcPr>
          <w:p w14:paraId="3C7ED42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91,629,070.38</w:t>
            </w:r>
          </w:p>
        </w:tc>
        <w:tc>
          <w:tcPr>
            <w:tcW w:w="744" w:type="dxa"/>
            <w:tcBorders>
              <w:top w:val="single" w:sz="2" w:space="0" w:color="auto"/>
              <w:left w:val="single" w:sz="2" w:space="0" w:color="auto"/>
              <w:bottom w:val="single" w:sz="2" w:space="0" w:color="auto"/>
              <w:right w:val="single" w:sz="2" w:space="0" w:color="auto"/>
            </w:tcBorders>
            <w:vAlign w:val="center"/>
          </w:tcPr>
          <w:p w14:paraId="689E67B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378,745,006.88</w:t>
            </w:r>
          </w:p>
        </w:tc>
      </w:tr>
    </w:tbl>
    <w:p w14:paraId="02F3131A"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974"/>
        <w:gridCol w:w="1168"/>
        <w:gridCol w:w="1071"/>
        <w:gridCol w:w="1071"/>
        <w:gridCol w:w="942"/>
        <w:gridCol w:w="1200"/>
        <w:gridCol w:w="1071"/>
      </w:tblGrid>
      <w:tr w:rsidR="00F73301" w:rsidRPr="008A539F" w14:paraId="1DDC551D" w14:textId="77777777" w:rsidTr="0001208F">
        <w:trPr>
          <w:jc w:val="center"/>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2307A9A"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Subsidiary</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8DC3B97"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Current period cumulative</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3E6F1F1"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Amount for the previous period</w:t>
            </w:r>
          </w:p>
        </w:tc>
      </w:tr>
      <w:tr w:rsidR="00F73301" w:rsidRPr="008A539F" w14:paraId="1F324BEA" w14:textId="77777777" w:rsidTr="008A539F">
        <w:trPr>
          <w:jc w:val="center"/>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8B9F39B" w14:textId="77777777" w:rsidR="00F73301" w:rsidRPr="008A539F" w:rsidRDefault="00F73301" w:rsidP="008C49B7">
            <w:pPr>
              <w:snapToGrid w:val="0"/>
              <w:rPr>
                <w:rFonts w:ascii="Times New Roman" w:eastAsia="等线" w:hAnsi="Times New Roman" w:cs="Times New Roman"/>
                <w:sz w:val="16"/>
                <w:szCs w:val="16"/>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0C35263"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Operating revenue</w:t>
            </w:r>
          </w:p>
        </w:tc>
        <w:tc>
          <w:tcPr>
            <w:tcW w:w="974" w:type="dxa"/>
            <w:tcBorders>
              <w:top w:val="single" w:sz="2" w:space="0" w:color="auto"/>
              <w:left w:val="single" w:sz="2" w:space="0" w:color="auto"/>
              <w:bottom w:val="single" w:sz="2" w:space="0" w:color="auto"/>
              <w:right w:val="single" w:sz="2" w:space="0" w:color="auto"/>
            </w:tcBorders>
            <w:shd w:val="clear" w:color="auto" w:fill="D3D3D3"/>
            <w:vAlign w:val="center"/>
          </w:tcPr>
          <w:p w14:paraId="603C419B"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Net profit</w:t>
            </w:r>
          </w:p>
        </w:tc>
        <w:tc>
          <w:tcPr>
            <w:tcW w:w="1168" w:type="dxa"/>
            <w:tcBorders>
              <w:top w:val="single" w:sz="2" w:space="0" w:color="auto"/>
              <w:left w:val="single" w:sz="2" w:space="0" w:color="auto"/>
              <w:bottom w:val="single" w:sz="2" w:space="0" w:color="auto"/>
              <w:right w:val="single" w:sz="2" w:space="0" w:color="auto"/>
            </w:tcBorders>
            <w:shd w:val="clear" w:color="auto" w:fill="D3D3D3"/>
            <w:vAlign w:val="center"/>
          </w:tcPr>
          <w:p w14:paraId="02ADC682"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Total comprehensive income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FA51715"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Cash flows from operating activities</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B7360C3"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Operating revenue</w:t>
            </w:r>
          </w:p>
        </w:tc>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74540B67"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Net profit</w:t>
            </w:r>
          </w:p>
        </w:tc>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7466434"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Total comprehensive income</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27F0D69" w14:textId="77777777" w:rsidR="00F73301" w:rsidRPr="008A539F" w:rsidRDefault="00F73301" w:rsidP="008C49B7">
            <w:pPr>
              <w:snapToGrid w:val="0"/>
              <w:jc w:val="center"/>
              <w:rPr>
                <w:rFonts w:ascii="Times New Roman" w:eastAsia="宋体" w:hAnsi="Times New Roman" w:cs="Times New Roman"/>
                <w:sz w:val="16"/>
                <w:szCs w:val="16"/>
              </w:rPr>
            </w:pPr>
            <w:r w:rsidRPr="008A539F">
              <w:rPr>
                <w:rFonts w:ascii="Times New Roman" w:eastAsia="宋体" w:hAnsi="Times New Roman" w:cs="Times New Roman"/>
                <w:sz w:val="16"/>
                <w:szCs w:val="16"/>
              </w:rPr>
              <w:t>Cash flows from operating activities</w:t>
            </w:r>
          </w:p>
        </w:tc>
      </w:tr>
      <w:tr w:rsidR="00F73301" w:rsidRPr="008A539F" w14:paraId="2BA5A2F2"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67971085" w14:textId="77777777" w:rsidR="00F73301" w:rsidRPr="008A539F" w:rsidRDefault="00F73301" w:rsidP="008C49B7">
            <w:pPr>
              <w:snapToGrid w:val="0"/>
              <w:rPr>
                <w:rFonts w:ascii="Times New Roman" w:eastAsia="宋体" w:hAnsi="Times New Roman" w:cs="Times New Roman"/>
                <w:sz w:val="16"/>
                <w:szCs w:val="16"/>
              </w:rPr>
            </w:pPr>
            <w:r w:rsidRPr="008A539F">
              <w:rPr>
                <w:rFonts w:ascii="Times New Roman" w:eastAsia="宋体" w:hAnsi="Times New Roman" w:cs="Times New Roman"/>
                <w:sz w:val="16"/>
                <w:szCs w:val="16"/>
              </w:rPr>
              <w:t>J&amp;V Semiconductor</w:t>
            </w:r>
          </w:p>
        </w:tc>
        <w:tc>
          <w:tcPr>
            <w:tcW w:w="1071" w:type="dxa"/>
            <w:tcBorders>
              <w:top w:val="single" w:sz="2" w:space="0" w:color="auto"/>
              <w:left w:val="single" w:sz="2" w:space="0" w:color="auto"/>
              <w:bottom w:val="single" w:sz="2" w:space="0" w:color="auto"/>
              <w:right w:val="single" w:sz="2" w:space="0" w:color="auto"/>
            </w:tcBorders>
            <w:vAlign w:val="center"/>
          </w:tcPr>
          <w:p w14:paraId="2961A738"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261,853,093.32</w:t>
            </w:r>
          </w:p>
        </w:tc>
        <w:tc>
          <w:tcPr>
            <w:tcW w:w="974" w:type="dxa"/>
            <w:tcBorders>
              <w:top w:val="single" w:sz="2" w:space="0" w:color="auto"/>
              <w:left w:val="single" w:sz="2" w:space="0" w:color="auto"/>
              <w:bottom w:val="single" w:sz="2" w:space="0" w:color="auto"/>
              <w:right w:val="single" w:sz="2" w:space="0" w:color="auto"/>
            </w:tcBorders>
            <w:vAlign w:val="center"/>
          </w:tcPr>
          <w:p w14:paraId="2258CE3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23,008,714.44</w:t>
            </w:r>
          </w:p>
        </w:tc>
        <w:tc>
          <w:tcPr>
            <w:tcW w:w="1168" w:type="dxa"/>
            <w:tcBorders>
              <w:top w:val="single" w:sz="2" w:space="0" w:color="auto"/>
              <w:left w:val="single" w:sz="2" w:space="0" w:color="auto"/>
              <w:bottom w:val="single" w:sz="2" w:space="0" w:color="auto"/>
              <w:right w:val="single" w:sz="2" w:space="0" w:color="auto"/>
            </w:tcBorders>
            <w:vAlign w:val="center"/>
          </w:tcPr>
          <w:p w14:paraId="43EBB04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23,008,714.44</w:t>
            </w:r>
          </w:p>
        </w:tc>
        <w:tc>
          <w:tcPr>
            <w:tcW w:w="1071" w:type="dxa"/>
            <w:tcBorders>
              <w:top w:val="single" w:sz="2" w:space="0" w:color="auto"/>
              <w:left w:val="single" w:sz="2" w:space="0" w:color="auto"/>
              <w:bottom w:val="single" w:sz="2" w:space="0" w:color="auto"/>
              <w:right w:val="single" w:sz="2" w:space="0" w:color="auto"/>
            </w:tcBorders>
            <w:vAlign w:val="center"/>
          </w:tcPr>
          <w:p w14:paraId="43D76D23"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58,436,656.47</w:t>
            </w:r>
          </w:p>
        </w:tc>
        <w:tc>
          <w:tcPr>
            <w:tcW w:w="1071" w:type="dxa"/>
            <w:tcBorders>
              <w:top w:val="single" w:sz="2" w:space="0" w:color="auto"/>
              <w:left w:val="single" w:sz="2" w:space="0" w:color="auto"/>
              <w:bottom w:val="single" w:sz="2" w:space="0" w:color="auto"/>
              <w:right w:val="single" w:sz="2" w:space="0" w:color="auto"/>
            </w:tcBorders>
            <w:vAlign w:val="center"/>
          </w:tcPr>
          <w:p w14:paraId="3A82B88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346,289,586.60</w:t>
            </w:r>
          </w:p>
        </w:tc>
        <w:tc>
          <w:tcPr>
            <w:tcW w:w="942" w:type="dxa"/>
            <w:tcBorders>
              <w:top w:val="single" w:sz="2" w:space="0" w:color="auto"/>
              <w:left w:val="single" w:sz="2" w:space="0" w:color="auto"/>
              <w:bottom w:val="single" w:sz="2" w:space="0" w:color="auto"/>
              <w:right w:val="single" w:sz="2" w:space="0" w:color="auto"/>
            </w:tcBorders>
            <w:vAlign w:val="center"/>
          </w:tcPr>
          <w:p w14:paraId="43EDBA3B"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58,144,670.51</w:t>
            </w:r>
          </w:p>
        </w:tc>
        <w:tc>
          <w:tcPr>
            <w:tcW w:w="1200" w:type="dxa"/>
            <w:tcBorders>
              <w:top w:val="single" w:sz="2" w:space="0" w:color="auto"/>
              <w:left w:val="single" w:sz="2" w:space="0" w:color="auto"/>
              <w:bottom w:val="single" w:sz="2" w:space="0" w:color="auto"/>
              <w:right w:val="single" w:sz="2" w:space="0" w:color="auto"/>
            </w:tcBorders>
            <w:vAlign w:val="center"/>
          </w:tcPr>
          <w:p w14:paraId="120E4333"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58,144,670.51</w:t>
            </w:r>
          </w:p>
        </w:tc>
        <w:tc>
          <w:tcPr>
            <w:tcW w:w="1071" w:type="dxa"/>
            <w:tcBorders>
              <w:top w:val="single" w:sz="2" w:space="0" w:color="auto"/>
              <w:left w:val="single" w:sz="2" w:space="0" w:color="auto"/>
              <w:bottom w:val="single" w:sz="2" w:space="0" w:color="auto"/>
              <w:right w:val="single" w:sz="2" w:space="0" w:color="auto"/>
            </w:tcBorders>
            <w:vAlign w:val="center"/>
          </w:tcPr>
          <w:p w14:paraId="4834C63B"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172,157,016.07</w:t>
            </w:r>
          </w:p>
        </w:tc>
      </w:tr>
      <w:tr w:rsidR="00F73301" w:rsidRPr="008A539F" w14:paraId="162519DA"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0C68EBC5" w14:textId="7670AA51" w:rsidR="00F73301" w:rsidRPr="008A539F" w:rsidRDefault="0066314B" w:rsidP="0066314B">
            <w:pPr>
              <w:snapToGrid w:val="0"/>
              <w:rPr>
                <w:rFonts w:ascii="Times New Roman" w:eastAsia="宋体" w:hAnsi="Times New Roman" w:cs="Times New Roman"/>
                <w:sz w:val="16"/>
                <w:szCs w:val="16"/>
              </w:rPr>
            </w:pPr>
            <w:r>
              <w:rPr>
                <w:rFonts w:ascii="Times New Roman" w:eastAsia="宋体" w:hAnsi="Times New Roman" w:cs="Times New Roman"/>
                <w:sz w:val="16"/>
                <w:szCs w:val="16"/>
              </w:rPr>
              <w:t>Chengdu Qingyang</w:t>
            </w:r>
          </w:p>
        </w:tc>
        <w:tc>
          <w:tcPr>
            <w:tcW w:w="1071" w:type="dxa"/>
            <w:tcBorders>
              <w:top w:val="single" w:sz="2" w:space="0" w:color="auto"/>
              <w:left w:val="single" w:sz="2" w:space="0" w:color="auto"/>
              <w:bottom w:val="single" w:sz="2" w:space="0" w:color="auto"/>
              <w:right w:val="single" w:sz="2" w:space="0" w:color="auto"/>
            </w:tcBorders>
            <w:vAlign w:val="center"/>
          </w:tcPr>
          <w:p w14:paraId="30298D7B"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92,967,184.96</w:t>
            </w:r>
          </w:p>
        </w:tc>
        <w:tc>
          <w:tcPr>
            <w:tcW w:w="974" w:type="dxa"/>
            <w:tcBorders>
              <w:top w:val="single" w:sz="2" w:space="0" w:color="auto"/>
              <w:left w:val="single" w:sz="2" w:space="0" w:color="auto"/>
              <w:bottom w:val="single" w:sz="2" w:space="0" w:color="auto"/>
              <w:right w:val="single" w:sz="2" w:space="0" w:color="auto"/>
            </w:tcBorders>
            <w:vAlign w:val="center"/>
          </w:tcPr>
          <w:p w14:paraId="452561E7"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4,056,557.12</w:t>
            </w:r>
          </w:p>
        </w:tc>
        <w:tc>
          <w:tcPr>
            <w:tcW w:w="1168" w:type="dxa"/>
            <w:tcBorders>
              <w:top w:val="single" w:sz="2" w:space="0" w:color="auto"/>
              <w:left w:val="single" w:sz="2" w:space="0" w:color="auto"/>
              <w:bottom w:val="single" w:sz="2" w:space="0" w:color="auto"/>
              <w:right w:val="single" w:sz="2" w:space="0" w:color="auto"/>
            </w:tcBorders>
            <w:vAlign w:val="center"/>
          </w:tcPr>
          <w:p w14:paraId="4629B9ED"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4,056,557.12</w:t>
            </w:r>
          </w:p>
        </w:tc>
        <w:tc>
          <w:tcPr>
            <w:tcW w:w="1071" w:type="dxa"/>
            <w:tcBorders>
              <w:top w:val="single" w:sz="2" w:space="0" w:color="auto"/>
              <w:left w:val="single" w:sz="2" w:space="0" w:color="auto"/>
              <w:bottom w:val="single" w:sz="2" w:space="0" w:color="auto"/>
              <w:right w:val="single" w:sz="2" w:space="0" w:color="auto"/>
            </w:tcBorders>
            <w:vAlign w:val="center"/>
          </w:tcPr>
          <w:p w14:paraId="49CE9F3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3,554,840.77</w:t>
            </w:r>
          </w:p>
        </w:tc>
        <w:tc>
          <w:tcPr>
            <w:tcW w:w="1071" w:type="dxa"/>
            <w:tcBorders>
              <w:top w:val="single" w:sz="2" w:space="0" w:color="auto"/>
              <w:left w:val="single" w:sz="2" w:space="0" w:color="auto"/>
              <w:bottom w:val="single" w:sz="2" w:space="0" w:color="auto"/>
              <w:right w:val="single" w:sz="2" w:space="0" w:color="auto"/>
            </w:tcBorders>
            <w:vAlign w:val="center"/>
          </w:tcPr>
          <w:p w14:paraId="16BF3DA7"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113,266,361.46</w:t>
            </w:r>
          </w:p>
        </w:tc>
        <w:tc>
          <w:tcPr>
            <w:tcW w:w="942" w:type="dxa"/>
            <w:tcBorders>
              <w:top w:val="single" w:sz="2" w:space="0" w:color="auto"/>
              <w:left w:val="single" w:sz="2" w:space="0" w:color="auto"/>
              <w:bottom w:val="single" w:sz="2" w:space="0" w:color="auto"/>
              <w:right w:val="single" w:sz="2" w:space="0" w:color="auto"/>
            </w:tcBorders>
            <w:vAlign w:val="center"/>
          </w:tcPr>
          <w:p w14:paraId="41ACF161"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13,237,052.44</w:t>
            </w:r>
          </w:p>
        </w:tc>
        <w:tc>
          <w:tcPr>
            <w:tcW w:w="1200" w:type="dxa"/>
            <w:tcBorders>
              <w:top w:val="single" w:sz="2" w:space="0" w:color="auto"/>
              <w:left w:val="single" w:sz="2" w:space="0" w:color="auto"/>
              <w:bottom w:val="single" w:sz="2" w:space="0" w:color="auto"/>
              <w:right w:val="single" w:sz="2" w:space="0" w:color="auto"/>
            </w:tcBorders>
            <w:vAlign w:val="center"/>
          </w:tcPr>
          <w:p w14:paraId="22B4FB8B"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13,237,052.44</w:t>
            </w:r>
          </w:p>
        </w:tc>
        <w:tc>
          <w:tcPr>
            <w:tcW w:w="1071" w:type="dxa"/>
            <w:tcBorders>
              <w:top w:val="single" w:sz="2" w:space="0" w:color="auto"/>
              <w:left w:val="single" w:sz="2" w:space="0" w:color="auto"/>
              <w:bottom w:val="single" w:sz="2" w:space="0" w:color="auto"/>
              <w:right w:val="single" w:sz="2" w:space="0" w:color="auto"/>
            </w:tcBorders>
            <w:vAlign w:val="center"/>
          </w:tcPr>
          <w:p w14:paraId="1422CD27"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-20,796,770.02</w:t>
            </w:r>
          </w:p>
        </w:tc>
      </w:tr>
      <w:tr w:rsidR="00F73301" w:rsidRPr="008A539F" w14:paraId="1FF63641"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285D7B04" w14:textId="5B42D418" w:rsidR="00F73301" w:rsidRPr="008A539F" w:rsidRDefault="00F73301" w:rsidP="0066314B">
            <w:pPr>
              <w:snapToGrid w:val="0"/>
              <w:rPr>
                <w:rFonts w:ascii="Times New Roman" w:eastAsia="宋体" w:hAnsi="Times New Roman" w:cs="Times New Roman"/>
                <w:sz w:val="16"/>
                <w:szCs w:val="16"/>
              </w:rPr>
            </w:pPr>
            <w:proofErr w:type="spellStart"/>
            <w:r w:rsidRPr="008A539F">
              <w:rPr>
                <w:rFonts w:ascii="Times New Roman" w:eastAsia="宋体" w:hAnsi="Times New Roman" w:cs="Times New Roman"/>
                <w:sz w:val="16"/>
                <w:szCs w:val="16"/>
              </w:rPr>
              <w:t>Yixing</w:t>
            </w:r>
            <w:proofErr w:type="spellEnd"/>
            <w:r w:rsidRPr="008A539F">
              <w:rPr>
                <w:rFonts w:ascii="Times New Roman" w:eastAsia="宋体" w:hAnsi="Times New Roman" w:cs="Times New Roman"/>
                <w:sz w:val="16"/>
                <w:szCs w:val="16"/>
              </w:rPr>
              <w:t xml:space="preserve"> </w:t>
            </w:r>
            <w:proofErr w:type="spellStart"/>
            <w:r w:rsidRPr="008A539F">
              <w:rPr>
                <w:rFonts w:ascii="Times New Roman" w:eastAsia="宋体" w:hAnsi="Times New Roman" w:cs="Times New Roman"/>
                <w:sz w:val="16"/>
                <w:szCs w:val="16"/>
              </w:rPr>
              <w:t>Jiexin</w:t>
            </w:r>
            <w:proofErr w:type="spellEnd"/>
          </w:p>
        </w:tc>
        <w:tc>
          <w:tcPr>
            <w:tcW w:w="1071" w:type="dxa"/>
            <w:tcBorders>
              <w:top w:val="single" w:sz="2" w:space="0" w:color="auto"/>
              <w:left w:val="single" w:sz="2" w:space="0" w:color="auto"/>
              <w:bottom w:val="single" w:sz="2" w:space="0" w:color="auto"/>
              <w:right w:val="single" w:sz="2" w:space="0" w:color="auto"/>
            </w:tcBorders>
            <w:vAlign w:val="center"/>
          </w:tcPr>
          <w:p w14:paraId="2545127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85,126,145.87</w:t>
            </w:r>
          </w:p>
        </w:tc>
        <w:tc>
          <w:tcPr>
            <w:tcW w:w="974" w:type="dxa"/>
            <w:tcBorders>
              <w:top w:val="single" w:sz="2" w:space="0" w:color="auto"/>
              <w:left w:val="single" w:sz="2" w:space="0" w:color="auto"/>
              <w:bottom w:val="single" w:sz="2" w:space="0" w:color="auto"/>
              <w:right w:val="single" w:sz="2" w:space="0" w:color="auto"/>
            </w:tcBorders>
            <w:vAlign w:val="center"/>
          </w:tcPr>
          <w:p w14:paraId="65E2E434"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4,383,113.48</w:t>
            </w:r>
          </w:p>
        </w:tc>
        <w:tc>
          <w:tcPr>
            <w:tcW w:w="1168" w:type="dxa"/>
            <w:tcBorders>
              <w:top w:val="single" w:sz="2" w:space="0" w:color="auto"/>
              <w:left w:val="single" w:sz="2" w:space="0" w:color="auto"/>
              <w:bottom w:val="single" w:sz="2" w:space="0" w:color="auto"/>
              <w:right w:val="single" w:sz="2" w:space="0" w:color="auto"/>
            </w:tcBorders>
            <w:vAlign w:val="center"/>
          </w:tcPr>
          <w:p w14:paraId="4C5991D5"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4,383,113.48</w:t>
            </w:r>
          </w:p>
        </w:tc>
        <w:tc>
          <w:tcPr>
            <w:tcW w:w="1071" w:type="dxa"/>
            <w:tcBorders>
              <w:top w:val="single" w:sz="2" w:space="0" w:color="auto"/>
              <w:left w:val="single" w:sz="2" w:space="0" w:color="auto"/>
              <w:bottom w:val="single" w:sz="2" w:space="0" w:color="auto"/>
              <w:right w:val="single" w:sz="2" w:space="0" w:color="auto"/>
            </w:tcBorders>
            <w:vAlign w:val="center"/>
          </w:tcPr>
          <w:p w14:paraId="233C6449"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16,738,271.18</w:t>
            </w:r>
          </w:p>
        </w:tc>
        <w:tc>
          <w:tcPr>
            <w:tcW w:w="1071" w:type="dxa"/>
            <w:tcBorders>
              <w:top w:val="single" w:sz="2" w:space="0" w:color="auto"/>
              <w:left w:val="single" w:sz="2" w:space="0" w:color="auto"/>
              <w:bottom w:val="single" w:sz="2" w:space="0" w:color="auto"/>
              <w:right w:val="single" w:sz="2" w:space="0" w:color="auto"/>
            </w:tcBorders>
            <w:vAlign w:val="center"/>
          </w:tcPr>
          <w:p w14:paraId="5EDFF812"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93,153,268.15</w:t>
            </w:r>
          </w:p>
        </w:tc>
        <w:tc>
          <w:tcPr>
            <w:tcW w:w="942" w:type="dxa"/>
            <w:tcBorders>
              <w:top w:val="single" w:sz="2" w:space="0" w:color="auto"/>
              <w:left w:val="single" w:sz="2" w:space="0" w:color="auto"/>
              <w:bottom w:val="single" w:sz="2" w:space="0" w:color="auto"/>
              <w:right w:val="single" w:sz="2" w:space="0" w:color="auto"/>
            </w:tcBorders>
            <w:vAlign w:val="center"/>
          </w:tcPr>
          <w:p w14:paraId="513CA32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23,125,535.72</w:t>
            </w:r>
          </w:p>
        </w:tc>
        <w:tc>
          <w:tcPr>
            <w:tcW w:w="1200" w:type="dxa"/>
            <w:tcBorders>
              <w:top w:val="single" w:sz="2" w:space="0" w:color="auto"/>
              <w:left w:val="single" w:sz="2" w:space="0" w:color="auto"/>
              <w:bottom w:val="single" w:sz="2" w:space="0" w:color="auto"/>
              <w:right w:val="single" w:sz="2" w:space="0" w:color="auto"/>
            </w:tcBorders>
            <w:vAlign w:val="center"/>
          </w:tcPr>
          <w:p w14:paraId="1E4CF0FB"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23,125,535.72</w:t>
            </w:r>
          </w:p>
        </w:tc>
        <w:tc>
          <w:tcPr>
            <w:tcW w:w="1071" w:type="dxa"/>
            <w:tcBorders>
              <w:top w:val="single" w:sz="2" w:space="0" w:color="auto"/>
              <w:left w:val="single" w:sz="2" w:space="0" w:color="auto"/>
              <w:bottom w:val="single" w:sz="2" w:space="0" w:color="auto"/>
              <w:right w:val="single" w:sz="2" w:space="0" w:color="auto"/>
            </w:tcBorders>
            <w:vAlign w:val="center"/>
          </w:tcPr>
          <w:p w14:paraId="08C59BC9"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25,794,142.12</w:t>
            </w:r>
          </w:p>
        </w:tc>
      </w:tr>
      <w:tr w:rsidR="00F73301" w:rsidRPr="008A539F" w14:paraId="08FB7791"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438C12FC" w14:textId="2DCF8180" w:rsidR="00F73301" w:rsidRPr="008A539F" w:rsidRDefault="00F73301" w:rsidP="0066314B">
            <w:pPr>
              <w:snapToGrid w:val="0"/>
              <w:rPr>
                <w:rFonts w:ascii="Times New Roman" w:eastAsia="宋体" w:hAnsi="Times New Roman" w:cs="Times New Roman"/>
                <w:sz w:val="16"/>
                <w:szCs w:val="16"/>
              </w:rPr>
            </w:pPr>
            <w:r w:rsidRPr="008A539F">
              <w:rPr>
                <w:rFonts w:ascii="Times New Roman" w:eastAsia="宋体" w:hAnsi="Times New Roman" w:cs="Times New Roman"/>
                <w:sz w:val="16"/>
                <w:szCs w:val="16"/>
              </w:rPr>
              <w:t xml:space="preserve">Jiangsu </w:t>
            </w:r>
            <w:proofErr w:type="spellStart"/>
            <w:r w:rsidRPr="008A539F">
              <w:rPr>
                <w:rFonts w:ascii="Times New Roman" w:eastAsia="宋体" w:hAnsi="Times New Roman" w:cs="Times New Roman"/>
                <w:sz w:val="16"/>
                <w:szCs w:val="16"/>
              </w:rPr>
              <w:t>Runau</w:t>
            </w:r>
            <w:proofErr w:type="spellEnd"/>
          </w:p>
        </w:tc>
        <w:tc>
          <w:tcPr>
            <w:tcW w:w="1071" w:type="dxa"/>
            <w:tcBorders>
              <w:top w:val="single" w:sz="2" w:space="0" w:color="auto"/>
              <w:left w:val="single" w:sz="2" w:space="0" w:color="auto"/>
              <w:bottom w:val="single" w:sz="2" w:space="0" w:color="auto"/>
              <w:right w:val="single" w:sz="2" w:space="0" w:color="auto"/>
            </w:tcBorders>
            <w:vAlign w:val="center"/>
          </w:tcPr>
          <w:p w14:paraId="6FC1304D"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44,037,343.94</w:t>
            </w:r>
          </w:p>
        </w:tc>
        <w:tc>
          <w:tcPr>
            <w:tcW w:w="974" w:type="dxa"/>
            <w:tcBorders>
              <w:top w:val="single" w:sz="2" w:space="0" w:color="auto"/>
              <w:left w:val="single" w:sz="2" w:space="0" w:color="auto"/>
              <w:bottom w:val="single" w:sz="2" w:space="0" w:color="auto"/>
              <w:right w:val="single" w:sz="2" w:space="0" w:color="auto"/>
            </w:tcBorders>
            <w:vAlign w:val="center"/>
          </w:tcPr>
          <w:p w14:paraId="6166E33F"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4,199,786.52</w:t>
            </w:r>
          </w:p>
        </w:tc>
        <w:tc>
          <w:tcPr>
            <w:tcW w:w="1168" w:type="dxa"/>
            <w:tcBorders>
              <w:top w:val="single" w:sz="2" w:space="0" w:color="auto"/>
              <w:left w:val="single" w:sz="2" w:space="0" w:color="auto"/>
              <w:bottom w:val="single" w:sz="2" w:space="0" w:color="auto"/>
              <w:right w:val="single" w:sz="2" w:space="0" w:color="auto"/>
            </w:tcBorders>
            <w:vAlign w:val="center"/>
          </w:tcPr>
          <w:p w14:paraId="4328C9AB"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4,199,786.52</w:t>
            </w:r>
          </w:p>
        </w:tc>
        <w:tc>
          <w:tcPr>
            <w:tcW w:w="1071" w:type="dxa"/>
            <w:tcBorders>
              <w:top w:val="single" w:sz="2" w:space="0" w:color="auto"/>
              <w:left w:val="single" w:sz="2" w:space="0" w:color="auto"/>
              <w:bottom w:val="single" w:sz="2" w:space="0" w:color="auto"/>
              <w:right w:val="single" w:sz="2" w:space="0" w:color="auto"/>
            </w:tcBorders>
            <w:vAlign w:val="center"/>
          </w:tcPr>
          <w:p w14:paraId="0ECD8089"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2,027,173.00</w:t>
            </w:r>
          </w:p>
        </w:tc>
        <w:tc>
          <w:tcPr>
            <w:tcW w:w="1071" w:type="dxa"/>
            <w:tcBorders>
              <w:top w:val="single" w:sz="2" w:space="0" w:color="auto"/>
              <w:left w:val="single" w:sz="2" w:space="0" w:color="auto"/>
              <w:bottom w:val="single" w:sz="2" w:space="0" w:color="auto"/>
              <w:right w:val="single" w:sz="2" w:space="0" w:color="auto"/>
            </w:tcBorders>
            <w:vAlign w:val="center"/>
          </w:tcPr>
          <w:p w14:paraId="7CC8D252"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25,727,396.59</w:t>
            </w:r>
          </w:p>
        </w:tc>
        <w:tc>
          <w:tcPr>
            <w:tcW w:w="942" w:type="dxa"/>
            <w:tcBorders>
              <w:top w:val="single" w:sz="2" w:space="0" w:color="auto"/>
              <w:left w:val="single" w:sz="2" w:space="0" w:color="auto"/>
              <w:bottom w:val="single" w:sz="2" w:space="0" w:color="auto"/>
              <w:right w:val="single" w:sz="2" w:space="0" w:color="auto"/>
            </w:tcBorders>
            <w:vAlign w:val="center"/>
          </w:tcPr>
          <w:p w14:paraId="3F3989B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1,157,770.29</w:t>
            </w:r>
          </w:p>
        </w:tc>
        <w:tc>
          <w:tcPr>
            <w:tcW w:w="1200" w:type="dxa"/>
            <w:tcBorders>
              <w:top w:val="single" w:sz="2" w:space="0" w:color="auto"/>
              <w:left w:val="single" w:sz="2" w:space="0" w:color="auto"/>
              <w:bottom w:val="single" w:sz="2" w:space="0" w:color="auto"/>
              <w:right w:val="single" w:sz="2" w:space="0" w:color="auto"/>
            </w:tcBorders>
            <w:vAlign w:val="center"/>
          </w:tcPr>
          <w:p w14:paraId="1D657AD1"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1,157,770.29</w:t>
            </w:r>
          </w:p>
        </w:tc>
        <w:tc>
          <w:tcPr>
            <w:tcW w:w="1071" w:type="dxa"/>
            <w:tcBorders>
              <w:top w:val="single" w:sz="2" w:space="0" w:color="auto"/>
              <w:left w:val="single" w:sz="2" w:space="0" w:color="auto"/>
              <w:bottom w:val="single" w:sz="2" w:space="0" w:color="auto"/>
              <w:right w:val="single" w:sz="2" w:space="0" w:color="auto"/>
            </w:tcBorders>
            <w:vAlign w:val="center"/>
          </w:tcPr>
          <w:p w14:paraId="59255A0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-2,277,352.65</w:t>
            </w:r>
          </w:p>
        </w:tc>
      </w:tr>
      <w:tr w:rsidR="00F73301" w:rsidRPr="008A539F" w14:paraId="53CF8857"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3226B1EB" w14:textId="1D3D0200" w:rsidR="00F73301" w:rsidRPr="008A539F" w:rsidRDefault="0066314B" w:rsidP="0066314B">
            <w:pPr>
              <w:snapToGrid w:val="0"/>
              <w:rPr>
                <w:rFonts w:ascii="Times New Roman" w:eastAsia="宋体" w:hAnsi="Times New Roman" w:cs="Times New Roman"/>
                <w:sz w:val="16"/>
                <w:szCs w:val="16"/>
              </w:rPr>
            </w:pPr>
            <w:r>
              <w:rPr>
                <w:rFonts w:ascii="Times New Roman" w:eastAsia="宋体" w:hAnsi="Times New Roman" w:cs="Times New Roman"/>
                <w:sz w:val="16"/>
                <w:szCs w:val="16"/>
              </w:rPr>
              <w:t xml:space="preserve">Sichuan </w:t>
            </w:r>
            <w:proofErr w:type="spellStart"/>
            <w:r>
              <w:rPr>
                <w:rFonts w:ascii="Times New Roman" w:eastAsia="宋体" w:hAnsi="Times New Roman" w:cs="Times New Roman"/>
                <w:sz w:val="16"/>
                <w:szCs w:val="16"/>
              </w:rPr>
              <w:t>Yajixin</w:t>
            </w:r>
            <w:proofErr w:type="spellEnd"/>
          </w:p>
        </w:tc>
        <w:tc>
          <w:tcPr>
            <w:tcW w:w="1071" w:type="dxa"/>
            <w:tcBorders>
              <w:top w:val="single" w:sz="2" w:space="0" w:color="auto"/>
              <w:left w:val="single" w:sz="2" w:space="0" w:color="auto"/>
              <w:bottom w:val="single" w:sz="2" w:space="0" w:color="auto"/>
              <w:right w:val="single" w:sz="2" w:space="0" w:color="auto"/>
            </w:tcBorders>
            <w:vAlign w:val="center"/>
          </w:tcPr>
          <w:p w14:paraId="11845FB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87,152,928.61</w:t>
            </w:r>
          </w:p>
        </w:tc>
        <w:tc>
          <w:tcPr>
            <w:tcW w:w="974" w:type="dxa"/>
            <w:tcBorders>
              <w:top w:val="single" w:sz="2" w:space="0" w:color="auto"/>
              <w:left w:val="single" w:sz="2" w:space="0" w:color="auto"/>
              <w:bottom w:val="single" w:sz="2" w:space="0" w:color="auto"/>
              <w:right w:val="single" w:sz="2" w:space="0" w:color="auto"/>
            </w:tcBorders>
            <w:vAlign w:val="center"/>
          </w:tcPr>
          <w:p w14:paraId="1E588CB4"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-18,807,830.52</w:t>
            </w:r>
          </w:p>
        </w:tc>
        <w:tc>
          <w:tcPr>
            <w:tcW w:w="1168" w:type="dxa"/>
            <w:tcBorders>
              <w:top w:val="single" w:sz="2" w:space="0" w:color="auto"/>
              <w:left w:val="single" w:sz="2" w:space="0" w:color="auto"/>
              <w:bottom w:val="single" w:sz="2" w:space="0" w:color="auto"/>
              <w:right w:val="single" w:sz="2" w:space="0" w:color="auto"/>
            </w:tcBorders>
            <w:vAlign w:val="center"/>
          </w:tcPr>
          <w:p w14:paraId="461AA91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-18,807,830.52</w:t>
            </w:r>
          </w:p>
        </w:tc>
        <w:tc>
          <w:tcPr>
            <w:tcW w:w="1071" w:type="dxa"/>
            <w:tcBorders>
              <w:top w:val="single" w:sz="2" w:space="0" w:color="auto"/>
              <w:left w:val="single" w:sz="2" w:space="0" w:color="auto"/>
              <w:bottom w:val="single" w:sz="2" w:space="0" w:color="auto"/>
              <w:right w:val="single" w:sz="2" w:space="0" w:color="auto"/>
            </w:tcBorders>
            <w:vAlign w:val="center"/>
          </w:tcPr>
          <w:p w14:paraId="07D586B7"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12,002,831.60</w:t>
            </w:r>
          </w:p>
        </w:tc>
        <w:tc>
          <w:tcPr>
            <w:tcW w:w="1071" w:type="dxa"/>
            <w:tcBorders>
              <w:top w:val="single" w:sz="2" w:space="0" w:color="auto"/>
              <w:left w:val="single" w:sz="2" w:space="0" w:color="auto"/>
              <w:bottom w:val="single" w:sz="2" w:space="0" w:color="auto"/>
              <w:right w:val="single" w:sz="2" w:space="0" w:color="auto"/>
            </w:tcBorders>
            <w:vAlign w:val="center"/>
          </w:tcPr>
          <w:p w14:paraId="259DC62A"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98,877,957.29</w:t>
            </w:r>
          </w:p>
        </w:tc>
        <w:tc>
          <w:tcPr>
            <w:tcW w:w="942" w:type="dxa"/>
            <w:tcBorders>
              <w:top w:val="single" w:sz="2" w:space="0" w:color="auto"/>
              <w:left w:val="single" w:sz="2" w:space="0" w:color="auto"/>
              <w:bottom w:val="single" w:sz="2" w:space="0" w:color="auto"/>
              <w:right w:val="single" w:sz="2" w:space="0" w:color="auto"/>
            </w:tcBorders>
            <w:vAlign w:val="center"/>
          </w:tcPr>
          <w:p w14:paraId="30C80F2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16,239,142.76</w:t>
            </w:r>
          </w:p>
        </w:tc>
        <w:tc>
          <w:tcPr>
            <w:tcW w:w="1200" w:type="dxa"/>
            <w:tcBorders>
              <w:top w:val="single" w:sz="2" w:space="0" w:color="auto"/>
              <w:left w:val="single" w:sz="2" w:space="0" w:color="auto"/>
              <w:bottom w:val="single" w:sz="2" w:space="0" w:color="auto"/>
              <w:right w:val="single" w:sz="2" w:space="0" w:color="auto"/>
            </w:tcBorders>
            <w:vAlign w:val="center"/>
          </w:tcPr>
          <w:p w14:paraId="05F91E9D"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16,239,142.76</w:t>
            </w:r>
          </w:p>
        </w:tc>
        <w:tc>
          <w:tcPr>
            <w:tcW w:w="1071" w:type="dxa"/>
            <w:tcBorders>
              <w:top w:val="single" w:sz="2" w:space="0" w:color="auto"/>
              <w:left w:val="single" w:sz="2" w:space="0" w:color="auto"/>
              <w:bottom w:val="single" w:sz="2" w:space="0" w:color="auto"/>
              <w:right w:val="single" w:sz="2" w:space="0" w:color="auto"/>
            </w:tcBorders>
            <w:vAlign w:val="center"/>
          </w:tcPr>
          <w:p w14:paraId="4118144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77,678,735.20</w:t>
            </w:r>
          </w:p>
        </w:tc>
      </w:tr>
      <w:tr w:rsidR="00F73301" w:rsidRPr="008A539F" w14:paraId="5C5B8891" w14:textId="77777777" w:rsidTr="008A539F">
        <w:trPr>
          <w:jc w:val="center"/>
        </w:trPr>
        <w:tc>
          <w:tcPr>
            <w:tcW w:w="1071" w:type="dxa"/>
            <w:tcBorders>
              <w:top w:val="single" w:sz="2" w:space="0" w:color="auto"/>
              <w:left w:val="single" w:sz="2" w:space="0" w:color="auto"/>
              <w:bottom w:val="single" w:sz="2" w:space="0" w:color="auto"/>
              <w:right w:val="single" w:sz="2" w:space="0" w:color="auto"/>
            </w:tcBorders>
            <w:vAlign w:val="center"/>
          </w:tcPr>
          <w:p w14:paraId="5BAE5E8D" w14:textId="77777777" w:rsidR="00F73301" w:rsidRPr="008A539F" w:rsidRDefault="00F73301" w:rsidP="008C49B7">
            <w:pPr>
              <w:snapToGrid w:val="0"/>
              <w:rPr>
                <w:rFonts w:ascii="Times New Roman" w:eastAsia="宋体" w:hAnsi="Times New Roman" w:cs="Times New Roman"/>
                <w:sz w:val="16"/>
                <w:szCs w:val="16"/>
              </w:rPr>
            </w:pPr>
            <w:r w:rsidRPr="008A539F">
              <w:rPr>
                <w:rFonts w:ascii="Times New Roman" w:eastAsia="宋体" w:hAnsi="Times New Roman" w:cs="Times New Roman"/>
                <w:sz w:val="16"/>
                <w:szCs w:val="16"/>
              </w:rPr>
              <w:lastRenderedPageBreak/>
              <w:t xml:space="preserve">Hunan </w:t>
            </w:r>
            <w:proofErr w:type="spellStart"/>
            <w:r w:rsidRPr="008A539F">
              <w:rPr>
                <w:rFonts w:ascii="Times New Roman" w:eastAsia="宋体" w:hAnsi="Times New Roman" w:cs="Times New Roman"/>
                <w:sz w:val="16"/>
                <w:szCs w:val="16"/>
              </w:rPr>
              <w:t>Chuwei</w:t>
            </w:r>
            <w:proofErr w:type="spellEnd"/>
          </w:p>
        </w:tc>
        <w:tc>
          <w:tcPr>
            <w:tcW w:w="1071" w:type="dxa"/>
            <w:tcBorders>
              <w:top w:val="single" w:sz="2" w:space="0" w:color="auto"/>
              <w:left w:val="single" w:sz="2" w:space="0" w:color="auto"/>
              <w:bottom w:val="single" w:sz="2" w:space="0" w:color="auto"/>
              <w:right w:val="single" w:sz="2" w:space="0" w:color="auto"/>
            </w:tcBorders>
            <w:vAlign w:val="center"/>
          </w:tcPr>
          <w:p w14:paraId="4B6E251C"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52,072,268.82</w:t>
            </w:r>
          </w:p>
        </w:tc>
        <w:tc>
          <w:tcPr>
            <w:tcW w:w="974" w:type="dxa"/>
            <w:tcBorders>
              <w:top w:val="single" w:sz="2" w:space="0" w:color="auto"/>
              <w:left w:val="single" w:sz="2" w:space="0" w:color="auto"/>
              <w:bottom w:val="single" w:sz="2" w:space="0" w:color="auto"/>
              <w:right w:val="single" w:sz="2" w:space="0" w:color="auto"/>
            </w:tcBorders>
            <w:vAlign w:val="center"/>
          </w:tcPr>
          <w:p w14:paraId="5B926D8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-16,141,661.23</w:t>
            </w:r>
          </w:p>
        </w:tc>
        <w:tc>
          <w:tcPr>
            <w:tcW w:w="1168" w:type="dxa"/>
            <w:tcBorders>
              <w:top w:val="single" w:sz="2" w:space="0" w:color="auto"/>
              <w:left w:val="single" w:sz="2" w:space="0" w:color="auto"/>
              <w:bottom w:val="single" w:sz="2" w:space="0" w:color="auto"/>
              <w:right w:val="single" w:sz="2" w:space="0" w:color="auto"/>
            </w:tcBorders>
            <w:vAlign w:val="center"/>
          </w:tcPr>
          <w:p w14:paraId="1B7FA889"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-16,141,661.23</w:t>
            </w:r>
          </w:p>
        </w:tc>
        <w:tc>
          <w:tcPr>
            <w:tcW w:w="1071" w:type="dxa"/>
            <w:tcBorders>
              <w:top w:val="single" w:sz="2" w:space="0" w:color="auto"/>
              <w:left w:val="single" w:sz="2" w:space="0" w:color="auto"/>
              <w:bottom w:val="single" w:sz="2" w:space="0" w:color="auto"/>
              <w:right w:val="single" w:sz="2" w:space="0" w:color="auto"/>
            </w:tcBorders>
            <w:vAlign w:val="center"/>
          </w:tcPr>
          <w:p w14:paraId="0B714BDE"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8,611,734.03</w:t>
            </w:r>
          </w:p>
        </w:tc>
        <w:tc>
          <w:tcPr>
            <w:tcW w:w="1071" w:type="dxa"/>
            <w:tcBorders>
              <w:top w:val="single" w:sz="2" w:space="0" w:color="auto"/>
              <w:left w:val="single" w:sz="2" w:space="0" w:color="auto"/>
              <w:bottom w:val="single" w:sz="2" w:space="0" w:color="auto"/>
              <w:right w:val="single" w:sz="2" w:space="0" w:color="auto"/>
            </w:tcBorders>
            <w:vAlign w:val="center"/>
          </w:tcPr>
          <w:p w14:paraId="14782AB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55,771,697.65</w:t>
            </w:r>
          </w:p>
        </w:tc>
        <w:tc>
          <w:tcPr>
            <w:tcW w:w="942" w:type="dxa"/>
            <w:tcBorders>
              <w:top w:val="single" w:sz="2" w:space="0" w:color="auto"/>
              <w:left w:val="single" w:sz="2" w:space="0" w:color="auto"/>
              <w:bottom w:val="single" w:sz="2" w:space="0" w:color="auto"/>
              <w:right w:val="single" w:sz="2" w:space="0" w:color="auto"/>
            </w:tcBorders>
            <w:vAlign w:val="center"/>
          </w:tcPr>
          <w:p w14:paraId="610A6DC3"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-29,465,407.90</w:t>
            </w:r>
          </w:p>
        </w:tc>
        <w:tc>
          <w:tcPr>
            <w:tcW w:w="1200" w:type="dxa"/>
            <w:tcBorders>
              <w:top w:val="single" w:sz="2" w:space="0" w:color="auto"/>
              <w:left w:val="single" w:sz="2" w:space="0" w:color="auto"/>
              <w:bottom w:val="single" w:sz="2" w:space="0" w:color="auto"/>
              <w:right w:val="single" w:sz="2" w:space="0" w:color="auto"/>
            </w:tcBorders>
            <w:vAlign w:val="center"/>
          </w:tcPr>
          <w:p w14:paraId="6821CB26"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-29,465,407.90</w:t>
            </w:r>
          </w:p>
        </w:tc>
        <w:tc>
          <w:tcPr>
            <w:tcW w:w="1071" w:type="dxa"/>
            <w:tcBorders>
              <w:top w:val="single" w:sz="2" w:space="0" w:color="auto"/>
              <w:left w:val="single" w:sz="2" w:space="0" w:color="auto"/>
              <w:bottom w:val="single" w:sz="2" w:space="0" w:color="auto"/>
              <w:right w:val="single" w:sz="2" w:space="0" w:color="auto"/>
            </w:tcBorders>
            <w:vAlign w:val="center"/>
          </w:tcPr>
          <w:p w14:paraId="737B4D90" w14:textId="77777777" w:rsidR="00F73301" w:rsidRPr="008A539F" w:rsidRDefault="00F73301" w:rsidP="008C49B7">
            <w:pPr>
              <w:snapToGrid w:val="0"/>
              <w:jc w:val="right"/>
              <w:rPr>
                <w:rFonts w:ascii="Times New Roman" w:eastAsia="宋体" w:hAnsi="Times New Roman" w:cs="Times New Roman"/>
                <w:sz w:val="16"/>
                <w:szCs w:val="16"/>
              </w:rPr>
            </w:pPr>
            <w:r w:rsidRPr="008A539F">
              <w:rPr>
                <w:rFonts w:ascii="Times New Roman" w:eastAsia="宋体" w:hAnsi="Times New Roman" w:cs="Times New Roman"/>
                <w:sz w:val="16"/>
                <w:szCs w:val="16"/>
              </w:rPr>
              <w:t>7,854,476.43</w:t>
            </w:r>
          </w:p>
        </w:tc>
      </w:tr>
    </w:tbl>
    <w:p w14:paraId="3E931B3C"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C88B09A"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12EBDBB0"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13" w:name="_Toc989201"/>
      <w:r w:rsidRPr="00F73301">
        <w:rPr>
          <w:rFonts w:ascii="Times New Roman" w:eastAsia="宋体" w:hAnsi="Times New Roman" w:cs="Times New Roman"/>
          <w:b/>
          <w:bCs/>
          <w:sz w:val="24"/>
          <w:szCs w:val="24"/>
        </w:rPr>
        <w:t>(4) Significant restrictions on leveraging the assets and liquidating the liabilities of the business consortium</w:t>
      </w:r>
      <w:bookmarkEnd w:id="313"/>
    </w:p>
    <w:p w14:paraId="7D57BD4F"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A067FC1"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14" w:name="_Toc989202"/>
      <w:r w:rsidRPr="00F73301">
        <w:rPr>
          <w:rFonts w:ascii="Times New Roman" w:eastAsia="宋体" w:hAnsi="Times New Roman" w:cs="Times New Roman"/>
          <w:b/>
          <w:bCs/>
          <w:sz w:val="24"/>
          <w:szCs w:val="24"/>
        </w:rPr>
        <w:t>(5) Financial support or other support provided to structural entities incorporated into the scope of consolidated financial statements</w:t>
      </w:r>
      <w:bookmarkEnd w:id="314"/>
    </w:p>
    <w:p w14:paraId="565FD2EC"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52B9056"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634CFC98"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1B834CC1"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315" w:name="_Toc989203"/>
      <w:r w:rsidRPr="00F73301">
        <w:rPr>
          <w:rFonts w:ascii="Times New Roman" w:eastAsia="宋体" w:hAnsi="Times New Roman" w:cs="Times New Roman"/>
          <w:b/>
          <w:bCs/>
          <w:sz w:val="24"/>
          <w:szCs w:val="24"/>
        </w:rPr>
        <w:t>2. The transaction of the Company with its owner's equity share changing but the Company still controls the subsidiary</w:t>
      </w:r>
      <w:bookmarkEnd w:id="315"/>
    </w:p>
    <w:p w14:paraId="1724536B"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16" w:name="_Toc989204"/>
      <w:r w:rsidRPr="00F73301">
        <w:rPr>
          <w:rFonts w:ascii="Times New Roman" w:eastAsia="宋体" w:hAnsi="Times New Roman" w:cs="Times New Roman"/>
          <w:b/>
          <w:bCs/>
          <w:sz w:val="24"/>
          <w:szCs w:val="24"/>
        </w:rPr>
        <w:t>(1) Note to the owner’s equity share changed in subsidiaries</w:t>
      </w:r>
      <w:bookmarkEnd w:id="316"/>
    </w:p>
    <w:p w14:paraId="67A0F866"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5665AAA"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17" w:name="_Toc989205"/>
      <w:r w:rsidRPr="00F73301">
        <w:rPr>
          <w:rFonts w:ascii="Times New Roman" w:eastAsia="宋体" w:hAnsi="Times New Roman" w:cs="Times New Roman"/>
          <w:b/>
          <w:bCs/>
          <w:sz w:val="24"/>
          <w:szCs w:val="24"/>
        </w:rPr>
        <w:t>(2) Effect of transactions on minority interest and equity attributable to parent company</w:t>
      </w:r>
      <w:bookmarkEnd w:id="317"/>
    </w:p>
    <w:p w14:paraId="62B0FE0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0C013B1D"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B0E3D51" w14:textId="77777777" w:rsidR="00F73301" w:rsidRPr="00F73301" w:rsidRDefault="00F73301" w:rsidP="008C49B7">
            <w:pPr>
              <w:snapToGrid w:val="0"/>
              <w:rPr>
                <w:rFonts w:ascii="Times New Roman" w:eastAsia="等线" w:hAnsi="Times New Roman" w:cs="Times New Roman"/>
                <w:sz w:val="18"/>
                <w:szCs w:val="18"/>
              </w:rPr>
            </w:pPr>
          </w:p>
        </w:tc>
        <w:tc>
          <w:tcPr>
            <w:tcW w:w="4820" w:type="dxa"/>
            <w:tcBorders>
              <w:top w:val="single" w:sz="2" w:space="0" w:color="auto"/>
              <w:left w:val="single" w:sz="2" w:space="0" w:color="auto"/>
              <w:bottom w:val="single" w:sz="2" w:space="0" w:color="auto"/>
              <w:right w:val="single" w:sz="2" w:space="0" w:color="auto"/>
            </w:tcBorders>
            <w:vAlign w:val="center"/>
          </w:tcPr>
          <w:p w14:paraId="2C53200C" w14:textId="77777777" w:rsidR="00F73301" w:rsidRPr="00F73301" w:rsidRDefault="00F73301" w:rsidP="008C49B7">
            <w:pPr>
              <w:snapToGrid w:val="0"/>
              <w:jc w:val="center"/>
              <w:rPr>
                <w:rFonts w:ascii="Times New Roman" w:eastAsia="宋体" w:hAnsi="Times New Roman" w:cs="Times New Roman"/>
                <w:sz w:val="18"/>
                <w:szCs w:val="18"/>
              </w:rPr>
            </w:pPr>
          </w:p>
        </w:tc>
      </w:tr>
      <w:tr w:rsidR="00F73301" w:rsidRPr="00F73301" w14:paraId="68F61496"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645775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Purchase cost/disposal consideration</w:t>
            </w:r>
          </w:p>
        </w:tc>
        <w:tc>
          <w:tcPr>
            <w:tcW w:w="4820" w:type="dxa"/>
            <w:tcBorders>
              <w:top w:val="single" w:sz="2" w:space="0" w:color="auto"/>
              <w:left w:val="single" w:sz="2" w:space="0" w:color="auto"/>
              <w:bottom w:val="single" w:sz="2" w:space="0" w:color="auto"/>
              <w:right w:val="single" w:sz="2" w:space="0" w:color="auto"/>
            </w:tcBorders>
            <w:vAlign w:val="center"/>
          </w:tcPr>
          <w:p w14:paraId="52001A1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57C3C5E"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380A0B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-Cash</w:t>
            </w:r>
          </w:p>
        </w:tc>
        <w:tc>
          <w:tcPr>
            <w:tcW w:w="4820" w:type="dxa"/>
            <w:tcBorders>
              <w:top w:val="single" w:sz="2" w:space="0" w:color="auto"/>
              <w:left w:val="single" w:sz="2" w:space="0" w:color="auto"/>
              <w:bottom w:val="single" w:sz="2" w:space="0" w:color="auto"/>
              <w:right w:val="single" w:sz="2" w:space="0" w:color="auto"/>
            </w:tcBorders>
            <w:vAlign w:val="center"/>
          </w:tcPr>
          <w:p w14:paraId="38A2B81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6CAAD38"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A24B3F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-Fair value of non-cash assets</w:t>
            </w:r>
          </w:p>
        </w:tc>
        <w:tc>
          <w:tcPr>
            <w:tcW w:w="4820" w:type="dxa"/>
            <w:tcBorders>
              <w:top w:val="single" w:sz="2" w:space="0" w:color="auto"/>
              <w:left w:val="single" w:sz="2" w:space="0" w:color="auto"/>
              <w:bottom w:val="single" w:sz="2" w:space="0" w:color="auto"/>
              <w:right w:val="single" w:sz="2" w:space="0" w:color="auto"/>
            </w:tcBorders>
            <w:vAlign w:val="center"/>
          </w:tcPr>
          <w:p w14:paraId="0D19186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BA3D33D"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786409D8" w14:textId="77777777" w:rsidR="00F73301" w:rsidRPr="00F73301" w:rsidRDefault="00F73301" w:rsidP="008C49B7">
            <w:pPr>
              <w:snapToGrid w:val="0"/>
              <w:rPr>
                <w:rFonts w:ascii="Times New Roman" w:eastAsia="宋体" w:hAnsi="Times New Roman" w:cs="Times New Roman"/>
                <w:sz w:val="18"/>
                <w:szCs w:val="18"/>
              </w:rPr>
            </w:pPr>
          </w:p>
        </w:tc>
        <w:tc>
          <w:tcPr>
            <w:tcW w:w="4820" w:type="dxa"/>
            <w:tcBorders>
              <w:top w:val="single" w:sz="2" w:space="0" w:color="auto"/>
              <w:left w:val="single" w:sz="2" w:space="0" w:color="auto"/>
              <w:bottom w:val="single" w:sz="2" w:space="0" w:color="auto"/>
              <w:right w:val="single" w:sz="2" w:space="0" w:color="auto"/>
            </w:tcBorders>
            <w:vAlign w:val="center"/>
          </w:tcPr>
          <w:p w14:paraId="30DA8EC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CE36A2C"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6EBA36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purchase cost/disposal consideration</w:t>
            </w:r>
          </w:p>
        </w:tc>
        <w:tc>
          <w:tcPr>
            <w:tcW w:w="4820" w:type="dxa"/>
            <w:tcBorders>
              <w:top w:val="single" w:sz="2" w:space="0" w:color="auto"/>
              <w:left w:val="single" w:sz="2" w:space="0" w:color="auto"/>
              <w:bottom w:val="single" w:sz="2" w:space="0" w:color="auto"/>
              <w:right w:val="single" w:sz="2" w:space="0" w:color="auto"/>
            </w:tcBorders>
            <w:vAlign w:val="center"/>
          </w:tcPr>
          <w:p w14:paraId="78E9656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84C38F8"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B6CE05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Less: Share of net assets of subsidiaries based on percentage of equity acquired/disposed of</w:t>
            </w:r>
          </w:p>
        </w:tc>
        <w:tc>
          <w:tcPr>
            <w:tcW w:w="4820" w:type="dxa"/>
            <w:tcBorders>
              <w:top w:val="single" w:sz="2" w:space="0" w:color="auto"/>
              <w:left w:val="single" w:sz="2" w:space="0" w:color="auto"/>
              <w:bottom w:val="single" w:sz="2" w:space="0" w:color="auto"/>
              <w:right w:val="single" w:sz="2" w:space="0" w:color="auto"/>
            </w:tcBorders>
            <w:vAlign w:val="center"/>
          </w:tcPr>
          <w:p w14:paraId="0AE758F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8D6AFAB"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F32620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Balance</w:t>
            </w:r>
          </w:p>
        </w:tc>
        <w:tc>
          <w:tcPr>
            <w:tcW w:w="4820" w:type="dxa"/>
            <w:tcBorders>
              <w:top w:val="single" w:sz="2" w:space="0" w:color="auto"/>
              <w:left w:val="single" w:sz="2" w:space="0" w:color="auto"/>
              <w:bottom w:val="single" w:sz="2" w:space="0" w:color="auto"/>
              <w:right w:val="single" w:sz="2" w:space="0" w:color="auto"/>
            </w:tcBorders>
            <w:vAlign w:val="center"/>
          </w:tcPr>
          <w:p w14:paraId="5AE6870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E4BC0B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F1E1FB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Including: Capital reserve adjusted</w:t>
            </w:r>
          </w:p>
        </w:tc>
        <w:tc>
          <w:tcPr>
            <w:tcW w:w="4820" w:type="dxa"/>
            <w:tcBorders>
              <w:top w:val="single" w:sz="2" w:space="0" w:color="auto"/>
              <w:left w:val="single" w:sz="2" w:space="0" w:color="auto"/>
              <w:bottom w:val="single" w:sz="2" w:space="0" w:color="auto"/>
              <w:right w:val="single" w:sz="2" w:space="0" w:color="auto"/>
            </w:tcBorders>
            <w:vAlign w:val="center"/>
          </w:tcPr>
          <w:p w14:paraId="01B2AAB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A366BA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B2BFF18"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Adjusting surplus reserve</w:t>
            </w:r>
          </w:p>
        </w:tc>
        <w:tc>
          <w:tcPr>
            <w:tcW w:w="4820" w:type="dxa"/>
            <w:tcBorders>
              <w:top w:val="single" w:sz="2" w:space="0" w:color="auto"/>
              <w:left w:val="single" w:sz="2" w:space="0" w:color="auto"/>
              <w:bottom w:val="single" w:sz="2" w:space="0" w:color="auto"/>
              <w:right w:val="single" w:sz="2" w:space="0" w:color="auto"/>
            </w:tcBorders>
            <w:vAlign w:val="center"/>
          </w:tcPr>
          <w:p w14:paraId="61E646C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4012AF4"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4CCCF50" w14:textId="77777777" w:rsidR="00F73301" w:rsidRPr="00F73301" w:rsidRDefault="00F73301" w:rsidP="008C49B7">
            <w:pPr>
              <w:snapToGrid w:val="0"/>
              <w:ind w:firstLineChars="300" w:firstLine="540"/>
              <w:rPr>
                <w:rFonts w:ascii="Times New Roman" w:eastAsia="宋体" w:hAnsi="Times New Roman" w:cs="Times New Roman"/>
                <w:sz w:val="18"/>
                <w:szCs w:val="18"/>
              </w:rPr>
            </w:pPr>
            <w:r w:rsidRPr="00F73301">
              <w:rPr>
                <w:rFonts w:ascii="Times New Roman" w:eastAsia="宋体" w:hAnsi="Times New Roman" w:cs="Times New Roman"/>
                <w:sz w:val="18"/>
                <w:szCs w:val="18"/>
              </w:rPr>
              <w:t>Adjusting retained profits</w:t>
            </w:r>
          </w:p>
        </w:tc>
        <w:tc>
          <w:tcPr>
            <w:tcW w:w="4820" w:type="dxa"/>
            <w:tcBorders>
              <w:top w:val="single" w:sz="2" w:space="0" w:color="auto"/>
              <w:left w:val="single" w:sz="2" w:space="0" w:color="auto"/>
              <w:bottom w:val="single" w:sz="2" w:space="0" w:color="auto"/>
              <w:right w:val="single" w:sz="2" w:space="0" w:color="auto"/>
            </w:tcBorders>
            <w:vAlign w:val="center"/>
          </w:tcPr>
          <w:p w14:paraId="703A349C" w14:textId="77777777" w:rsidR="00F73301" w:rsidRPr="00F73301" w:rsidRDefault="00F73301" w:rsidP="008C49B7">
            <w:pPr>
              <w:snapToGrid w:val="0"/>
              <w:jc w:val="right"/>
              <w:rPr>
                <w:rFonts w:ascii="Times New Roman" w:eastAsia="宋体" w:hAnsi="Times New Roman" w:cs="Times New Roman"/>
                <w:sz w:val="18"/>
                <w:szCs w:val="18"/>
              </w:rPr>
            </w:pPr>
          </w:p>
        </w:tc>
      </w:tr>
    </w:tbl>
    <w:p w14:paraId="3BD983D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2A4C274"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5C497B6" w14:textId="77777777" w:rsidR="00F73301" w:rsidRPr="00F73301" w:rsidRDefault="00F73301" w:rsidP="008A539F">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318" w:name="_Toc989206"/>
      <w:r w:rsidRPr="00F73301">
        <w:rPr>
          <w:rFonts w:ascii="Times New Roman" w:eastAsia="宋体" w:hAnsi="Times New Roman" w:cs="Times New Roman"/>
          <w:b/>
          <w:bCs/>
          <w:sz w:val="24"/>
          <w:szCs w:val="24"/>
        </w:rPr>
        <w:t>3. Equity in joint ventures or associated enterprises</w:t>
      </w:r>
      <w:bookmarkEnd w:id="318"/>
    </w:p>
    <w:p w14:paraId="01FCE41B"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19" w:name="_Toc989207"/>
      <w:r w:rsidRPr="00F73301">
        <w:rPr>
          <w:rFonts w:ascii="Times New Roman" w:eastAsia="宋体" w:hAnsi="Times New Roman" w:cs="Times New Roman"/>
          <w:b/>
          <w:bCs/>
          <w:sz w:val="24"/>
          <w:szCs w:val="24"/>
        </w:rPr>
        <w:t>(1) Significant joint ventures or associated enterprises</w:t>
      </w:r>
      <w:bookmarkEnd w:id="319"/>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51D79F3D"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C7A21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A34F9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Principal place of operation</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A31138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Place of registration</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C7A47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Business nature</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0FD7BC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Shareholding percentage (%)</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82D94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Accounting treatment of the investment to joint venture or associated enterprise</w:t>
            </w:r>
          </w:p>
        </w:tc>
      </w:tr>
      <w:tr w:rsidR="00F73301" w:rsidRPr="00F73301" w14:paraId="74FA7EC2"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804C472"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F128B9"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3B41CD8"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FC369ED"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C392A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Direct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7DEA7C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Indirect</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3D7483A" w14:textId="77777777" w:rsidR="00F73301" w:rsidRPr="00F73301" w:rsidRDefault="00F73301" w:rsidP="008C49B7">
            <w:pPr>
              <w:snapToGrid w:val="0"/>
              <w:rPr>
                <w:rFonts w:ascii="Times New Roman" w:eastAsia="等线" w:hAnsi="Times New Roman" w:cs="Times New Roman"/>
                <w:sz w:val="18"/>
                <w:szCs w:val="18"/>
              </w:rPr>
            </w:pPr>
          </w:p>
        </w:tc>
      </w:tr>
    </w:tbl>
    <w:p w14:paraId="48DDC054"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holding proportion of joint venture or associated enterprise different from voting proportion:</w:t>
      </w:r>
    </w:p>
    <w:p w14:paraId="7E28270F"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656F74C4"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Basis of holding less than 20% of the voting rights but has a significant impact or holding 20% or more voting rights but does not have a significant impact:</w:t>
      </w:r>
    </w:p>
    <w:p w14:paraId="7FDF6907"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38CD2BFA"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20" w:name="_Toc989208"/>
      <w:r w:rsidRPr="00F73301">
        <w:rPr>
          <w:rFonts w:ascii="Times New Roman" w:eastAsia="宋体" w:hAnsi="Times New Roman" w:cs="Times New Roman"/>
          <w:b/>
          <w:bCs/>
          <w:sz w:val="24"/>
          <w:szCs w:val="24"/>
        </w:rPr>
        <w:t>(2) Main financial information of significant joint ventures</w:t>
      </w:r>
      <w:bookmarkEnd w:id="320"/>
    </w:p>
    <w:p w14:paraId="321CE82B"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392CD5C6" w14:textId="77777777" w:rsidTr="0001208F">
        <w:trPr>
          <w:jc w:val="center"/>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A038500"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12208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759DA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balance/Amount for the previous period</w:t>
            </w:r>
          </w:p>
        </w:tc>
      </w:tr>
      <w:tr w:rsidR="00F73301" w:rsidRPr="00F73301" w14:paraId="20EB51EE" w14:textId="77777777" w:rsidTr="0001208F">
        <w:trPr>
          <w:jc w:val="center"/>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811CDD2"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11B04E" w14:textId="77777777" w:rsidR="00F73301" w:rsidRPr="00F73301" w:rsidRDefault="00F73301" w:rsidP="008C49B7">
            <w:pPr>
              <w:snapToGrid w:val="0"/>
              <w:jc w:val="center"/>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A570F5" w14:textId="77777777" w:rsidR="00F73301" w:rsidRPr="00F73301" w:rsidRDefault="00F73301" w:rsidP="008C49B7">
            <w:pPr>
              <w:snapToGrid w:val="0"/>
              <w:jc w:val="center"/>
              <w:rPr>
                <w:rFonts w:ascii="Times New Roman" w:eastAsia="宋体" w:hAnsi="Times New Roman" w:cs="Times New Roman"/>
                <w:sz w:val="18"/>
                <w:szCs w:val="18"/>
              </w:rPr>
            </w:pPr>
          </w:p>
        </w:tc>
      </w:tr>
      <w:tr w:rsidR="00F73301" w:rsidRPr="00F73301" w14:paraId="590D071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B2D2B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2D4B1D6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B4181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265A8E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D6DEC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 Cash and cash equivalents</w:t>
            </w:r>
          </w:p>
        </w:tc>
        <w:tc>
          <w:tcPr>
            <w:tcW w:w="3213" w:type="dxa"/>
            <w:tcBorders>
              <w:top w:val="single" w:sz="2" w:space="0" w:color="auto"/>
              <w:left w:val="single" w:sz="2" w:space="0" w:color="auto"/>
              <w:bottom w:val="single" w:sz="2" w:space="0" w:color="auto"/>
              <w:right w:val="single" w:sz="2" w:space="0" w:color="auto"/>
            </w:tcBorders>
            <w:vAlign w:val="center"/>
          </w:tcPr>
          <w:p w14:paraId="452DE3D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8B987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44D99F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0DC0A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37A4572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B04B8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87F7DC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1937A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assets</w:t>
            </w:r>
          </w:p>
        </w:tc>
        <w:tc>
          <w:tcPr>
            <w:tcW w:w="3213" w:type="dxa"/>
            <w:tcBorders>
              <w:top w:val="single" w:sz="2" w:space="0" w:color="auto"/>
              <w:left w:val="single" w:sz="2" w:space="0" w:color="auto"/>
              <w:bottom w:val="single" w:sz="2" w:space="0" w:color="auto"/>
              <w:right w:val="single" w:sz="2" w:space="0" w:color="auto"/>
            </w:tcBorders>
            <w:vAlign w:val="center"/>
          </w:tcPr>
          <w:p w14:paraId="7278089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EE27F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A68F8F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0A0A3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22371B0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13B73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061562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2343B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7BE8A6BA"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512E1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87B741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3332C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042F7B5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9AC4C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3E6D68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21448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Minority interest</w:t>
            </w:r>
          </w:p>
        </w:tc>
        <w:tc>
          <w:tcPr>
            <w:tcW w:w="3213" w:type="dxa"/>
            <w:tcBorders>
              <w:top w:val="single" w:sz="2" w:space="0" w:color="auto"/>
              <w:left w:val="single" w:sz="2" w:space="0" w:color="auto"/>
              <w:bottom w:val="single" w:sz="2" w:space="0" w:color="auto"/>
              <w:right w:val="single" w:sz="2" w:space="0" w:color="auto"/>
            </w:tcBorders>
            <w:vAlign w:val="center"/>
          </w:tcPr>
          <w:p w14:paraId="6E4E2B3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DD67E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4DCB01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C04D2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Equity attributable to shareholders of the parent company</w:t>
            </w:r>
          </w:p>
        </w:tc>
        <w:tc>
          <w:tcPr>
            <w:tcW w:w="3213" w:type="dxa"/>
            <w:tcBorders>
              <w:top w:val="single" w:sz="2" w:space="0" w:color="auto"/>
              <w:left w:val="single" w:sz="2" w:space="0" w:color="auto"/>
              <w:bottom w:val="single" w:sz="2" w:space="0" w:color="auto"/>
              <w:right w:val="single" w:sz="2" w:space="0" w:color="auto"/>
            </w:tcBorders>
            <w:vAlign w:val="center"/>
          </w:tcPr>
          <w:p w14:paraId="015C00A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90A37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32476B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5BC10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assets shares calculated at the shareholding proportion</w:t>
            </w:r>
          </w:p>
        </w:tc>
        <w:tc>
          <w:tcPr>
            <w:tcW w:w="3213" w:type="dxa"/>
            <w:tcBorders>
              <w:top w:val="single" w:sz="2" w:space="0" w:color="auto"/>
              <w:left w:val="single" w:sz="2" w:space="0" w:color="auto"/>
              <w:bottom w:val="single" w:sz="2" w:space="0" w:color="auto"/>
              <w:right w:val="single" w:sz="2" w:space="0" w:color="auto"/>
            </w:tcBorders>
            <w:vAlign w:val="center"/>
          </w:tcPr>
          <w:p w14:paraId="3808707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CEB5E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58AC58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EA4B1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Adjusted items</w:t>
            </w:r>
          </w:p>
        </w:tc>
        <w:tc>
          <w:tcPr>
            <w:tcW w:w="3213" w:type="dxa"/>
            <w:tcBorders>
              <w:top w:val="single" w:sz="2" w:space="0" w:color="auto"/>
              <w:left w:val="single" w:sz="2" w:space="0" w:color="auto"/>
              <w:bottom w:val="single" w:sz="2" w:space="0" w:color="auto"/>
              <w:right w:val="single" w:sz="2" w:space="0" w:color="auto"/>
            </w:tcBorders>
            <w:vAlign w:val="center"/>
          </w:tcPr>
          <w:p w14:paraId="6F50066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117A3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CC0A6E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C8D0B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--Goodwill</w:t>
            </w:r>
          </w:p>
        </w:tc>
        <w:tc>
          <w:tcPr>
            <w:tcW w:w="3213" w:type="dxa"/>
            <w:tcBorders>
              <w:top w:val="single" w:sz="2" w:space="0" w:color="auto"/>
              <w:left w:val="single" w:sz="2" w:space="0" w:color="auto"/>
              <w:bottom w:val="single" w:sz="2" w:space="0" w:color="auto"/>
              <w:right w:val="single" w:sz="2" w:space="0" w:color="auto"/>
            </w:tcBorders>
            <w:vAlign w:val="center"/>
          </w:tcPr>
          <w:p w14:paraId="1DFCD6E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CC1EA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DB1A71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CF317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--Unrealized profit of intra-company transaction</w:t>
            </w:r>
          </w:p>
        </w:tc>
        <w:tc>
          <w:tcPr>
            <w:tcW w:w="3213" w:type="dxa"/>
            <w:tcBorders>
              <w:top w:val="single" w:sz="2" w:space="0" w:color="auto"/>
              <w:left w:val="single" w:sz="2" w:space="0" w:color="auto"/>
              <w:bottom w:val="single" w:sz="2" w:space="0" w:color="auto"/>
              <w:right w:val="single" w:sz="2" w:space="0" w:color="auto"/>
            </w:tcBorders>
            <w:vAlign w:val="center"/>
          </w:tcPr>
          <w:p w14:paraId="38A9D51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60769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2D47D7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64E8D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w:t>
            </w:r>
          </w:p>
        </w:tc>
        <w:tc>
          <w:tcPr>
            <w:tcW w:w="3213" w:type="dxa"/>
            <w:tcBorders>
              <w:top w:val="single" w:sz="2" w:space="0" w:color="auto"/>
              <w:left w:val="single" w:sz="2" w:space="0" w:color="auto"/>
              <w:bottom w:val="single" w:sz="2" w:space="0" w:color="auto"/>
              <w:right w:val="single" w:sz="2" w:space="0" w:color="auto"/>
            </w:tcBorders>
            <w:vAlign w:val="center"/>
          </w:tcPr>
          <w:p w14:paraId="114549C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2B868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DE54FA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DF618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 of equity investment to joint ventures</w:t>
            </w:r>
          </w:p>
        </w:tc>
        <w:tc>
          <w:tcPr>
            <w:tcW w:w="3213" w:type="dxa"/>
            <w:tcBorders>
              <w:top w:val="single" w:sz="2" w:space="0" w:color="auto"/>
              <w:left w:val="single" w:sz="2" w:space="0" w:color="auto"/>
              <w:bottom w:val="single" w:sz="2" w:space="0" w:color="auto"/>
              <w:right w:val="single" w:sz="2" w:space="0" w:color="auto"/>
            </w:tcBorders>
            <w:vAlign w:val="center"/>
          </w:tcPr>
          <w:p w14:paraId="70AD639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D17E4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2A14E4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2E149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Fair values of equity investments of joint ventures with quoted prices</w:t>
            </w:r>
          </w:p>
        </w:tc>
        <w:tc>
          <w:tcPr>
            <w:tcW w:w="3213" w:type="dxa"/>
            <w:tcBorders>
              <w:top w:val="single" w:sz="2" w:space="0" w:color="auto"/>
              <w:left w:val="single" w:sz="2" w:space="0" w:color="auto"/>
              <w:bottom w:val="single" w:sz="2" w:space="0" w:color="auto"/>
              <w:right w:val="single" w:sz="2" w:space="0" w:color="auto"/>
            </w:tcBorders>
            <w:vAlign w:val="center"/>
          </w:tcPr>
          <w:p w14:paraId="2FD9753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72C94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24EFEB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45330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Operating revenue</w:t>
            </w:r>
          </w:p>
        </w:tc>
        <w:tc>
          <w:tcPr>
            <w:tcW w:w="3213" w:type="dxa"/>
            <w:tcBorders>
              <w:top w:val="single" w:sz="2" w:space="0" w:color="auto"/>
              <w:left w:val="single" w:sz="2" w:space="0" w:color="auto"/>
              <w:bottom w:val="single" w:sz="2" w:space="0" w:color="auto"/>
              <w:right w:val="single" w:sz="2" w:space="0" w:color="auto"/>
            </w:tcBorders>
            <w:vAlign w:val="center"/>
          </w:tcPr>
          <w:p w14:paraId="56C2FAE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1FF6E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C9742E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8E784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Financial expenses</w:t>
            </w:r>
          </w:p>
        </w:tc>
        <w:tc>
          <w:tcPr>
            <w:tcW w:w="3213" w:type="dxa"/>
            <w:tcBorders>
              <w:top w:val="single" w:sz="2" w:space="0" w:color="auto"/>
              <w:left w:val="single" w:sz="2" w:space="0" w:color="auto"/>
              <w:bottom w:val="single" w:sz="2" w:space="0" w:color="auto"/>
              <w:right w:val="single" w:sz="2" w:space="0" w:color="auto"/>
            </w:tcBorders>
            <w:vAlign w:val="center"/>
          </w:tcPr>
          <w:p w14:paraId="23AA79F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16D28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3FBE69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EFA60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Income tax expenses</w:t>
            </w:r>
          </w:p>
        </w:tc>
        <w:tc>
          <w:tcPr>
            <w:tcW w:w="3213" w:type="dxa"/>
            <w:tcBorders>
              <w:top w:val="single" w:sz="2" w:space="0" w:color="auto"/>
              <w:left w:val="single" w:sz="2" w:space="0" w:color="auto"/>
              <w:bottom w:val="single" w:sz="2" w:space="0" w:color="auto"/>
              <w:right w:val="single" w:sz="2" w:space="0" w:color="auto"/>
            </w:tcBorders>
            <w:vAlign w:val="center"/>
          </w:tcPr>
          <w:p w14:paraId="21C09D1B"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57CA6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31BEE6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C9484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w:t>
            </w:r>
          </w:p>
        </w:tc>
        <w:tc>
          <w:tcPr>
            <w:tcW w:w="3213" w:type="dxa"/>
            <w:tcBorders>
              <w:top w:val="single" w:sz="2" w:space="0" w:color="auto"/>
              <w:left w:val="single" w:sz="2" w:space="0" w:color="auto"/>
              <w:bottom w:val="single" w:sz="2" w:space="0" w:color="auto"/>
              <w:right w:val="single" w:sz="2" w:space="0" w:color="auto"/>
            </w:tcBorders>
            <w:vAlign w:val="center"/>
          </w:tcPr>
          <w:p w14:paraId="11E6B27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589368"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DF32F7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949A7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 from discontinued operations</w:t>
            </w:r>
          </w:p>
        </w:tc>
        <w:tc>
          <w:tcPr>
            <w:tcW w:w="3213" w:type="dxa"/>
            <w:tcBorders>
              <w:top w:val="single" w:sz="2" w:space="0" w:color="auto"/>
              <w:left w:val="single" w:sz="2" w:space="0" w:color="auto"/>
              <w:bottom w:val="single" w:sz="2" w:space="0" w:color="auto"/>
              <w:right w:val="single" w:sz="2" w:space="0" w:color="auto"/>
            </w:tcBorders>
            <w:vAlign w:val="center"/>
          </w:tcPr>
          <w:p w14:paraId="2CF5920E"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F0F4F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8F2745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71438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45391EB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5CFA1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B294BE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65BB0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41C4761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F286C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A3D9A3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A517498" w14:textId="77777777" w:rsidR="00F73301" w:rsidRPr="00F73301" w:rsidRDefault="00F73301" w:rsidP="008C49B7">
            <w:pPr>
              <w:snapToGrid w:val="0"/>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F2D45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C907C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4F7798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52204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Dividends received from the joint venture in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61ADE82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B063F4" w14:textId="77777777" w:rsidR="00F73301" w:rsidRPr="00F73301" w:rsidRDefault="00F73301" w:rsidP="008C49B7">
            <w:pPr>
              <w:snapToGrid w:val="0"/>
              <w:jc w:val="right"/>
              <w:rPr>
                <w:rFonts w:ascii="Times New Roman" w:eastAsia="宋体" w:hAnsi="Times New Roman" w:cs="Times New Roman"/>
                <w:sz w:val="18"/>
                <w:szCs w:val="18"/>
              </w:rPr>
            </w:pPr>
          </w:p>
        </w:tc>
      </w:tr>
    </w:tbl>
    <w:p w14:paraId="54FE33D7"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3717AC6D"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223EABF7"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21" w:name="_Toc989209"/>
      <w:r w:rsidRPr="00F73301">
        <w:rPr>
          <w:rFonts w:ascii="Times New Roman" w:eastAsia="宋体" w:hAnsi="Times New Roman" w:cs="Times New Roman"/>
          <w:b/>
          <w:bCs/>
          <w:sz w:val="24"/>
          <w:szCs w:val="24"/>
        </w:rPr>
        <w:t>(3) Main financial information of significant associated enterprises</w:t>
      </w:r>
      <w:bookmarkEnd w:id="321"/>
    </w:p>
    <w:p w14:paraId="5957D87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0832C00A" w14:textId="77777777" w:rsidTr="0001208F">
        <w:trPr>
          <w:jc w:val="center"/>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A17BD0C"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C463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DE38B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balance/Amount for the previous period</w:t>
            </w:r>
          </w:p>
        </w:tc>
      </w:tr>
      <w:tr w:rsidR="00F73301" w:rsidRPr="00F73301" w14:paraId="795521B0" w14:textId="77777777" w:rsidTr="0001208F">
        <w:trPr>
          <w:jc w:val="center"/>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FE0744"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69880E" w14:textId="77777777" w:rsidR="00F73301" w:rsidRPr="00F73301" w:rsidRDefault="00F73301" w:rsidP="008C49B7">
            <w:pPr>
              <w:snapToGrid w:val="0"/>
              <w:jc w:val="center"/>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955E73" w14:textId="77777777" w:rsidR="00F73301" w:rsidRPr="00F73301" w:rsidRDefault="00F73301" w:rsidP="008C49B7">
            <w:pPr>
              <w:snapToGrid w:val="0"/>
              <w:jc w:val="center"/>
              <w:rPr>
                <w:rFonts w:ascii="Times New Roman" w:eastAsia="宋体" w:hAnsi="Times New Roman" w:cs="Times New Roman"/>
                <w:sz w:val="18"/>
                <w:szCs w:val="18"/>
              </w:rPr>
            </w:pPr>
          </w:p>
        </w:tc>
      </w:tr>
      <w:tr w:rsidR="00F73301" w:rsidRPr="00F73301" w14:paraId="1743770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FA5AD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0C7AE3C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806F8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551FCB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39C0A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assets</w:t>
            </w:r>
          </w:p>
        </w:tc>
        <w:tc>
          <w:tcPr>
            <w:tcW w:w="3213" w:type="dxa"/>
            <w:tcBorders>
              <w:top w:val="single" w:sz="2" w:space="0" w:color="auto"/>
              <w:left w:val="single" w:sz="2" w:space="0" w:color="auto"/>
              <w:bottom w:val="single" w:sz="2" w:space="0" w:color="auto"/>
              <w:right w:val="single" w:sz="2" w:space="0" w:color="auto"/>
            </w:tcBorders>
            <w:vAlign w:val="center"/>
          </w:tcPr>
          <w:p w14:paraId="4CA0853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241BF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3F51CB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59E45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assets</w:t>
            </w:r>
          </w:p>
        </w:tc>
        <w:tc>
          <w:tcPr>
            <w:tcW w:w="3213" w:type="dxa"/>
            <w:tcBorders>
              <w:top w:val="single" w:sz="2" w:space="0" w:color="auto"/>
              <w:left w:val="single" w:sz="2" w:space="0" w:color="auto"/>
              <w:bottom w:val="single" w:sz="2" w:space="0" w:color="auto"/>
              <w:right w:val="single" w:sz="2" w:space="0" w:color="auto"/>
            </w:tcBorders>
            <w:vAlign w:val="center"/>
          </w:tcPr>
          <w:p w14:paraId="64996C8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E4E36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45A482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5B962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0D9B87A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AF90F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CFCBD6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8DC4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Non-current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17A5F033"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FC9C1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EC2A4D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F9ED5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liabilities</w:t>
            </w:r>
          </w:p>
        </w:tc>
        <w:tc>
          <w:tcPr>
            <w:tcW w:w="3213" w:type="dxa"/>
            <w:tcBorders>
              <w:top w:val="single" w:sz="2" w:space="0" w:color="auto"/>
              <w:left w:val="single" w:sz="2" w:space="0" w:color="auto"/>
              <w:bottom w:val="single" w:sz="2" w:space="0" w:color="auto"/>
              <w:right w:val="single" w:sz="2" w:space="0" w:color="auto"/>
            </w:tcBorders>
            <w:vAlign w:val="center"/>
          </w:tcPr>
          <w:p w14:paraId="5D13A1F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39356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D12649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C3B49BC" w14:textId="77777777" w:rsidR="00F73301" w:rsidRPr="00F73301" w:rsidRDefault="00F73301" w:rsidP="008C49B7">
            <w:pPr>
              <w:snapToGrid w:val="0"/>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88ABE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36B6D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2D0122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A933E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Minority interest</w:t>
            </w:r>
          </w:p>
        </w:tc>
        <w:tc>
          <w:tcPr>
            <w:tcW w:w="3213" w:type="dxa"/>
            <w:tcBorders>
              <w:top w:val="single" w:sz="2" w:space="0" w:color="auto"/>
              <w:left w:val="single" w:sz="2" w:space="0" w:color="auto"/>
              <w:bottom w:val="single" w:sz="2" w:space="0" w:color="auto"/>
              <w:right w:val="single" w:sz="2" w:space="0" w:color="auto"/>
            </w:tcBorders>
            <w:vAlign w:val="center"/>
          </w:tcPr>
          <w:p w14:paraId="47389F8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4CAE8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E2584E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5593A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Equity attributable to shareholders of the parent company</w:t>
            </w:r>
          </w:p>
        </w:tc>
        <w:tc>
          <w:tcPr>
            <w:tcW w:w="3213" w:type="dxa"/>
            <w:tcBorders>
              <w:top w:val="single" w:sz="2" w:space="0" w:color="auto"/>
              <w:left w:val="single" w:sz="2" w:space="0" w:color="auto"/>
              <w:bottom w:val="single" w:sz="2" w:space="0" w:color="auto"/>
              <w:right w:val="single" w:sz="2" w:space="0" w:color="auto"/>
            </w:tcBorders>
            <w:vAlign w:val="center"/>
          </w:tcPr>
          <w:p w14:paraId="350F1317"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5C188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E17079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67680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Net assets shares calculated at the shareholding proportion</w:t>
            </w:r>
          </w:p>
        </w:tc>
        <w:tc>
          <w:tcPr>
            <w:tcW w:w="3213" w:type="dxa"/>
            <w:tcBorders>
              <w:top w:val="single" w:sz="2" w:space="0" w:color="auto"/>
              <w:left w:val="single" w:sz="2" w:space="0" w:color="auto"/>
              <w:bottom w:val="single" w:sz="2" w:space="0" w:color="auto"/>
              <w:right w:val="single" w:sz="2" w:space="0" w:color="auto"/>
            </w:tcBorders>
            <w:vAlign w:val="center"/>
          </w:tcPr>
          <w:p w14:paraId="6A0FC36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C7B92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165B52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8B714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Adjusted items</w:t>
            </w:r>
          </w:p>
        </w:tc>
        <w:tc>
          <w:tcPr>
            <w:tcW w:w="3213" w:type="dxa"/>
            <w:tcBorders>
              <w:top w:val="single" w:sz="2" w:space="0" w:color="auto"/>
              <w:left w:val="single" w:sz="2" w:space="0" w:color="auto"/>
              <w:bottom w:val="single" w:sz="2" w:space="0" w:color="auto"/>
              <w:right w:val="single" w:sz="2" w:space="0" w:color="auto"/>
            </w:tcBorders>
            <w:vAlign w:val="center"/>
          </w:tcPr>
          <w:p w14:paraId="048615B4"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FB4A7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21C50E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E2F91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--Goodwill</w:t>
            </w:r>
          </w:p>
        </w:tc>
        <w:tc>
          <w:tcPr>
            <w:tcW w:w="3213" w:type="dxa"/>
            <w:tcBorders>
              <w:top w:val="single" w:sz="2" w:space="0" w:color="auto"/>
              <w:left w:val="single" w:sz="2" w:space="0" w:color="auto"/>
              <w:bottom w:val="single" w:sz="2" w:space="0" w:color="auto"/>
              <w:right w:val="single" w:sz="2" w:space="0" w:color="auto"/>
            </w:tcBorders>
            <w:vAlign w:val="center"/>
          </w:tcPr>
          <w:p w14:paraId="6F7B17CF"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4D575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9B7E76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57FBB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--Unrealized profit of intra-company transaction</w:t>
            </w:r>
          </w:p>
        </w:tc>
        <w:tc>
          <w:tcPr>
            <w:tcW w:w="3213" w:type="dxa"/>
            <w:tcBorders>
              <w:top w:val="single" w:sz="2" w:space="0" w:color="auto"/>
              <w:left w:val="single" w:sz="2" w:space="0" w:color="auto"/>
              <w:bottom w:val="single" w:sz="2" w:space="0" w:color="auto"/>
              <w:right w:val="single" w:sz="2" w:space="0" w:color="auto"/>
            </w:tcBorders>
            <w:vAlign w:val="center"/>
          </w:tcPr>
          <w:p w14:paraId="416080DC"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3C488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3A994E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35D56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w:t>
            </w:r>
          </w:p>
        </w:tc>
        <w:tc>
          <w:tcPr>
            <w:tcW w:w="3213" w:type="dxa"/>
            <w:tcBorders>
              <w:top w:val="single" w:sz="2" w:space="0" w:color="auto"/>
              <w:left w:val="single" w:sz="2" w:space="0" w:color="auto"/>
              <w:bottom w:val="single" w:sz="2" w:space="0" w:color="auto"/>
              <w:right w:val="single" w:sz="2" w:space="0" w:color="auto"/>
            </w:tcBorders>
            <w:vAlign w:val="center"/>
          </w:tcPr>
          <w:p w14:paraId="4F49A37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11099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08A0D5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C28B2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 of investment to associated enterprises</w:t>
            </w:r>
          </w:p>
        </w:tc>
        <w:tc>
          <w:tcPr>
            <w:tcW w:w="3213" w:type="dxa"/>
            <w:tcBorders>
              <w:top w:val="single" w:sz="2" w:space="0" w:color="auto"/>
              <w:left w:val="single" w:sz="2" w:space="0" w:color="auto"/>
              <w:bottom w:val="single" w:sz="2" w:space="0" w:color="auto"/>
              <w:right w:val="single" w:sz="2" w:space="0" w:color="auto"/>
            </w:tcBorders>
            <w:vAlign w:val="center"/>
          </w:tcPr>
          <w:p w14:paraId="51624A1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C0264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137F4D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2DE93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Fair value of equity investments in associated enterprises with publicly quoted prices</w:t>
            </w:r>
          </w:p>
        </w:tc>
        <w:tc>
          <w:tcPr>
            <w:tcW w:w="3213" w:type="dxa"/>
            <w:tcBorders>
              <w:top w:val="single" w:sz="2" w:space="0" w:color="auto"/>
              <w:left w:val="single" w:sz="2" w:space="0" w:color="auto"/>
              <w:bottom w:val="single" w:sz="2" w:space="0" w:color="auto"/>
              <w:right w:val="single" w:sz="2" w:space="0" w:color="auto"/>
            </w:tcBorders>
            <w:vAlign w:val="center"/>
          </w:tcPr>
          <w:p w14:paraId="1B58C870"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0E21EB"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79270B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B78B2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Operating revenue</w:t>
            </w:r>
          </w:p>
        </w:tc>
        <w:tc>
          <w:tcPr>
            <w:tcW w:w="3213" w:type="dxa"/>
            <w:tcBorders>
              <w:top w:val="single" w:sz="2" w:space="0" w:color="auto"/>
              <w:left w:val="single" w:sz="2" w:space="0" w:color="auto"/>
              <w:bottom w:val="single" w:sz="2" w:space="0" w:color="auto"/>
              <w:right w:val="single" w:sz="2" w:space="0" w:color="auto"/>
            </w:tcBorders>
            <w:vAlign w:val="center"/>
          </w:tcPr>
          <w:p w14:paraId="5E615A56"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D37DE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610B6A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FA2BB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w:t>
            </w:r>
          </w:p>
        </w:tc>
        <w:tc>
          <w:tcPr>
            <w:tcW w:w="3213" w:type="dxa"/>
            <w:tcBorders>
              <w:top w:val="single" w:sz="2" w:space="0" w:color="auto"/>
              <w:left w:val="single" w:sz="2" w:space="0" w:color="auto"/>
              <w:bottom w:val="single" w:sz="2" w:space="0" w:color="auto"/>
              <w:right w:val="single" w:sz="2" w:space="0" w:color="auto"/>
            </w:tcBorders>
            <w:vAlign w:val="center"/>
          </w:tcPr>
          <w:p w14:paraId="536BD72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2A050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05C564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3C63D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 from discontinued operations</w:t>
            </w:r>
          </w:p>
        </w:tc>
        <w:tc>
          <w:tcPr>
            <w:tcW w:w="3213" w:type="dxa"/>
            <w:tcBorders>
              <w:top w:val="single" w:sz="2" w:space="0" w:color="auto"/>
              <w:left w:val="single" w:sz="2" w:space="0" w:color="auto"/>
              <w:bottom w:val="single" w:sz="2" w:space="0" w:color="auto"/>
              <w:right w:val="single" w:sz="2" w:space="0" w:color="auto"/>
            </w:tcBorders>
            <w:vAlign w:val="center"/>
          </w:tcPr>
          <w:p w14:paraId="49CDE40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B2971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22F6C1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66CFB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403B64D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9953C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2AD972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5322D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706CACE8"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32247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8BFD02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88CE6FF" w14:textId="77777777" w:rsidR="00F73301" w:rsidRPr="00F73301" w:rsidRDefault="00F73301" w:rsidP="008C49B7">
            <w:pPr>
              <w:snapToGrid w:val="0"/>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869C1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1E842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4859D5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A19D7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Dividends received from the associates in the current period</w:t>
            </w:r>
          </w:p>
        </w:tc>
        <w:tc>
          <w:tcPr>
            <w:tcW w:w="3213" w:type="dxa"/>
            <w:tcBorders>
              <w:top w:val="single" w:sz="2" w:space="0" w:color="auto"/>
              <w:left w:val="single" w:sz="2" w:space="0" w:color="auto"/>
              <w:bottom w:val="single" w:sz="2" w:space="0" w:color="auto"/>
              <w:right w:val="single" w:sz="2" w:space="0" w:color="auto"/>
            </w:tcBorders>
            <w:vAlign w:val="center"/>
          </w:tcPr>
          <w:p w14:paraId="7023DA7D"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81E6F2" w14:textId="77777777" w:rsidR="00F73301" w:rsidRPr="00F73301" w:rsidRDefault="00F73301" w:rsidP="008C49B7">
            <w:pPr>
              <w:snapToGrid w:val="0"/>
              <w:jc w:val="right"/>
              <w:rPr>
                <w:rFonts w:ascii="Times New Roman" w:eastAsia="宋体" w:hAnsi="Times New Roman" w:cs="Times New Roman"/>
                <w:sz w:val="18"/>
                <w:szCs w:val="18"/>
              </w:rPr>
            </w:pPr>
          </w:p>
        </w:tc>
      </w:tr>
    </w:tbl>
    <w:p w14:paraId="24F2F59E"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7C57968"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0DCF3771"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22" w:name="_Toc989210"/>
      <w:r w:rsidRPr="00F73301">
        <w:rPr>
          <w:rFonts w:ascii="Times New Roman" w:eastAsia="宋体" w:hAnsi="Times New Roman" w:cs="Times New Roman"/>
          <w:b/>
          <w:bCs/>
          <w:sz w:val="24"/>
          <w:szCs w:val="24"/>
        </w:rPr>
        <w:t>(4) Summary financial information of insignificant joint ventures or associated enterprises</w:t>
      </w:r>
      <w:bookmarkEnd w:id="322"/>
    </w:p>
    <w:p w14:paraId="618EA76A"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E73479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B984A5"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22807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A6220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balance/Amount for the previous period</w:t>
            </w:r>
          </w:p>
        </w:tc>
      </w:tr>
      <w:tr w:rsidR="00F73301" w:rsidRPr="00F73301" w14:paraId="4A7B3BA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8F6EA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Joint venture: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942ED1"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D4EC54"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0A19D14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ABD66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carrying amount of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7F4DD0E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60,747,681.56</w:t>
            </w:r>
          </w:p>
        </w:tc>
        <w:tc>
          <w:tcPr>
            <w:tcW w:w="3213" w:type="dxa"/>
            <w:tcBorders>
              <w:top w:val="single" w:sz="2" w:space="0" w:color="auto"/>
              <w:left w:val="single" w:sz="2" w:space="0" w:color="auto"/>
              <w:bottom w:val="single" w:sz="2" w:space="0" w:color="auto"/>
              <w:right w:val="single" w:sz="2" w:space="0" w:color="auto"/>
            </w:tcBorders>
            <w:vAlign w:val="center"/>
          </w:tcPr>
          <w:p w14:paraId="675384C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107,981,806.92</w:t>
            </w:r>
          </w:p>
        </w:tc>
      </w:tr>
      <w:tr w:rsidR="00F73301" w:rsidRPr="00F73301" w14:paraId="70159A8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7EB53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Proportionate shares in the following items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F9B9D8"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5B7148"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BB0D8F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D59F1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Associated enterprises: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45B10B"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A5AB7D"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D8C2BD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804DA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Proportionate shares in the following items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2EE17F" w14:textId="77777777" w:rsidR="00F73301" w:rsidRPr="00F73301" w:rsidRDefault="00F73301" w:rsidP="008C49B7">
            <w:pPr>
              <w:snapToGrid w:val="0"/>
              <w:rPr>
                <w:rFonts w:ascii="Times New Roman" w:eastAsia="等线"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8D8DF8"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F033A7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7B0BF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w:t>
            </w:r>
          </w:p>
        </w:tc>
        <w:tc>
          <w:tcPr>
            <w:tcW w:w="3213" w:type="dxa"/>
            <w:tcBorders>
              <w:top w:val="single" w:sz="2" w:space="0" w:color="auto"/>
              <w:left w:val="single" w:sz="2" w:space="0" w:color="auto"/>
              <w:bottom w:val="single" w:sz="2" w:space="0" w:color="auto"/>
              <w:right w:val="single" w:sz="2" w:space="0" w:color="auto"/>
            </w:tcBorders>
            <w:vAlign w:val="center"/>
          </w:tcPr>
          <w:p w14:paraId="5C87889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5,702,460.48</w:t>
            </w:r>
          </w:p>
        </w:tc>
        <w:tc>
          <w:tcPr>
            <w:tcW w:w="3213" w:type="dxa"/>
            <w:tcBorders>
              <w:top w:val="single" w:sz="2" w:space="0" w:color="auto"/>
              <w:left w:val="single" w:sz="2" w:space="0" w:color="auto"/>
              <w:bottom w:val="single" w:sz="2" w:space="0" w:color="auto"/>
              <w:right w:val="single" w:sz="2" w:space="0" w:color="auto"/>
            </w:tcBorders>
            <w:vAlign w:val="center"/>
          </w:tcPr>
          <w:p w14:paraId="569075C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4,817,516.68</w:t>
            </w:r>
          </w:p>
        </w:tc>
      </w:tr>
      <w:tr w:rsidR="00F73301" w:rsidRPr="00F73301" w14:paraId="1A2A954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E6EC0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comprehensive income</w:t>
            </w:r>
          </w:p>
        </w:tc>
        <w:tc>
          <w:tcPr>
            <w:tcW w:w="3213" w:type="dxa"/>
            <w:tcBorders>
              <w:top w:val="single" w:sz="2" w:space="0" w:color="auto"/>
              <w:left w:val="single" w:sz="2" w:space="0" w:color="auto"/>
              <w:bottom w:val="single" w:sz="2" w:space="0" w:color="auto"/>
              <w:right w:val="single" w:sz="2" w:space="0" w:color="auto"/>
            </w:tcBorders>
            <w:vAlign w:val="center"/>
          </w:tcPr>
          <w:p w14:paraId="6AF8B71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5,702,460.48</w:t>
            </w:r>
          </w:p>
        </w:tc>
        <w:tc>
          <w:tcPr>
            <w:tcW w:w="3213" w:type="dxa"/>
            <w:tcBorders>
              <w:top w:val="single" w:sz="2" w:space="0" w:color="auto"/>
              <w:left w:val="single" w:sz="2" w:space="0" w:color="auto"/>
              <w:bottom w:val="single" w:sz="2" w:space="0" w:color="auto"/>
              <w:right w:val="single" w:sz="2" w:space="0" w:color="auto"/>
            </w:tcBorders>
            <w:vAlign w:val="center"/>
          </w:tcPr>
          <w:p w14:paraId="629571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4,817,516.68</w:t>
            </w:r>
          </w:p>
        </w:tc>
      </w:tr>
    </w:tbl>
    <w:p w14:paraId="6EADFA91" w14:textId="77777777" w:rsidR="00F73301" w:rsidRPr="00F73301" w:rsidRDefault="00F73301" w:rsidP="008A539F">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3727FD8"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7A9F3BFC"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23" w:name="_Toc989211"/>
      <w:r w:rsidRPr="00F73301">
        <w:rPr>
          <w:rFonts w:ascii="Times New Roman" w:eastAsia="宋体" w:hAnsi="Times New Roman" w:cs="Times New Roman"/>
          <w:b/>
          <w:bCs/>
          <w:sz w:val="24"/>
          <w:szCs w:val="24"/>
        </w:rPr>
        <w:t>(5) Note to the significant restrictions on the ability of joint ventures or associated enterprises to transfer funds to the Company</w:t>
      </w:r>
      <w:bookmarkEnd w:id="323"/>
    </w:p>
    <w:p w14:paraId="49CD2D6E" w14:textId="77777777" w:rsidR="00F73301" w:rsidRPr="00F73301" w:rsidRDefault="00F73301" w:rsidP="008A539F">
      <w:pPr>
        <w:snapToGrid w:val="0"/>
        <w:spacing w:beforeLines="50" w:before="156" w:afterLines="50" w:after="156"/>
        <w:jc w:val="both"/>
        <w:rPr>
          <w:rFonts w:ascii="Times New Roman" w:eastAsia="等线" w:hAnsi="Times New Roman" w:cs="Times New Roman"/>
          <w:sz w:val="24"/>
          <w:szCs w:val="24"/>
        </w:rPr>
      </w:pPr>
    </w:p>
    <w:p w14:paraId="5F54AA9A" w14:textId="77777777" w:rsidR="00F73301" w:rsidRPr="00F73301" w:rsidRDefault="00F73301" w:rsidP="008A539F">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24" w:name="_Toc989212"/>
      <w:r w:rsidRPr="00F73301">
        <w:rPr>
          <w:rFonts w:ascii="Times New Roman" w:eastAsia="宋体" w:hAnsi="Times New Roman" w:cs="Times New Roman"/>
          <w:b/>
          <w:bCs/>
          <w:sz w:val="24"/>
          <w:szCs w:val="24"/>
        </w:rPr>
        <w:t>(6) The excess loss of joint ventures or associated enterprises</w:t>
      </w:r>
      <w:bookmarkEnd w:id="324"/>
    </w:p>
    <w:p w14:paraId="4E21C76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0ACD6DD5"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EAFAF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1AA424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The cumulative recognized losses in previous accumulatively derecognized</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BC62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The derecognized losses (or the share of net profit) in current period</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17BD7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The accumulative unrecognized losses in current period</w:t>
            </w:r>
          </w:p>
        </w:tc>
      </w:tr>
    </w:tbl>
    <w:p w14:paraId="05FB3CCE"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25855B3"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61DC639B" w14:textId="77777777" w:rsidR="00F73301" w:rsidRPr="00F73301" w:rsidRDefault="00F73301" w:rsidP="008A539F">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25" w:name="_Toc989213"/>
      <w:r w:rsidRPr="00F73301">
        <w:rPr>
          <w:rFonts w:ascii="Times New Roman" w:eastAsia="宋体" w:hAnsi="Times New Roman" w:cs="Times New Roman"/>
          <w:b/>
          <w:bCs/>
          <w:sz w:val="24"/>
          <w:szCs w:val="24"/>
        </w:rPr>
        <w:t>(7) The unrecognized commitment related to investment to joint ventures</w:t>
      </w:r>
      <w:bookmarkEnd w:id="325"/>
    </w:p>
    <w:p w14:paraId="5EE61842"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3C3D8BD8" w14:textId="77777777" w:rsidR="00F73301" w:rsidRPr="00F73301" w:rsidRDefault="00F73301" w:rsidP="008A539F">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26" w:name="_Toc989214"/>
      <w:r w:rsidRPr="00F73301">
        <w:rPr>
          <w:rFonts w:ascii="Times New Roman" w:eastAsia="宋体" w:hAnsi="Times New Roman" w:cs="Times New Roman"/>
          <w:b/>
          <w:bCs/>
          <w:sz w:val="24"/>
          <w:szCs w:val="24"/>
        </w:rPr>
        <w:lastRenderedPageBreak/>
        <w:t>(8) Contingent liabilities related to investment to joint ventures or associated enterprises</w:t>
      </w:r>
      <w:bookmarkEnd w:id="326"/>
    </w:p>
    <w:p w14:paraId="202ABE94"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22DDF6D4"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27" w:name="_Toc989215"/>
      <w:r w:rsidRPr="00F73301">
        <w:rPr>
          <w:rFonts w:ascii="Times New Roman" w:eastAsia="宋体" w:hAnsi="Times New Roman" w:cs="Times New Roman"/>
          <w:b/>
          <w:bCs/>
          <w:sz w:val="24"/>
          <w:szCs w:val="24"/>
        </w:rPr>
        <w:t>4. Significant joint ventures</w:t>
      </w:r>
      <w:bookmarkEnd w:id="327"/>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7"/>
        <w:gridCol w:w="1607"/>
        <w:gridCol w:w="1606"/>
        <w:gridCol w:w="1606"/>
        <w:gridCol w:w="1606"/>
        <w:gridCol w:w="1607"/>
      </w:tblGrid>
      <w:tr w:rsidR="00F73301" w:rsidRPr="00F73301" w14:paraId="6B731D6D" w14:textId="77777777" w:rsidTr="0001208F">
        <w:trPr>
          <w:jc w:val="center"/>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52EC4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 of joint venture</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3FEBC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Principal place of operation</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F4659F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Place of registration</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F7071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Business nature</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7D6EDF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Shareholding proportion/shares owned</w:t>
            </w:r>
          </w:p>
        </w:tc>
      </w:tr>
      <w:tr w:rsidR="00F73301" w:rsidRPr="00F73301" w14:paraId="6716EA3A" w14:textId="77777777" w:rsidTr="0001208F">
        <w:trPr>
          <w:jc w:val="center"/>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3CC77F" w14:textId="77777777" w:rsidR="00F73301" w:rsidRPr="00F73301" w:rsidRDefault="00F73301" w:rsidP="008C49B7">
            <w:pPr>
              <w:snapToGrid w:val="0"/>
              <w:rPr>
                <w:rFonts w:ascii="Times New Roman" w:eastAsia="等线" w:hAnsi="Times New Roman" w:cs="Times New Roman"/>
                <w:sz w:val="18"/>
                <w:szCs w:val="18"/>
              </w:rPr>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BE385D" w14:textId="77777777" w:rsidR="00F73301" w:rsidRPr="00F73301" w:rsidRDefault="00F73301" w:rsidP="008C49B7">
            <w:pPr>
              <w:snapToGrid w:val="0"/>
              <w:rPr>
                <w:rFonts w:ascii="Times New Roman" w:eastAsia="等线" w:hAnsi="Times New Roman" w:cs="Times New Roman"/>
                <w:sz w:val="18"/>
                <w:szCs w:val="18"/>
              </w:rPr>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48530D6" w14:textId="77777777" w:rsidR="00F73301" w:rsidRPr="00F73301" w:rsidRDefault="00F73301" w:rsidP="008C49B7">
            <w:pPr>
              <w:snapToGrid w:val="0"/>
              <w:rPr>
                <w:rFonts w:ascii="Times New Roman" w:eastAsia="等线" w:hAnsi="Times New Roman" w:cs="Times New Roman"/>
                <w:sz w:val="18"/>
                <w:szCs w:val="18"/>
              </w:rPr>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4AF4E8B" w14:textId="77777777" w:rsidR="00F73301" w:rsidRPr="00F73301" w:rsidRDefault="00F73301" w:rsidP="008C49B7">
            <w:pPr>
              <w:snapToGrid w:val="0"/>
              <w:rPr>
                <w:rFonts w:ascii="Times New Roman" w:eastAsia="等线"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650B4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Direct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36F7CE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Indirect</w:t>
            </w:r>
          </w:p>
        </w:tc>
      </w:tr>
    </w:tbl>
    <w:p w14:paraId="7524A422"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the difference between the shareholding proportion or shares owned in the joint venture and the voting proportion:</w:t>
      </w:r>
    </w:p>
    <w:p w14:paraId="19B9B03A"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03AA6EED"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If the joint venture is a stand-alone entity, the basis for classifying it as a joint venture is as follows:</w:t>
      </w:r>
    </w:p>
    <w:p w14:paraId="3C6E2302"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6841E44F"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42E089B5"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3B0FCAE2"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28" w:name="_Toc989216"/>
      <w:r w:rsidRPr="00F73301">
        <w:rPr>
          <w:rFonts w:ascii="Times New Roman" w:eastAsia="宋体" w:hAnsi="Times New Roman" w:cs="Times New Roman"/>
          <w:b/>
          <w:bCs/>
          <w:sz w:val="24"/>
          <w:szCs w:val="24"/>
        </w:rPr>
        <w:t>5. Equity in structured entities that are not incorporated into the scope of consolidated financial statements</w:t>
      </w:r>
      <w:bookmarkEnd w:id="328"/>
    </w:p>
    <w:p w14:paraId="67E709AE"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structured entities that are not incorporated into the scope of consolidated financial statements:</w:t>
      </w:r>
    </w:p>
    <w:p w14:paraId="256B404A"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1E8E15D3"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29" w:name="_Toc989217"/>
      <w:r w:rsidRPr="00F73301">
        <w:rPr>
          <w:rFonts w:ascii="Times New Roman" w:eastAsia="宋体" w:hAnsi="Times New Roman" w:cs="Times New Roman"/>
          <w:b/>
          <w:bCs/>
          <w:sz w:val="24"/>
          <w:szCs w:val="24"/>
        </w:rPr>
        <w:t>6. Others</w:t>
      </w:r>
      <w:bookmarkEnd w:id="329"/>
    </w:p>
    <w:p w14:paraId="4BE8094E"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1FB9E462" w14:textId="77777777" w:rsidR="00F73301" w:rsidRPr="00F73301" w:rsidRDefault="00F73301" w:rsidP="008A539F">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330" w:name="_Toc989218"/>
      <w:r w:rsidRPr="00F73301">
        <w:rPr>
          <w:rFonts w:ascii="Times New Roman" w:eastAsia="宋体" w:hAnsi="Times New Roman" w:cs="Times New Roman"/>
          <w:b/>
          <w:bCs/>
          <w:sz w:val="24"/>
          <w:szCs w:val="24"/>
        </w:rPr>
        <w:t>X. Risks Associated with Financial Instruments</w:t>
      </w:r>
      <w:bookmarkEnd w:id="330"/>
    </w:p>
    <w:p w14:paraId="397B3E6C"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In risk management, the Company aims to seek the appropriate balance between the risks and benefits from its use of financial instruments and to mitigate the adverse effects that the risks of financial instruments have on the Company’s financial performance, so as to maximize the profits of shareholders and other equity investors. Based on that risk management goal, the fundamental strategy of its risk management is to identify and analyze various risks facing the Company, establish an appropriate risk bottom line, carry out risk management and monitor various risks in a timely and reliable manner to control them within a restricted scope.</w:t>
      </w:r>
    </w:p>
    <w:p w14:paraId="48167F43"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Management has deliberated and approved policies concerning such credit risks, and details are: The management has reviewed and approved the policies of managing those risks, which are summarized as follows.</w:t>
      </w:r>
    </w:p>
    <w:p w14:paraId="221D18DD"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proofErr w:type="spellStart"/>
      <w:r w:rsidRPr="00F73301">
        <w:rPr>
          <w:rFonts w:ascii="Times New Roman" w:eastAsia="宋体" w:hAnsi="Times New Roman" w:cs="Times New Roman"/>
          <w:kern w:val="0"/>
          <w:sz w:val="24"/>
          <w:szCs w:val="24"/>
        </w:rPr>
        <w:t>i</w:t>
      </w:r>
      <w:proofErr w:type="spellEnd"/>
      <w:r w:rsidRPr="00F73301">
        <w:rPr>
          <w:rFonts w:ascii="Times New Roman" w:eastAsia="宋体" w:hAnsi="Times New Roman" w:cs="Times New Roman"/>
          <w:kern w:val="0"/>
          <w:sz w:val="24"/>
          <w:szCs w:val="24"/>
        </w:rPr>
        <w:t>. Credit risk</w:t>
      </w:r>
    </w:p>
    <w:p w14:paraId="514FA2DC"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Credit risk is the risk that one party to a financial instrument will cause a financial loss for the other party by failing to discharge an obligation.</w:t>
      </w:r>
    </w:p>
    <w:p w14:paraId="7727C42F"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Practices of credit risk management</w:t>
      </w:r>
    </w:p>
    <w:p w14:paraId="4B9E3F5A"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Methods for evaluating credit risk</w:t>
      </w:r>
    </w:p>
    <w:p w14:paraId="10F13857"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At each balance sheet date, the Company assesses whether the credit risk on a financial instrument has increased significantly since initial recognition. When assessing whether the credit risk has increased significantly since initial recognition, the Company takes into account reasonable and </w:t>
      </w:r>
      <w:r w:rsidRPr="00F73301">
        <w:rPr>
          <w:rFonts w:ascii="Times New Roman" w:eastAsia="宋体" w:hAnsi="Times New Roman" w:cs="Times New Roman"/>
          <w:kern w:val="0"/>
          <w:sz w:val="24"/>
          <w:szCs w:val="24"/>
        </w:rPr>
        <w:lastRenderedPageBreak/>
        <w:t>supportable information, which is available without undue cost or effort, including qualitative and quantitative analysis based on historical data, external credit risk rating, and forward-looking information. The Company determines the changes in default credit risk of financial instruments during the estimated lifetime through comparison of the default risk at the balance sheet date and the initial recognition date, on an individual basis or a collective basis.</w:t>
      </w:r>
    </w:p>
    <w:p w14:paraId="110B1084"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considers the credit risk on a financial instrument has increased significantly when one or more of the following qualitative and quantitative standards are met:</w:t>
      </w:r>
    </w:p>
    <w:p w14:paraId="70854030"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The quantitative criteria are mainly that the probability of default in the remaining period at the balance sheet date increases by more than a certain percentage from the time of initial recognition;</w:t>
      </w:r>
    </w:p>
    <w:p w14:paraId="42FC6008"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The qualitative criteria are mainly material adverse changes in the debtor's operating or financial status, changes in the existing or expected technical, market, economic or legal environment that will have a material adverse impact on the debtor's ability to repay the Company.</w:t>
      </w:r>
    </w:p>
    <w:p w14:paraId="66FCF0A4"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Definition of default and asset with credit impairment</w:t>
      </w:r>
    </w:p>
    <w:p w14:paraId="10A8A656"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 financial instrument is defined as defaulted when one or more following events have occurred, of which the standard is consistent with that for credit-impairment:</w:t>
      </w:r>
    </w:p>
    <w:p w14:paraId="3101F428"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The debtor has major financial difficulties;</w:t>
      </w:r>
    </w:p>
    <w:p w14:paraId="33005DE0"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The debtor violates the binding clauses of the contract against the debtor;</w:t>
      </w:r>
    </w:p>
    <w:p w14:paraId="301E2ED2"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The debtor is likely to go bankrupt or undergo other financial restructuring;</w:t>
      </w:r>
    </w:p>
    <w:p w14:paraId="10F6FCF8"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4) The creditor, out of economic or contractual considerations related to the debtor's financial difficulties, gives concessions to the debtor which would not have been made in any other circumstances.</w:t>
      </w:r>
    </w:p>
    <w:p w14:paraId="6E535EED"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Measurement of expected credit losses</w:t>
      </w:r>
    </w:p>
    <w:p w14:paraId="0F6DAA14"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key factors in the measurement of expected credit loss include the probability of default, loss rate of default, and exposure to default risk. The Company develops a model of the probability of default, loss rate of default, and exposure to default risk on the basis of quantitative analysis of historical data (e.g., counterparty rating, guarantee measures and collateral type, payment method, etc.) and forward-looking information.</w:t>
      </w:r>
    </w:p>
    <w:p w14:paraId="7D227E07"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3. Please refer to Note V </w:t>
      </w:r>
      <w:proofErr w:type="spellStart"/>
      <w:r w:rsidRPr="00F73301">
        <w:rPr>
          <w:rFonts w:ascii="Times New Roman" w:eastAsia="宋体" w:hAnsi="Times New Roman" w:cs="Times New Roman"/>
          <w:kern w:val="0"/>
          <w:sz w:val="24"/>
          <w:szCs w:val="24"/>
        </w:rPr>
        <w:t>i</w:t>
      </w:r>
      <w:proofErr w:type="spellEnd"/>
      <w:r w:rsidRPr="00F73301">
        <w:rPr>
          <w:rFonts w:ascii="Times New Roman" w:eastAsia="宋体" w:hAnsi="Times New Roman" w:cs="Times New Roman"/>
          <w:kern w:val="0"/>
          <w:sz w:val="24"/>
          <w:szCs w:val="24"/>
        </w:rPr>
        <w:t>. 4 and 7 of notes to the financial statements for details on the reconciliation table of opening balance and closing balance of provision for losses of financial instrument.</w:t>
      </w:r>
    </w:p>
    <w:p w14:paraId="2F49DEA9"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4. Exposure to credit risk and concentration of credit risk</w:t>
      </w:r>
    </w:p>
    <w:p w14:paraId="3FEFC6A5"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Company's credit risk is primarily attributable to cash and bank balances and receivables. In order to control such risks, the Company has taken the following measures:</w:t>
      </w:r>
    </w:p>
    <w:p w14:paraId="6CA48C31"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Monetary Assets</w:t>
      </w:r>
    </w:p>
    <w:p w14:paraId="7FA33559"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deposits its bank balances and other cash and bank balances in financial institutions with relatively high credit levels, hence, its credit risk is relatively low.</w:t>
      </w:r>
    </w:p>
    <w:p w14:paraId="334299C9"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Receivables</w:t>
      </w:r>
    </w:p>
    <w:p w14:paraId="1D1270A4"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Company performs credit assessment on customers using credit settlement on a continuous basis. The Company selects credible and well-reputed customers based on credit assessment result, and conducts ongoing monitoring on balance of receivables, to avoid significant risks in bad debts.</w:t>
      </w:r>
    </w:p>
    <w:p w14:paraId="6777F507"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As the risk points of the Company's accounts receivable are distributed among multiple partners and customers, as of June 30, 2023, 25.99% of the Company's accounts receivable (December 31, 2022: 26.44%) originated from the top five customers, and there is no significant credit concentration risk in the Company.</w:t>
      </w:r>
    </w:p>
    <w:p w14:paraId="00000941"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The maximum exposure to credit risk the Company undertook shall be the carrying amount of each financial assets on balance sheet.</w:t>
      </w:r>
    </w:p>
    <w:p w14:paraId="1C6FB1D2"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ii. Liquidity risk</w:t>
      </w:r>
    </w:p>
    <w:p w14:paraId="04058967"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Liquidity risk refers to the risk of fund shortage occurring when the Company fulfills the settlement obligation in the mode of cash delivery or other financial assets. Liquidity risk may originate from the failure to sell financial assets at fair value as soon as possible; or from the other party’s failure to pay off its contractual debts; or from the earlier maturity of debts; or from the failure to generate the expected cash flow.</w:t>
      </w:r>
    </w:p>
    <w:p w14:paraId="6374F9F3"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In order to control such risk, the Company comprehensively utilizes financing tools such as notes settlement, bank borrowings, etc. and adopts long-term and short-term financing methods to optimize financing structures, and finally maintains a balance between financing sustainability and flexibility. The Company has obtained credit limit from several commercial banks to meet working capital requirements and expenditures.</w:t>
      </w:r>
    </w:p>
    <w:p w14:paraId="19A5CEB3"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Financial liabilities classified based on remaining time period till maturity</w:t>
      </w:r>
    </w:p>
    <w:tbl>
      <w:tblPr>
        <w:tblW w:w="5670" w:type="pct"/>
        <w:jc w:val="center"/>
        <w:tblCellMar>
          <w:left w:w="57" w:type="dxa"/>
          <w:right w:w="57" w:type="dxa"/>
        </w:tblCellMar>
        <w:tblLook w:val="04A0" w:firstRow="1" w:lastRow="0" w:firstColumn="1" w:lastColumn="0" w:noHBand="0" w:noVBand="1"/>
      </w:tblPr>
      <w:tblGrid>
        <w:gridCol w:w="1711"/>
        <w:gridCol w:w="1922"/>
        <w:gridCol w:w="1922"/>
        <w:gridCol w:w="1922"/>
        <w:gridCol w:w="1712"/>
        <w:gridCol w:w="1717"/>
      </w:tblGrid>
      <w:tr w:rsidR="00F73301" w:rsidRPr="00F73301" w14:paraId="009D8396" w14:textId="77777777" w:rsidTr="0001208F">
        <w:trPr>
          <w:tblHeader/>
          <w:jc w:val="center"/>
        </w:trPr>
        <w:tc>
          <w:tcPr>
            <w:tcW w:w="7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76054" w14:textId="77777777" w:rsidR="00F73301" w:rsidRPr="00F73301" w:rsidRDefault="00F73301" w:rsidP="008C49B7">
            <w:pPr>
              <w:widowControl/>
              <w:snapToGrid w:val="0"/>
              <w:ind w:firstLine="18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Item</w:t>
            </w:r>
          </w:p>
        </w:tc>
        <w:tc>
          <w:tcPr>
            <w:tcW w:w="421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372BF1"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Closing balance</w:t>
            </w:r>
          </w:p>
        </w:tc>
      </w:tr>
      <w:tr w:rsidR="00F73301" w:rsidRPr="00F73301" w14:paraId="1C088B5E" w14:textId="77777777" w:rsidTr="0001208F">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5CDCC76" w14:textId="77777777" w:rsidR="00F73301" w:rsidRPr="00F73301" w:rsidRDefault="00F73301" w:rsidP="008C49B7">
            <w:pPr>
              <w:snapToGrid w:val="0"/>
              <w:rPr>
                <w:rFonts w:ascii="Times New Roman" w:eastAsia="宋体" w:hAnsi="Times New Roman" w:cs="Times New Roman"/>
                <w:sz w:val="18"/>
                <w:szCs w:val="18"/>
              </w:rPr>
            </w:pPr>
          </w:p>
        </w:tc>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9A2D6"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Carrying amount</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8B41F"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Contract amount not yet discounted</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2F4EE"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Within one year</w:t>
            </w:r>
          </w:p>
        </w:tc>
        <w:tc>
          <w:tcPr>
            <w:tcW w:w="7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B4F57"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One to three years</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F8044"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Above three years</w:t>
            </w:r>
          </w:p>
        </w:tc>
      </w:tr>
      <w:tr w:rsidR="00F73301" w:rsidRPr="00F73301" w14:paraId="0EDD2E2B" w14:textId="77777777" w:rsidTr="0001208F">
        <w:trPr>
          <w:jc w:val="center"/>
        </w:trPr>
        <w:tc>
          <w:tcPr>
            <w:tcW w:w="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766C0"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Bank borrowings</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D7FCE"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1,408,728,227.56</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CFA8B"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1,450,893,170.08</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49850"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979,192,881.62</w:t>
            </w:r>
          </w:p>
        </w:tc>
        <w:tc>
          <w:tcPr>
            <w:tcW w:w="7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40B88"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386,566,504.83</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B2B69"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 xml:space="preserve">   85,133,783.63 </w:t>
            </w:r>
          </w:p>
        </w:tc>
      </w:tr>
      <w:tr w:rsidR="00F73301" w:rsidRPr="00F73301" w14:paraId="00DCD214" w14:textId="77777777" w:rsidTr="0001208F">
        <w:trPr>
          <w:jc w:val="center"/>
        </w:trPr>
        <w:tc>
          <w:tcPr>
            <w:tcW w:w="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0E4FD"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Notes payable</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9D8EB0"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253,148,954.71</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77A212"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253,148,954.71</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9165DB"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253,148,954.71</w:t>
            </w:r>
          </w:p>
        </w:tc>
        <w:tc>
          <w:tcPr>
            <w:tcW w:w="7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D49D0"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 xml:space="preserve">　</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5A6CC"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 xml:space="preserve">　</w:t>
            </w:r>
          </w:p>
        </w:tc>
      </w:tr>
      <w:tr w:rsidR="00F73301" w:rsidRPr="00F73301" w14:paraId="4C2F1FAE" w14:textId="77777777" w:rsidTr="0001208F">
        <w:trPr>
          <w:jc w:val="center"/>
        </w:trPr>
        <w:tc>
          <w:tcPr>
            <w:tcW w:w="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40762"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Accounts payable</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4C0455"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1,175,392,513.81</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4F0C08"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1,175,392,513.81</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8D5440"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1,175,392,513.81</w:t>
            </w:r>
          </w:p>
        </w:tc>
        <w:tc>
          <w:tcPr>
            <w:tcW w:w="7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60C6F"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 xml:space="preserve">　</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7ACDB"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 xml:space="preserve">　</w:t>
            </w:r>
          </w:p>
        </w:tc>
      </w:tr>
      <w:tr w:rsidR="00F73301" w:rsidRPr="00F73301" w14:paraId="7FF49FE4" w14:textId="77777777" w:rsidTr="0001208F">
        <w:trPr>
          <w:jc w:val="center"/>
        </w:trPr>
        <w:tc>
          <w:tcPr>
            <w:tcW w:w="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DF330C"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Other payables</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B62F38"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38,811,670.59</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3E6BB6"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38,811,670.59</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6DC0A"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38,811,670.59</w:t>
            </w:r>
          </w:p>
        </w:tc>
        <w:tc>
          <w:tcPr>
            <w:tcW w:w="7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44AF2"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 xml:space="preserve">　</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BDB31"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 xml:space="preserve">　</w:t>
            </w:r>
          </w:p>
        </w:tc>
      </w:tr>
      <w:tr w:rsidR="00F73301" w:rsidRPr="00F73301" w14:paraId="1D206A1D" w14:textId="77777777" w:rsidTr="0001208F">
        <w:trPr>
          <w:jc w:val="center"/>
        </w:trPr>
        <w:tc>
          <w:tcPr>
            <w:tcW w:w="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A6FDC3"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Lease liabilities</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21F7F"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116,396,310.02</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F1610"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130,809,638.41</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E563A"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126,760,548.18</w:t>
            </w:r>
          </w:p>
        </w:tc>
        <w:tc>
          <w:tcPr>
            <w:tcW w:w="7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ED6ED"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3,557,841.91</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7EC48" w14:textId="77777777" w:rsidR="00F73301" w:rsidRPr="00F73301" w:rsidRDefault="00F73301" w:rsidP="008C49B7">
            <w:pPr>
              <w:widowControl/>
              <w:snapToGrid w:val="0"/>
              <w:jc w:val="right"/>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491,248.32</w:t>
            </w:r>
          </w:p>
        </w:tc>
      </w:tr>
      <w:tr w:rsidR="00F73301" w:rsidRPr="00F73301" w14:paraId="2A6E673E" w14:textId="77777777" w:rsidTr="0001208F">
        <w:trPr>
          <w:jc w:val="center"/>
        </w:trPr>
        <w:tc>
          <w:tcPr>
            <w:tcW w:w="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399D9"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Subtotal</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20654"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2,992,477,676.69</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99EF5"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3,049,055,947.60</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3D9B2"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2,573,306,568.91</w:t>
            </w:r>
          </w:p>
        </w:tc>
        <w:tc>
          <w:tcPr>
            <w:tcW w:w="7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36073"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390,124,346.74</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80401" w14:textId="77777777" w:rsidR="00F73301" w:rsidRPr="00F73301" w:rsidRDefault="00F73301" w:rsidP="008C49B7">
            <w:pPr>
              <w:widowControl/>
              <w:snapToGrid w:val="0"/>
              <w:rPr>
                <w:rFonts w:ascii="Times New Roman" w:eastAsia="等线" w:hAnsi="Times New Roman" w:cs="Times New Roman"/>
                <w:kern w:val="0"/>
                <w:sz w:val="18"/>
                <w:szCs w:val="18"/>
              </w:rPr>
            </w:pPr>
            <w:r w:rsidRPr="00F73301">
              <w:rPr>
                <w:rFonts w:ascii="Times New Roman" w:eastAsia="宋体" w:hAnsi="Times New Roman" w:cs="Times New Roman"/>
                <w:color w:val="000000"/>
                <w:kern w:val="0"/>
                <w:sz w:val="18"/>
                <w:szCs w:val="18"/>
              </w:rPr>
              <w:t>85,625,031.95</w:t>
            </w:r>
          </w:p>
        </w:tc>
      </w:tr>
    </w:tbl>
    <w:p w14:paraId="687B76EF" w14:textId="77777777" w:rsidR="00F73301" w:rsidRPr="00F73301" w:rsidRDefault="00F73301" w:rsidP="00F73301">
      <w:pPr>
        <w:widowControl/>
        <w:snapToGrid w:val="0"/>
        <w:spacing w:beforeLines="50" w:before="156" w:afterLines="50" w:after="156"/>
        <w:ind w:firstLine="360"/>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(Continued)</w:t>
      </w:r>
    </w:p>
    <w:tbl>
      <w:tblPr>
        <w:tblW w:w="5624" w:type="pct"/>
        <w:jc w:val="center"/>
        <w:tblCellMar>
          <w:left w:w="57" w:type="dxa"/>
          <w:right w:w="57" w:type="dxa"/>
        </w:tblCellMar>
        <w:tblLook w:val="04A0" w:firstRow="1" w:lastRow="0" w:firstColumn="1" w:lastColumn="0" w:noHBand="0" w:noVBand="1"/>
      </w:tblPr>
      <w:tblGrid>
        <w:gridCol w:w="1685"/>
        <w:gridCol w:w="1904"/>
        <w:gridCol w:w="1893"/>
        <w:gridCol w:w="1990"/>
        <w:gridCol w:w="1735"/>
        <w:gridCol w:w="1610"/>
      </w:tblGrid>
      <w:tr w:rsidR="00F73301" w:rsidRPr="00F73301" w14:paraId="3B108E51" w14:textId="77777777" w:rsidTr="0001208F">
        <w:trPr>
          <w:tblHeader/>
          <w:jc w:val="center"/>
        </w:trPr>
        <w:tc>
          <w:tcPr>
            <w:tcW w:w="77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8E9E9E" w14:textId="77777777" w:rsidR="00F73301" w:rsidRPr="00F73301" w:rsidRDefault="00F73301" w:rsidP="008C49B7">
            <w:pPr>
              <w:widowControl/>
              <w:snapToGrid w:val="0"/>
              <w:ind w:firstLine="18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Item</w:t>
            </w:r>
          </w:p>
        </w:tc>
        <w:tc>
          <w:tcPr>
            <w:tcW w:w="4221"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67ED89"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Year-end balance of last year</w:t>
            </w:r>
          </w:p>
        </w:tc>
      </w:tr>
      <w:tr w:rsidR="00F73301" w:rsidRPr="00F73301" w14:paraId="2564874A" w14:textId="77777777" w:rsidTr="0001208F">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30827C" w14:textId="77777777" w:rsidR="00F73301" w:rsidRPr="00F73301" w:rsidRDefault="00F73301" w:rsidP="008C49B7">
            <w:pPr>
              <w:snapToGrid w:val="0"/>
              <w:rPr>
                <w:rFonts w:ascii="Times New Roman" w:eastAsia="宋体" w:hAnsi="Times New Roman" w:cs="Times New Roman"/>
                <w:sz w:val="18"/>
                <w:szCs w:val="18"/>
              </w:rPr>
            </w:pPr>
          </w:p>
        </w:tc>
        <w:tc>
          <w:tcPr>
            <w:tcW w:w="8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A8658"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Carrying amount</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0B9C1"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Contract amount not yet discounted</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30E83"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Within one year</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07290"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One to three years</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7AFEA"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Above three years</w:t>
            </w:r>
          </w:p>
        </w:tc>
      </w:tr>
      <w:tr w:rsidR="00F73301" w:rsidRPr="00F73301" w14:paraId="0D3B9385" w14:textId="77777777" w:rsidTr="0001208F">
        <w:trPr>
          <w:jc w:val="center"/>
        </w:trPr>
        <w:tc>
          <w:tcPr>
            <w:tcW w:w="7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6EF36"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Bank borrowings</w:t>
            </w:r>
          </w:p>
        </w:tc>
        <w:tc>
          <w:tcPr>
            <w:tcW w:w="8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3AF7A"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773,479,874.33</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FB264"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826,671,377.17</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B5C5A"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419,680,144.29</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2C11D"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406,991,232.88</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735E6"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r>
      <w:tr w:rsidR="00F73301" w:rsidRPr="00F73301" w14:paraId="176B7C8A" w14:textId="77777777" w:rsidTr="0001208F">
        <w:trPr>
          <w:jc w:val="center"/>
        </w:trPr>
        <w:tc>
          <w:tcPr>
            <w:tcW w:w="7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71C6C"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Held-for-trading financial liabilities</w:t>
            </w:r>
          </w:p>
        </w:tc>
        <w:tc>
          <w:tcPr>
            <w:tcW w:w="8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A4388"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DB29D"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 </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A14B1"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8941B"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6A66E"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r>
      <w:tr w:rsidR="00F73301" w:rsidRPr="00F73301" w14:paraId="14BAEC85" w14:textId="77777777" w:rsidTr="0001208F">
        <w:trPr>
          <w:jc w:val="center"/>
        </w:trPr>
        <w:tc>
          <w:tcPr>
            <w:tcW w:w="7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9584EA"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Notes payable</w:t>
            </w:r>
          </w:p>
        </w:tc>
        <w:tc>
          <w:tcPr>
            <w:tcW w:w="8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8C320" w14:textId="77777777" w:rsidR="00F73301" w:rsidRPr="00F73301" w:rsidRDefault="00F73301" w:rsidP="008C49B7">
            <w:pPr>
              <w:widowControl/>
              <w:snapToGrid w:val="0"/>
              <w:jc w:val="right"/>
              <w:textAlignment w:val="bottom"/>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404,866,538.45</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26C5B" w14:textId="77777777" w:rsidR="00F73301" w:rsidRPr="00F73301" w:rsidRDefault="00F73301" w:rsidP="008C49B7">
            <w:pPr>
              <w:widowControl/>
              <w:snapToGrid w:val="0"/>
              <w:jc w:val="right"/>
              <w:textAlignment w:val="bottom"/>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404,866,538.45</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3AEB6" w14:textId="77777777" w:rsidR="00F73301" w:rsidRPr="00F73301" w:rsidRDefault="00F73301" w:rsidP="008C49B7">
            <w:pPr>
              <w:widowControl/>
              <w:snapToGrid w:val="0"/>
              <w:jc w:val="right"/>
              <w:textAlignment w:val="bottom"/>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404,866,538.45</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232D1"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44654"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r>
      <w:tr w:rsidR="00F73301" w:rsidRPr="00F73301" w14:paraId="62F52A7C" w14:textId="77777777" w:rsidTr="0001208F">
        <w:trPr>
          <w:jc w:val="center"/>
        </w:trPr>
        <w:tc>
          <w:tcPr>
            <w:tcW w:w="7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06249"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Accounts payable</w:t>
            </w:r>
          </w:p>
        </w:tc>
        <w:tc>
          <w:tcPr>
            <w:tcW w:w="8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77EA9" w14:textId="77777777" w:rsidR="00F73301" w:rsidRPr="00F73301" w:rsidRDefault="00F73301" w:rsidP="008C49B7">
            <w:pPr>
              <w:widowControl/>
              <w:snapToGrid w:val="0"/>
              <w:jc w:val="right"/>
              <w:textAlignment w:val="bottom"/>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 xml:space="preserve">1,045,387,673.40 </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2E1B4" w14:textId="77777777" w:rsidR="00F73301" w:rsidRPr="00F73301" w:rsidRDefault="00F73301" w:rsidP="008C49B7">
            <w:pPr>
              <w:widowControl/>
              <w:snapToGrid w:val="0"/>
              <w:jc w:val="right"/>
              <w:textAlignment w:val="bottom"/>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 xml:space="preserve">1,045,387,673.40 </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974BC" w14:textId="77777777" w:rsidR="00F73301" w:rsidRPr="00F73301" w:rsidRDefault="00F73301" w:rsidP="008C49B7">
            <w:pPr>
              <w:widowControl/>
              <w:snapToGrid w:val="0"/>
              <w:jc w:val="right"/>
              <w:textAlignment w:val="bottom"/>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 xml:space="preserve">1,045,387,673.40 </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00891"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58C52"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r>
      <w:tr w:rsidR="00F73301" w:rsidRPr="00F73301" w14:paraId="6BC8A385" w14:textId="77777777" w:rsidTr="0001208F">
        <w:trPr>
          <w:jc w:val="center"/>
        </w:trPr>
        <w:tc>
          <w:tcPr>
            <w:tcW w:w="7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BCB42"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Other payables</w:t>
            </w:r>
          </w:p>
        </w:tc>
        <w:tc>
          <w:tcPr>
            <w:tcW w:w="8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1989E" w14:textId="77777777" w:rsidR="00F73301" w:rsidRPr="00F73301" w:rsidRDefault="00F73301" w:rsidP="008C49B7">
            <w:pPr>
              <w:widowControl/>
              <w:snapToGrid w:val="0"/>
              <w:jc w:val="right"/>
              <w:textAlignment w:val="bottom"/>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32,643,884.26</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89FC5" w14:textId="77777777" w:rsidR="00F73301" w:rsidRPr="00F73301" w:rsidRDefault="00F73301" w:rsidP="008C49B7">
            <w:pPr>
              <w:widowControl/>
              <w:snapToGrid w:val="0"/>
              <w:jc w:val="right"/>
              <w:textAlignment w:val="bottom"/>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32,643,884.26</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60F26" w14:textId="77777777" w:rsidR="00F73301" w:rsidRPr="00F73301" w:rsidRDefault="00F73301" w:rsidP="008C49B7">
            <w:pPr>
              <w:widowControl/>
              <w:snapToGrid w:val="0"/>
              <w:jc w:val="right"/>
              <w:textAlignment w:val="bottom"/>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32,643,884.26</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002B1"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40AA1"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w:t>
            </w:r>
          </w:p>
        </w:tc>
      </w:tr>
      <w:tr w:rsidR="00F73301" w:rsidRPr="00F73301" w14:paraId="6E504ABA" w14:textId="77777777" w:rsidTr="0001208F">
        <w:trPr>
          <w:jc w:val="center"/>
        </w:trPr>
        <w:tc>
          <w:tcPr>
            <w:tcW w:w="7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607C7"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Lease liabilities</w:t>
            </w:r>
          </w:p>
        </w:tc>
        <w:tc>
          <w:tcPr>
            <w:tcW w:w="8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5047B"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7,200,226.86</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9BC73"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7,912,954.70</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F527B"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2,609,991.62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EC1632"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3,882,491.40</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C4A05"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1,420,471.68</w:t>
            </w:r>
          </w:p>
        </w:tc>
      </w:tr>
      <w:tr w:rsidR="00F73301" w:rsidRPr="00F73301" w14:paraId="4A1D564F" w14:textId="77777777" w:rsidTr="0001208F">
        <w:trPr>
          <w:jc w:val="center"/>
        </w:trPr>
        <w:tc>
          <w:tcPr>
            <w:tcW w:w="7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FA228" w14:textId="77777777" w:rsidR="00F73301" w:rsidRPr="00F73301" w:rsidRDefault="00F73301" w:rsidP="008C49B7">
            <w:pPr>
              <w:widowControl/>
              <w:snapToGrid w:val="0"/>
              <w:ind w:firstLine="18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Subtotal</w:t>
            </w:r>
          </w:p>
        </w:tc>
        <w:tc>
          <w:tcPr>
            <w:tcW w:w="8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C9141" w14:textId="77777777" w:rsidR="00F73301" w:rsidRPr="00F73301" w:rsidRDefault="00F73301" w:rsidP="008C49B7">
            <w:pPr>
              <w:widowControl/>
              <w:snapToGrid w:val="0"/>
              <w:jc w:val="right"/>
              <w:textAlignment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xml:space="preserve">2,263,578,197.30 </w:t>
            </w: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D3159"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 xml:space="preserve">2,317,482,427.98 </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AE8CB"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 xml:space="preserve">1,905,188,232.02 </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175D6"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410,873,724.28</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24E2A"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color w:val="000000"/>
                <w:kern w:val="0"/>
                <w:sz w:val="18"/>
                <w:szCs w:val="18"/>
              </w:rPr>
              <w:t>1,420,471.68</w:t>
            </w:r>
          </w:p>
        </w:tc>
      </w:tr>
    </w:tbl>
    <w:p w14:paraId="6284DF40" w14:textId="168DEE6E"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iii. Market risk</w:t>
      </w:r>
    </w:p>
    <w:p w14:paraId="1E759031"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Market risk is the risk that the Company may encounter fluctuation in fair value or future cash flows of financial instruments due to changes in market price. Market risk mainly includes interest risk and foreign currency risk.</w:t>
      </w:r>
    </w:p>
    <w:p w14:paraId="1F295788"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Interest rate risk</w:t>
      </w:r>
    </w:p>
    <w:p w14:paraId="100FCAEF"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Interest risk is the risk that an enterprise may encounter fluctuation in fair value or future cash flows of financial instruments due to changes in market interest. The Company’s fair value interest risks arise from fixed-rate financial instruments, while the cash flow interest risks arise from floating-rate </w:t>
      </w:r>
      <w:r w:rsidRPr="00F73301">
        <w:rPr>
          <w:rFonts w:ascii="Times New Roman" w:eastAsia="宋体" w:hAnsi="Times New Roman" w:cs="Times New Roman"/>
          <w:kern w:val="0"/>
          <w:sz w:val="24"/>
          <w:szCs w:val="24"/>
        </w:rPr>
        <w:lastRenderedPageBreak/>
        <w:t>financial instruments. The Company determines the proportion of fixed-rate financial instruments and floating-rate financial instruments based on the market environment, and maintains a proper financial instruments portfolio through regular review and monitoring.</w:t>
      </w:r>
    </w:p>
    <w:p w14:paraId="48E8F416"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Foreign exchange risk</w:t>
      </w:r>
    </w:p>
    <w:p w14:paraId="2BE8D1DA"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Foreign exchange risk is the risk arising from changes in fair value or future cash flows of financial instrument resulted from changes in exchange rate. The Company’s foreign exchange risk relates mainly to foreign currency monetary assets and liabilities. When short-term imbalance occurred to foreign currency assets and liabilities, the Company may trade foreign currency at market exchange rate when necessary, in order to maintain the net risk exposure within an acceptable level.</w:t>
      </w:r>
    </w:p>
    <w:p w14:paraId="1DC75437" w14:textId="77777777" w:rsidR="00F73301" w:rsidRPr="00F73301" w:rsidRDefault="00F73301" w:rsidP="008A539F">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Please refer to section V (IV) 2 of notes to the financial statements for details on foreign currency financial assets and liabilities at the end of the period.</w:t>
      </w:r>
    </w:p>
    <w:p w14:paraId="02F6886B" w14:textId="77777777" w:rsidR="00F73301" w:rsidRPr="00F73301" w:rsidRDefault="00F73301" w:rsidP="008A539F">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331" w:name="_Toc989219"/>
      <w:r w:rsidRPr="00F73301">
        <w:rPr>
          <w:rFonts w:ascii="Times New Roman" w:eastAsia="宋体" w:hAnsi="Times New Roman" w:cs="Times New Roman"/>
          <w:b/>
          <w:bCs/>
          <w:sz w:val="24"/>
          <w:szCs w:val="24"/>
        </w:rPr>
        <w:t>XI. Disclosure of Fair Value</w:t>
      </w:r>
      <w:bookmarkEnd w:id="331"/>
    </w:p>
    <w:p w14:paraId="46DC1A75"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32" w:name="_Toc989220"/>
      <w:r w:rsidRPr="00F73301">
        <w:rPr>
          <w:rFonts w:ascii="Times New Roman" w:eastAsia="宋体" w:hAnsi="Times New Roman" w:cs="Times New Roman"/>
          <w:b/>
          <w:bCs/>
          <w:sz w:val="24"/>
          <w:szCs w:val="24"/>
        </w:rPr>
        <w:t>1. Closing fair value of assets and liabilities measured at fair value</w:t>
      </w:r>
      <w:bookmarkEnd w:id="332"/>
    </w:p>
    <w:p w14:paraId="04EFCD1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6FCFBA28" w14:textId="77777777" w:rsidTr="0001208F">
        <w:trPr>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E9B492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65396D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fair value</w:t>
            </w:r>
          </w:p>
        </w:tc>
      </w:tr>
      <w:tr w:rsidR="00F73301" w:rsidRPr="00F73301" w14:paraId="208ACC5C" w14:textId="77777777" w:rsidTr="0001208F">
        <w:trPr>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2585DF"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D8D80D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Level 1 fair value measurement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95C21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Level 2 fair value measurement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4355A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Level 3 fair value measurement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639C01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r>
      <w:tr w:rsidR="00F73301" w:rsidRPr="00F73301" w14:paraId="28A0987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CE9A1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 Consistent Fair Value Measurement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FA7F2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ED05B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00EB5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51226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t>
            </w:r>
          </w:p>
        </w:tc>
      </w:tr>
      <w:tr w:rsidR="00F73301" w:rsidRPr="00F73301" w14:paraId="4DE6B3A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04D92E" w14:textId="77777777" w:rsidR="00F73301" w:rsidRPr="00F73301" w:rsidRDefault="00F73301" w:rsidP="008C49B7">
            <w:pPr>
              <w:snapToGrid w:val="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i</w:t>
            </w:r>
            <w:proofErr w:type="spellEnd"/>
            <w:r w:rsidRPr="00F73301">
              <w:rPr>
                <w:rFonts w:ascii="Times New Roman" w:eastAsia="宋体" w:hAnsi="Times New Roman" w:cs="Times New Roman"/>
                <w:sz w:val="18"/>
                <w:szCs w:val="18"/>
              </w:rPr>
              <w:t>. Trading financial assets</w:t>
            </w:r>
          </w:p>
        </w:tc>
        <w:tc>
          <w:tcPr>
            <w:tcW w:w="1928" w:type="dxa"/>
            <w:tcBorders>
              <w:top w:val="single" w:sz="2" w:space="0" w:color="auto"/>
              <w:left w:val="single" w:sz="2" w:space="0" w:color="auto"/>
              <w:bottom w:val="single" w:sz="2" w:space="0" w:color="auto"/>
              <w:right w:val="single" w:sz="2" w:space="0" w:color="auto"/>
            </w:tcBorders>
            <w:vAlign w:val="center"/>
          </w:tcPr>
          <w:p w14:paraId="390C810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166,968,454.64</w:t>
            </w:r>
          </w:p>
        </w:tc>
        <w:tc>
          <w:tcPr>
            <w:tcW w:w="1928" w:type="dxa"/>
            <w:tcBorders>
              <w:top w:val="single" w:sz="2" w:space="0" w:color="auto"/>
              <w:left w:val="single" w:sz="2" w:space="0" w:color="auto"/>
              <w:bottom w:val="single" w:sz="2" w:space="0" w:color="auto"/>
              <w:right w:val="single" w:sz="2" w:space="0" w:color="auto"/>
            </w:tcBorders>
            <w:vAlign w:val="center"/>
          </w:tcPr>
          <w:p w14:paraId="2FBF59D7"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AE6549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299,128,138.00</w:t>
            </w:r>
          </w:p>
        </w:tc>
        <w:tc>
          <w:tcPr>
            <w:tcW w:w="1928" w:type="dxa"/>
            <w:tcBorders>
              <w:top w:val="single" w:sz="2" w:space="0" w:color="auto"/>
              <w:left w:val="single" w:sz="2" w:space="0" w:color="auto"/>
              <w:bottom w:val="single" w:sz="2" w:space="0" w:color="auto"/>
              <w:right w:val="single" w:sz="2" w:space="0" w:color="auto"/>
            </w:tcBorders>
            <w:vAlign w:val="center"/>
          </w:tcPr>
          <w:p w14:paraId="5147E3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466,096,592.64</w:t>
            </w:r>
          </w:p>
        </w:tc>
      </w:tr>
      <w:tr w:rsidR="00F73301" w:rsidRPr="00F73301" w14:paraId="4707C62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6878CA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 Financial assets measured at fair value through profit and loss for the current period</w:t>
            </w:r>
          </w:p>
        </w:tc>
        <w:tc>
          <w:tcPr>
            <w:tcW w:w="1928" w:type="dxa"/>
            <w:tcBorders>
              <w:top w:val="single" w:sz="2" w:space="0" w:color="auto"/>
              <w:left w:val="single" w:sz="2" w:space="0" w:color="auto"/>
              <w:bottom w:val="single" w:sz="2" w:space="0" w:color="auto"/>
              <w:right w:val="single" w:sz="2" w:space="0" w:color="auto"/>
            </w:tcBorders>
            <w:vAlign w:val="center"/>
          </w:tcPr>
          <w:p w14:paraId="392B9AD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166,968,454.64</w:t>
            </w:r>
          </w:p>
        </w:tc>
        <w:tc>
          <w:tcPr>
            <w:tcW w:w="1928" w:type="dxa"/>
            <w:tcBorders>
              <w:top w:val="single" w:sz="2" w:space="0" w:color="auto"/>
              <w:left w:val="single" w:sz="2" w:space="0" w:color="auto"/>
              <w:bottom w:val="single" w:sz="2" w:space="0" w:color="auto"/>
              <w:right w:val="single" w:sz="2" w:space="0" w:color="auto"/>
            </w:tcBorders>
            <w:vAlign w:val="center"/>
          </w:tcPr>
          <w:p w14:paraId="58E0F2F7"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8D5D00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299,128,138.00</w:t>
            </w:r>
          </w:p>
        </w:tc>
        <w:tc>
          <w:tcPr>
            <w:tcW w:w="1928" w:type="dxa"/>
            <w:tcBorders>
              <w:top w:val="single" w:sz="2" w:space="0" w:color="auto"/>
              <w:left w:val="single" w:sz="2" w:space="0" w:color="auto"/>
              <w:bottom w:val="single" w:sz="2" w:space="0" w:color="auto"/>
              <w:right w:val="single" w:sz="2" w:space="0" w:color="auto"/>
            </w:tcBorders>
            <w:vAlign w:val="center"/>
          </w:tcPr>
          <w:p w14:paraId="4D9ACF1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466,096,592.64</w:t>
            </w:r>
          </w:p>
        </w:tc>
      </w:tr>
      <w:tr w:rsidR="00F73301" w:rsidRPr="00F73301" w14:paraId="5BED302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49985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(1) Debt instrument investments</w:t>
            </w:r>
          </w:p>
        </w:tc>
        <w:tc>
          <w:tcPr>
            <w:tcW w:w="1928" w:type="dxa"/>
            <w:tcBorders>
              <w:top w:val="single" w:sz="2" w:space="0" w:color="auto"/>
              <w:left w:val="single" w:sz="2" w:space="0" w:color="auto"/>
              <w:bottom w:val="single" w:sz="2" w:space="0" w:color="auto"/>
              <w:right w:val="single" w:sz="2" w:space="0" w:color="auto"/>
            </w:tcBorders>
            <w:vAlign w:val="center"/>
          </w:tcPr>
          <w:p w14:paraId="72670B9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6347798"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5DCF70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21,400,000.00</w:t>
            </w:r>
          </w:p>
        </w:tc>
        <w:tc>
          <w:tcPr>
            <w:tcW w:w="1928" w:type="dxa"/>
            <w:tcBorders>
              <w:top w:val="single" w:sz="2" w:space="0" w:color="auto"/>
              <w:left w:val="single" w:sz="2" w:space="0" w:color="auto"/>
              <w:bottom w:val="single" w:sz="2" w:space="0" w:color="auto"/>
              <w:right w:val="single" w:sz="2" w:space="0" w:color="auto"/>
            </w:tcBorders>
            <w:vAlign w:val="center"/>
          </w:tcPr>
          <w:p w14:paraId="18FDCE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21,400,000.00</w:t>
            </w:r>
          </w:p>
        </w:tc>
      </w:tr>
      <w:tr w:rsidR="00F73301" w:rsidRPr="00F73301" w14:paraId="2787A60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5D72C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(2) Equity instruments investments</w:t>
            </w:r>
          </w:p>
        </w:tc>
        <w:tc>
          <w:tcPr>
            <w:tcW w:w="1928" w:type="dxa"/>
            <w:tcBorders>
              <w:top w:val="single" w:sz="2" w:space="0" w:color="auto"/>
              <w:left w:val="single" w:sz="2" w:space="0" w:color="auto"/>
              <w:bottom w:val="single" w:sz="2" w:space="0" w:color="auto"/>
              <w:right w:val="single" w:sz="2" w:space="0" w:color="auto"/>
            </w:tcBorders>
            <w:vAlign w:val="center"/>
          </w:tcPr>
          <w:p w14:paraId="5D092CF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166,968,454.64</w:t>
            </w:r>
          </w:p>
        </w:tc>
        <w:tc>
          <w:tcPr>
            <w:tcW w:w="1928" w:type="dxa"/>
            <w:tcBorders>
              <w:top w:val="single" w:sz="2" w:space="0" w:color="auto"/>
              <w:left w:val="single" w:sz="2" w:space="0" w:color="auto"/>
              <w:bottom w:val="single" w:sz="2" w:space="0" w:color="auto"/>
              <w:right w:val="single" w:sz="2" w:space="0" w:color="auto"/>
            </w:tcBorders>
            <w:vAlign w:val="center"/>
          </w:tcPr>
          <w:p w14:paraId="440FA094"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69030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277,728,138.00</w:t>
            </w:r>
          </w:p>
        </w:tc>
        <w:tc>
          <w:tcPr>
            <w:tcW w:w="1928" w:type="dxa"/>
            <w:tcBorders>
              <w:top w:val="single" w:sz="2" w:space="0" w:color="auto"/>
              <w:left w:val="single" w:sz="2" w:space="0" w:color="auto"/>
              <w:bottom w:val="single" w:sz="2" w:space="0" w:color="auto"/>
              <w:right w:val="single" w:sz="2" w:space="0" w:color="auto"/>
            </w:tcBorders>
            <w:vAlign w:val="center"/>
          </w:tcPr>
          <w:p w14:paraId="0496C81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444,696,592.64</w:t>
            </w:r>
          </w:p>
        </w:tc>
      </w:tr>
      <w:tr w:rsidR="00F73301" w:rsidRPr="00F73301" w14:paraId="4BBCAFB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19F820F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Receivables financing</w:t>
            </w:r>
          </w:p>
        </w:tc>
        <w:tc>
          <w:tcPr>
            <w:tcW w:w="1928" w:type="dxa"/>
            <w:tcBorders>
              <w:top w:val="single" w:sz="2" w:space="0" w:color="auto"/>
              <w:left w:val="single" w:sz="2" w:space="0" w:color="auto"/>
              <w:bottom w:val="single" w:sz="2" w:space="0" w:color="auto"/>
              <w:right w:val="single" w:sz="2" w:space="0" w:color="auto"/>
            </w:tcBorders>
            <w:vAlign w:val="center"/>
          </w:tcPr>
          <w:p w14:paraId="5F14C0AC"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A3081B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1EE28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195,107,587.03</w:t>
            </w:r>
          </w:p>
        </w:tc>
        <w:tc>
          <w:tcPr>
            <w:tcW w:w="1928" w:type="dxa"/>
            <w:tcBorders>
              <w:top w:val="single" w:sz="2" w:space="0" w:color="auto"/>
              <w:left w:val="single" w:sz="2" w:space="0" w:color="auto"/>
              <w:bottom w:val="single" w:sz="2" w:space="0" w:color="auto"/>
              <w:right w:val="single" w:sz="2" w:space="0" w:color="auto"/>
            </w:tcBorders>
            <w:vAlign w:val="center"/>
          </w:tcPr>
          <w:p w14:paraId="5886F0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195,107,587.03</w:t>
            </w:r>
          </w:p>
        </w:tc>
      </w:tr>
      <w:tr w:rsidR="00F73301" w:rsidRPr="00F73301" w14:paraId="21C2A16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0AE6DE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assets at recurring fair value measurement</w:t>
            </w:r>
          </w:p>
        </w:tc>
        <w:tc>
          <w:tcPr>
            <w:tcW w:w="1928" w:type="dxa"/>
            <w:tcBorders>
              <w:top w:val="single" w:sz="2" w:space="0" w:color="auto"/>
              <w:left w:val="single" w:sz="2" w:space="0" w:color="auto"/>
              <w:bottom w:val="single" w:sz="2" w:space="0" w:color="auto"/>
              <w:right w:val="single" w:sz="2" w:space="0" w:color="auto"/>
            </w:tcBorders>
            <w:vAlign w:val="center"/>
          </w:tcPr>
          <w:p w14:paraId="5EBB100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166,968,454.64</w:t>
            </w:r>
          </w:p>
        </w:tc>
        <w:tc>
          <w:tcPr>
            <w:tcW w:w="1928" w:type="dxa"/>
            <w:tcBorders>
              <w:top w:val="single" w:sz="2" w:space="0" w:color="auto"/>
              <w:left w:val="single" w:sz="2" w:space="0" w:color="auto"/>
              <w:bottom w:val="single" w:sz="2" w:space="0" w:color="auto"/>
              <w:right w:val="single" w:sz="2" w:space="0" w:color="auto"/>
            </w:tcBorders>
            <w:vAlign w:val="center"/>
          </w:tcPr>
          <w:p w14:paraId="4961F57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E11CC4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494,235,725.03</w:t>
            </w:r>
          </w:p>
        </w:tc>
        <w:tc>
          <w:tcPr>
            <w:tcW w:w="1928" w:type="dxa"/>
            <w:tcBorders>
              <w:top w:val="single" w:sz="2" w:space="0" w:color="auto"/>
              <w:left w:val="single" w:sz="2" w:space="0" w:color="auto"/>
              <w:bottom w:val="single" w:sz="2" w:space="0" w:color="auto"/>
              <w:right w:val="single" w:sz="2" w:space="0" w:color="auto"/>
            </w:tcBorders>
            <w:vAlign w:val="center"/>
          </w:tcPr>
          <w:p w14:paraId="1BD6FD5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661,204,179.67</w:t>
            </w:r>
          </w:p>
        </w:tc>
      </w:tr>
      <w:tr w:rsidR="00F73301" w:rsidRPr="00F73301" w14:paraId="6173D65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B6538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II. Inconsistent Fair Value Measurement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AFC9A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D7AA1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A5047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A8B6A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t>
            </w:r>
          </w:p>
        </w:tc>
      </w:tr>
    </w:tbl>
    <w:p w14:paraId="33F2D838"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33" w:name="_Toc989221"/>
      <w:r w:rsidRPr="00F73301">
        <w:rPr>
          <w:rFonts w:ascii="Times New Roman" w:eastAsia="宋体" w:hAnsi="Times New Roman" w:cs="Times New Roman"/>
          <w:b/>
          <w:bCs/>
          <w:sz w:val="24"/>
          <w:szCs w:val="24"/>
        </w:rPr>
        <w:t>2. Basis for determining the market price of continuous and non-continuous level 1 fair value measurement items</w:t>
      </w:r>
      <w:bookmarkEnd w:id="333"/>
    </w:p>
    <w:p w14:paraId="065DA58D"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Other non-current financial assets at fair value through profit or loss of RMB166,968,454.64 refer to shares of Chengzhi Shareholding Co., Ltd. (stock code: 000990) indirectly held by the Company through holding partnership shares of Nantong </w:t>
      </w:r>
      <w:proofErr w:type="spellStart"/>
      <w:r w:rsidRPr="00F73301">
        <w:rPr>
          <w:rFonts w:ascii="Times New Roman" w:eastAsia="宋体" w:hAnsi="Times New Roman" w:cs="Times New Roman"/>
          <w:kern w:val="0"/>
          <w:sz w:val="24"/>
          <w:szCs w:val="24"/>
        </w:rPr>
        <w:t>Jinxin</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Haohua</w:t>
      </w:r>
      <w:proofErr w:type="spellEnd"/>
      <w:r w:rsidRPr="00F73301">
        <w:rPr>
          <w:rFonts w:ascii="Times New Roman" w:eastAsia="宋体" w:hAnsi="Times New Roman" w:cs="Times New Roman"/>
          <w:kern w:val="0"/>
          <w:sz w:val="24"/>
          <w:szCs w:val="24"/>
        </w:rPr>
        <w:t xml:space="preserve"> Investment Center (LP), shares of </w:t>
      </w:r>
      <w:proofErr w:type="spellStart"/>
      <w:r w:rsidRPr="00F73301">
        <w:rPr>
          <w:rFonts w:ascii="Times New Roman" w:eastAsia="宋体" w:hAnsi="Times New Roman" w:cs="Times New Roman"/>
          <w:kern w:val="0"/>
          <w:sz w:val="24"/>
          <w:szCs w:val="24"/>
        </w:rPr>
        <w:t>Guobo</w:t>
      </w:r>
      <w:proofErr w:type="spellEnd"/>
      <w:r w:rsidRPr="00F73301">
        <w:rPr>
          <w:rFonts w:ascii="Times New Roman" w:eastAsia="宋体" w:hAnsi="Times New Roman" w:cs="Times New Roman"/>
          <w:kern w:val="0"/>
          <w:sz w:val="24"/>
          <w:szCs w:val="24"/>
        </w:rPr>
        <w:t xml:space="preserve"> Electronics Co., Ltd. (stock code: 688375) indirectly held by the Company through holding partnership shares of Ningbo </w:t>
      </w:r>
      <w:proofErr w:type="spellStart"/>
      <w:r w:rsidRPr="00F73301">
        <w:rPr>
          <w:rFonts w:ascii="Times New Roman" w:eastAsia="宋体" w:hAnsi="Times New Roman" w:cs="Times New Roman"/>
          <w:kern w:val="0"/>
          <w:sz w:val="24"/>
          <w:szCs w:val="24"/>
        </w:rPr>
        <w:t>Dongxin</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Guohong</w:t>
      </w:r>
      <w:proofErr w:type="spellEnd"/>
      <w:r w:rsidRPr="00F73301">
        <w:rPr>
          <w:rFonts w:ascii="Times New Roman" w:eastAsia="宋体" w:hAnsi="Times New Roman" w:cs="Times New Roman"/>
          <w:kern w:val="0"/>
          <w:sz w:val="24"/>
          <w:szCs w:val="24"/>
        </w:rPr>
        <w:t xml:space="preserve"> Enterprise Management Partnership (LP), and shares of Semiconductor Manufacturing Electronics (Shaoxing) Corporation (stock code: 688469) directly held by the Company, and their fair values were determined based on the number of indirect holding shares and closing price at the balance sheet date.</w:t>
      </w:r>
    </w:p>
    <w:p w14:paraId="51A4D775"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34" w:name="_Toc989222"/>
      <w:r w:rsidRPr="00F73301">
        <w:rPr>
          <w:rFonts w:ascii="Times New Roman" w:eastAsia="宋体" w:hAnsi="Times New Roman" w:cs="Times New Roman"/>
          <w:b/>
          <w:bCs/>
          <w:sz w:val="24"/>
          <w:szCs w:val="24"/>
        </w:rPr>
        <w:t>3. Continuous and non-continuous level 2 fair value measurement items, valuation techniques used, and the qualitative and quantitative information of important parameters</w:t>
      </w:r>
      <w:bookmarkEnd w:id="334"/>
    </w:p>
    <w:p w14:paraId="3BEA770D"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2CE5F581"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35" w:name="_Toc989223"/>
      <w:r w:rsidRPr="00F73301">
        <w:rPr>
          <w:rFonts w:ascii="Times New Roman" w:eastAsia="宋体" w:hAnsi="Times New Roman" w:cs="Times New Roman"/>
          <w:b/>
          <w:bCs/>
          <w:sz w:val="24"/>
          <w:szCs w:val="24"/>
        </w:rPr>
        <w:lastRenderedPageBreak/>
        <w:t>4. Continuous and non-continuous level 3 fair value measurement items, valuation techniques used, and the qualitative and quantitative information of important parameters</w:t>
      </w:r>
      <w:bookmarkEnd w:id="335"/>
    </w:p>
    <w:p w14:paraId="0D083028"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1) Debt instrument investments of RMB21.4 million refer to the purchased short-term financial products with a short remaining maturity, and the difference between the fair value and the carrying amount is relatively small, the carrying amount is adopted as the fair value.</w:t>
      </w:r>
    </w:p>
    <w:p w14:paraId="0E2C1D4A" w14:textId="0FED19F5"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 xml:space="preserve">2) Among the equity instrument investments, the investments in Beijing Guangmeng Semiconductor Industry Investment Center (LP), Hainan </w:t>
      </w:r>
      <w:proofErr w:type="spellStart"/>
      <w:r w:rsidRPr="00F73301">
        <w:rPr>
          <w:rFonts w:ascii="Times New Roman" w:eastAsia="宋体" w:hAnsi="Times New Roman" w:cs="Times New Roman"/>
          <w:kern w:val="0"/>
          <w:sz w:val="24"/>
          <w:szCs w:val="24"/>
        </w:rPr>
        <w:t>Huoyan</w:t>
      </w:r>
      <w:proofErr w:type="spellEnd"/>
      <w:r w:rsidRPr="00F73301">
        <w:rPr>
          <w:rFonts w:ascii="Times New Roman" w:eastAsia="宋体" w:hAnsi="Times New Roman" w:cs="Times New Roman"/>
          <w:kern w:val="0"/>
          <w:sz w:val="24"/>
          <w:szCs w:val="24"/>
        </w:rPr>
        <w:t xml:space="preserve"> </w:t>
      </w:r>
      <w:proofErr w:type="spellStart"/>
      <w:r w:rsidRPr="00F73301">
        <w:rPr>
          <w:rFonts w:ascii="Times New Roman" w:eastAsia="宋体" w:hAnsi="Times New Roman" w:cs="Times New Roman"/>
          <w:kern w:val="0"/>
          <w:sz w:val="24"/>
          <w:szCs w:val="24"/>
        </w:rPr>
        <w:t>Xihe</w:t>
      </w:r>
      <w:proofErr w:type="spellEnd"/>
      <w:r w:rsidRPr="00F73301">
        <w:rPr>
          <w:rFonts w:ascii="Times New Roman" w:eastAsia="宋体" w:hAnsi="Times New Roman" w:cs="Times New Roman"/>
          <w:kern w:val="0"/>
          <w:sz w:val="24"/>
          <w:szCs w:val="24"/>
        </w:rPr>
        <w:t xml:space="preserve"> Equity Investment Private Equity Fund Partnership (LP), Dalian </w:t>
      </w:r>
      <w:proofErr w:type="spellStart"/>
      <w:r w:rsidRPr="00F73301">
        <w:rPr>
          <w:rFonts w:ascii="Times New Roman" w:eastAsia="宋体" w:hAnsi="Times New Roman" w:cs="Times New Roman"/>
          <w:kern w:val="0"/>
          <w:sz w:val="24"/>
          <w:szCs w:val="24"/>
        </w:rPr>
        <w:t>Jafeng</w:t>
      </w:r>
      <w:proofErr w:type="spellEnd"/>
      <w:r w:rsidRPr="00F73301">
        <w:rPr>
          <w:rFonts w:ascii="Times New Roman" w:eastAsia="宋体" w:hAnsi="Times New Roman" w:cs="Times New Roman"/>
          <w:kern w:val="0"/>
          <w:sz w:val="24"/>
          <w:szCs w:val="24"/>
        </w:rPr>
        <w:t xml:space="preserve"> Automation C</w:t>
      </w:r>
      <w:r w:rsidR="00F87479">
        <w:rPr>
          <w:rFonts w:ascii="Times New Roman" w:eastAsia="宋体" w:hAnsi="Times New Roman" w:cs="Times New Roman"/>
          <w:kern w:val="0"/>
          <w:sz w:val="24"/>
          <w:szCs w:val="24"/>
        </w:rPr>
        <w:t>o., Ltd., Jiangsu Applied Power</w:t>
      </w:r>
      <w:r w:rsidRPr="00F73301">
        <w:rPr>
          <w:rFonts w:ascii="Times New Roman" w:eastAsia="宋体" w:hAnsi="Times New Roman" w:cs="Times New Roman"/>
          <w:kern w:val="0"/>
          <w:sz w:val="24"/>
          <w:szCs w:val="24"/>
        </w:rPr>
        <w:t xml:space="preserve"> and Chengdu </w:t>
      </w:r>
      <w:proofErr w:type="spellStart"/>
      <w:r w:rsidRPr="00F73301">
        <w:rPr>
          <w:rFonts w:ascii="Times New Roman" w:eastAsia="宋体" w:hAnsi="Times New Roman" w:cs="Times New Roman"/>
          <w:kern w:val="0"/>
          <w:sz w:val="24"/>
          <w:szCs w:val="24"/>
        </w:rPr>
        <w:t>Senmi</w:t>
      </w:r>
      <w:proofErr w:type="spellEnd"/>
      <w:r w:rsidRPr="00F73301">
        <w:rPr>
          <w:rFonts w:ascii="Times New Roman" w:eastAsia="宋体" w:hAnsi="Times New Roman" w:cs="Times New Roman"/>
          <w:kern w:val="0"/>
          <w:sz w:val="24"/>
          <w:szCs w:val="24"/>
        </w:rPr>
        <w:t xml:space="preserve"> Technology Consulting Partnership (LP) were RMB234 million, RMB5 million, RMB10 million, RMB15 million and RMB13,728,100 respectively. As it is not feasible to evaluate the equity of investees using income approach or market approach, and there is no introduction of new external investors and transfer of equity between shareholders, which could be used as a reference for the determination of fair value of equity, resulting in the "limited condition" where cost can be used as the best estimate of fair value, the cost is adopted as the fair value at the balance sheet date. </w:t>
      </w:r>
    </w:p>
    <w:p w14:paraId="4D6C608C" w14:textId="77777777" w:rsidR="00F73301" w:rsidRPr="00F73301" w:rsidRDefault="00F73301" w:rsidP="008A539F">
      <w:pPr>
        <w:widowControl/>
        <w:adjustRightInd w:val="0"/>
        <w:snapToGrid w:val="0"/>
        <w:spacing w:beforeLines="50" w:before="156" w:afterLines="50" w:after="156"/>
        <w:jc w:val="both"/>
        <w:rPr>
          <w:rFonts w:ascii="Times New Roman" w:eastAsia="等线" w:hAnsi="Times New Roman" w:cs="Times New Roman"/>
          <w:kern w:val="0"/>
          <w:sz w:val="24"/>
          <w:szCs w:val="24"/>
        </w:rPr>
      </w:pPr>
      <w:r w:rsidRPr="00F73301">
        <w:rPr>
          <w:rFonts w:ascii="Times New Roman" w:eastAsia="宋体" w:hAnsi="Times New Roman" w:cs="Times New Roman"/>
          <w:kern w:val="0"/>
          <w:sz w:val="24"/>
          <w:szCs w:val="24"/>
        </w:rPr>
        <w:t>3) As the difference between the fair value of the receivables financing and the carrying amount is relatively small, the carrying amount is adopted as the fair value.</w:t>
      </w:r>
    </w:p>
    <w:p w14:paraId="51C0AB55"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36" w:name="_Toc989224"/>
      <w:r w:rsidRPr="00F73301">
        <w:rPr>
          <w:rFonts w:ascii="Times New Roman" w:eastAsia="宋体" w:hAnsi="Times New Roman" w:cs="Times New Roman"/>
          <w:b/>
          <w:bCs/>
          <w:sz w:val="24"/>
          <w:szCs w:val="24"/>
        </w:rPr>
        <w:t>5. Continuous and non-continuous level 3 fair value measurement items, information on the adjustment between the opening and closing carrying amount, and sensitivity analysis of unobservable parameters</w:t>
      </w:r>
      <w:bookmarkEnd w:id="336"/>
    </w:p>
    <w:p w14:paraId="6779B8DD"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43B5E016"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37" w:name="_Toc989225"/>
      <w:r w:rsidRPr="00F73301">
        <w:rPr>
          <w:rFonts w:ascii="Times New Roman" w:eastAsia="宋体" w:hAnsi="Times New Roman" w:cs="Times New Roman"/>
          <w:b/>
          <w:bCs/>
          <w:sz w:val="24"/>
          <w:szCs w:val="24"/>
        </w:rPr>
        <w:t>6. Explain the reason for conversion and the governing policy when the conversion happens if conversion happens among consistent fair value measurement items at different levels</w:t>
      </w:r>
      <w:bookmarkEnd w:id="337"/>
    </w:p>
    <w:p w14:paraId="336271C0"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62B2B0B5"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38" w:name="_Toc989226"/>
      <w:r w:rsidRPr="00F73301">
        <w:rPr>
          <w:rFonts w:ascii="Times New Roman" w:eastAsia="宋体" w:hAnsi="Times New Roman" w:cs="Times New Roman"/>
          <w:b/>
          <w:bCs/>
          <w:sz w:val="24"/>
          <w:szCs w:val="24"/>
        </w:rPr>
        <w:t>7. Changes in the valuation technique in the current period and the reason for such changes</w:t>
      </w:r>
      <w:bookmarkEnd w:id="338"/>
    </w:p>
    <w:p w14:paraId="7C320769"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26534A6C"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39" w:name="_Toc989227"/>
      <w:r w:rsidRPr="00F73301">
        <w:rPr>
          <w:rFonts w:ascii="Times New Roman" w:eastAsia="宋体" w:hAnsi="Times New Roman" w:cs="Times New Roman"/>
          <w:b/>
          <w:bCs/>
          <w:sz w:val="24"/>
          <w:szCs w:val="24"/>
        </w:rPr>
        <w:t>8. The fair value of financial assets and financial liabilities not measured at fair value</w:t>
      </w:r>
      <w:bookmarkEnd w:id="339"/>
    </w:p>
    <w:p w14:paraId="645ACDB3"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0A923C46"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40" w:name="_Toc989228"/>
      <w:r w:rsidRPr="00F73301">
        <w:rPr>
          <w:rFonts w:ascii="Times New Roman" w:eastAsia="宋体" w:hAnsi="Times New Roman" w:cs="Times New Roman"/>
          <w:b/>
          <w:bCs/>
          <w:sz w:val="24"/>
          <w:szCs w:val="24"/>
        </w:rPr>
        <w:t>9. Others</w:t>
      </w:r>
      <w:bookmarkEnd w:id="340"/>
    </w:p>
    <w:p w14:paraId="271F00A7"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6B68DB7C" w14:textId="77777777" w:rsidR="00F73301" w:rsidRPr="00F73301" w:rsidRDefault="00F73301" w:rsidP="008A539F">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341" w:name="_Toc989229"/>
      <w:r w:rsidRPr="00F73301">
        <w:rPr>
          <w:rFonts w:ascii="Times New Roman" w:eastAsia="宋体" w:hAnsi="Times New Roman" w:cs="Times New Roman"/>
          <w:b/>
          <w:bCs/>
          <w:sz w:val="24"/>
          <w:szCs w:val="24"/>
        </w:rPr>
        <w:t>XII. Related Party and Related-party Transactions</w:t>
      </w:r>
      <w:bookmarkEnd w:id="341"/>
    </w:p>
    <w:p w14:paraId="30B91591"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42" w:name="_Toc989230"/>
      <w:r w:rsidRPr="00F73301">
        <w:rPr>
          <w:rFonts w:ascii="Times New Roman" w:eastAsia="宋体" w:hAnsi="Times New Roman" w:cs="Times New Roman"/>
          <w:b/>
          <w:bCs/>
          <w:sz w:val="24"/>
          <w:szCs w:val="24"/>
        </w:rPr>
        <w:t>1. Information related to the parent company of the Company</w:t>
      </w:r>
      <w:bookmarkEnd w:id="34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5E6721D3"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77D165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Parent company</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4CF106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Place of registration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6B5F30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Business nature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D3812D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Registered capital</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3721F5" w14:textId="6CE83C4F" w:rsidR="00F73301" w:rsidRPr="00F73301" w:rsidRDefault="00F73301" w:rsidP="00C0474E">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Proportion of share held by the parent </w:t>
            </w:r>
            <w:r w:rsidR="00C0474E">
              <w:rPr>
                <w:rFonts w:ascii="Times New Roman" w:eastAsia="宋体" w:hAnsi="Times New Roman" w:cs="Times New Roman"/>
                <w:sz w:val="18"/>
                <w:szCs w:val="18"/>
              </w:rPr>
              <w:t>c</w:t>
            </w:r>
            <w:r w:rsidRPr="00F73301">
              <w:rPr>
                <w:rFonts w:ascii="Times New Roman" w:eastAsia="宋体" w:hAnsi="Times New Roman" w:cs="Times New Roman"/>
                <w:sz w:val="18"/>
                <w:szCs w:val="18"/>
              </w:rPr>
              <w:t>ompany against the Company (%)</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D1EB734" w14:textId="5C09DBC5" w:rsidR="00F73301" w:rsidRPr="00F73301" w:rsidRDefault="00F73301" w:rsidP="00C0474E">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Proportion of voting rights owned by the parent </w:t>
            </w:r>
            <w:r w:rsidR="00C0474E">
              <w:rPr>
                <w:rFonts w:ascii="Times New Roman" w:eastAsia="宋体" w:hAnsi="Times New Roman" w:cs="Times New Roman"/>
                <w:sz w:val="18"/>
                <w:szCs w:val="18"/>
              </w:rPr>
              <w:t>c</w:t>
            </w:r>
            <w:r w:rsidRPr="00F73301">
              <w:rPr>
                <w:rFonts w:ascii="Times New Roman" w:eastAsia="宋体" w:hAnsi="Times New Roman" w:cs="Times New Roman"/>
                <w:sz w:val="18"/>
                <w:szCs w:val="18"/>
              </w:rPr>
              <w:t>ompany against the Company (%)</w:t>
            </w:r>
          </w:p>
        </w:tc>
      </w:tr>
      <w:tr w:rsidR="00F73301" w:rsidRPr="00F73301" w14:paraId="716766AA"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358996F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Jiangsu </w:t>
            </w:r>
            <w:proofErr w:type="spellStart"/>
            <w:r w:rsidRPr="00F73301">
              <w:rPr>
                <w:rFonts w:ascii="Times New Roman" w:eastAsia="宋体" w:hAnsi="Times New Roman" w:cs="Times New Roman"/>
                <w:sz w:val="18"/>
                <w:szCs w:val="18"/>
              </w:rPr>
              <w:t>Yangjie</w:t>
            </w:r>
            <w:proofErr w:type="spellEnd"/>
            <w:r w:rsidRPr="00F73301">
              <w:rPr>
                <w:rFonts w:ascii="Times New Roman" w:eastAsia="宋体" w:hAnsi="Times New Roman" w:cs="Times New Roman"/>
                <w:sz w:val="18"/>
                <w:szCs w:val="18"/>
              </w:rPr>
              <w:t xml:space="preserve"> Investment Co., Ltd.</w:t>
            </w:r>
          </w:p>
        </w:tc>
        <w:tc>
          <w:tcPr>
            <w:tcW w:w="1606" w:type="dxa"/>
            <w:tcBorders>
              <w:top w:val="single" w:sz="2" w:space="0" w:color="auto"/>
              <w:left w:val="single" w:sz="2" w:space="0" w:color="auto"/>
              <w:bottom w:val="single" w:sz="2" w:space="0" w:color="auto"/>
              <w:right w:val="single" w:sz="2" w:space="0" w:color="auto"/>
            </w:tcBorders>
            <w:vAlign w:val="center"/>
          </w:tcPr>
          <w:p w14:paraId="7A721AA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Yangzhou, Jiangsu Province</w:t>
            </w:r>
          </w:p>
        </w:tc>
        <w:tc>
          <w:tcPr>
            <w:tcW w:w="1606" w:type="dxa"/>
            <w:tcBorders>
              <w:top w:val="single" w:sz="2" w:space="0" w:color="auto"/>
              <w:left w:val="single" w:sz="2" w:space="0" w:color="auto"/>
              <w:bottom w:val="single" w:sz="2" w:space="0" w:color="auto"/>
              <w:right w:val="single" w:sz="2" w:space="0" w:color="auto"/>
            </w:tcBorders>
            <w:vAlign w:val="center"/>
          </w:tcPr>
          <w:p w14:paraId="0674B7E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Industrial investment</w:t>
            </w:r>
          </w:p>
        </w:tc>
        <w:tc>
          <w:tcPr>
            <w:tcW w:w="1606" w:type="dxa"/>
            <w:tcBorders>
              <w:top w:val="single" w:sz="2" w:space="0" w:color="auto"/>
              <w:left w:val="single" w:sz="2" w:space="0" w:color="auto"/>
              <w:bottom w:val="single" w:sz="2" w:space="0" w:color="auto"/>
              <w:right w:val="single" w:sz="2" w:space="0" w:color="auto"/>
            </w:tcBorders>
            <w:vAlign w:val="center"/>
          </w:tcPr>
          <w:p w14:paraId="46C101B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RMB20 million</w:t>
            </w:r>
          </w:p>
        </w:tc>
        <w:tc>
          <w:tcPr>
            <w:tcW w:w="1606" w:type="dxa"/>
            <w:tcBorders>
              <w:top w:val="single" w:sz="2" w:space="0" w:color="auto"/>
              <w:left w:val="single" w:sz="2" w:space="0" w:color="auto"/>
              <w:bottom w:val="single" w:sz="2" w:space="0" w:color="auto"/>
              <w:right w:val="single" w:sz="2" w:space="0" w:color="auto"/>
            </w:tcBorders>
            <w:vAlign w:val="center"/>
          </w:tcPr>
          <w:p w14:paraId="756AFA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35.38%</w:t>
            </w:r>
          </w:p>
        </w:tc>
        <w:tc>
          <w:tcPr>
            <w:tcW w:w="1606" w:type="dxa"/>
            <w:tcBorders>
              <w:top w:val="single" w:sz="2" w:space="0" w:color="auto"/>
              <w:left w:val="single" w:sz="2" w:space="0" w:color="auto"/>
              <w:bottom w:val="single" w:sz="2" w:space="0" w:color="auto"/>
              <w:right w:val="single" w:sz="2" w:space="0" w:color="auto"/>
            </w:tcBorders>
            <w:vAlign w:val="center"/>
          </w:tcPr>
          <w:p w14:paraId="241915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35.38%</w:t>
            </w:r>
          </w:p>
        </w:tc>
      </w:tr>
    </w:tbl>
    <w:p w14:paraId="26DA833E" w14:textId="343A6F9E"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Notes: Information on the parent </w:t>
      </w:r>
      <w:r w:rsidR="00C0474E">
        <w:rPr>
          <w:rFonts w:ascii="Times New Roman" w:eastAsia="宋体" w:hAnsi="Times New Roman" w:cs="Times New Roman"/>
          <w:sz w:val="24"/>
          <w:szCs w:val="24"/>
        </w:rPr>
        <w:t>c</w:t>
      </w:r>
      <w:r w:rsidRPr="00F73301">
        <w:rPr>
          <w:rFonts w:ascii="Times New Roman" w:eastAsia="宋体" w:hAnsi="Times New Roman" w:cs="Times New Roman"/>
          <w:sz w:val="24"/>
          <w:szCs w:val="24"/>
        </w:rPr>
        <w:t>ompany</w:t>
      </w:r>
    </w:p>
    <w:p w14:paraId="27E9A230"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48FFDBE9"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Company’s ultimate controlling party is Liang Qin.</w:t>
      </w:r>
    </w:p>
    <w:p w14:paraId="1AA456A2"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Other notes:</w:t>
      </w:r>
    </w:p>
    <w:p w14:paraId="2D9C484A"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5F8E04A4"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43" w:name="_Toc989231"/>
      <w:r w:rsidRPr="00F73301">
        <w:rPr>
          <w:rFonts w:ascii="Times New Roman" w:eastAsia="宋体" w:hAnsi="Times New Roman" w:cs="Times New Roman"/>
          <w:b/>
          <w:bCs/>
          <w:sz w:val="24"/>
          <w:szCs w:val="24"/>
        </w:rPr>
        <w:t>2. Subsidiaries of the Company</w:t>
      </w:r>
      <w:bookmarkEnd w:id="343"/>
    </w:p>
    <w:p w14:paraId="6654E589"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See Note IX for details of the subsidiaries of the Company.</w:t>
      </w:r>
    </w:p>
    <w:p w14:paraId="61F6B06E"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44" w:name="_Toc989232"/>
      <w:r w:rsidRPr="00F73301">
        <w:rPr>
          <w:rFonts w:ascii="Times New Roman" w:eastAsia="宋体" w:hAnsi="Times New Roman" w:cs="Times New Roman"/>
          <w:b/>
          <w:bCs/>
          <w:sz w:val="24"/>
          <w:szCs w:val="24"/>
        </w:rPr>
        <w:t>3. Information on the joint ventures and associated enterprises of the Company</w:t>
      </w:r>
      <w:bookmarkEnd w:id="344"/>
    </w:p>
    <w:p w14:paraId="4FDB48DF"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See Note IX 3 for details of the significant joint ventures or associated enterprises of the Company.</w:t>
      </w:r>
    </w:p>
    <w:p w14:paraId="2A8775D8"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Information on other joint venture or associated enterprise of occurring related-party transactions with the Company in Current Period, or forming balance due to related-party transactions made in previous period:</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7350443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9C0A95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F2D98E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Relationship with the Company</w:t>
            </w:r>
          </w:p>
        </w:tc>
      </w:tr>
      <w:tr w:rsidR="00F73301" w:rsidRPr="00F73301" w14:paraId="527CBBF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6954D6F4" w14:textId="70BFDA90" w:rsidR="00F73301" w:rsidRPr="00F73301" w:rsidRDefault="00F87479" w:rsidP="00F87479">
            <w:pPr>
              <w:snapToGrid w:val="0"/>
              <w:rPr>
                <w:rFonts w:ascii="Times New Roman" w:eastAsia="宋体" w:hAnsi="Times New Roman" w:cs="Times New Roman"/>
                <w:sz w:val="18"/>
                <w:szCs w:val="18"/>
              </w:rPr>
            </w:pPr>
            <w:r>
              <w:rPr>
                <w:rFonts w:ascii="Times New Roman" w:eastAsia="宋体" w:hAnsi="Times New Roman" w:cs="Times New Roman"/>
                <w:sz w:val="18"/>
                <w:szCs w:val="18"/>
              </w:rPr>
              <w:t>Yangzhou Guoyu</w:t>
            </w:r>
          </w:p>
        </w:tc>
        <w:tc>
          <w:tcPr>
            <w:tcW w:w="4820" w:type="dxa"/>
            <w:tcBorders>
              <w:top w:val="single" w:sz="2" w:space="0" w:color="auto"/>
              <w:left w:val="single" w:sz="2" w:space="0" w:color="auto"/>
              <w:bottom w:val="single" w:sz="2" w:space="0" w:color="auto"/>
              <w:right w:val="single" w:sz="2" w:space="0" w:color="auto"/>
            </w:tcBorders>
            <w:vAlign w:val="center"/>
          </w:tcPr>
          <w:p w14:paraId="76C72FA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Associate</w:t>
            </w:r>
          </w:p>
        </w:tc>
      </w:tr>
    </w:tbl>
    <w:p w14:paraId="1642DA1B"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1DB5F136"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67F36F52"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45" w:name="_Toc989233"/>
      <w:r w:rsidRPr="00F73301">
        <w:rPr>
          <w:rFonts w:ascii="Times New Roman" w:eastAsia="宋体" w:hAnsi="Times New Roman" w:cs="Times New Roman"/>
          <w:b/>
          <w:bCs/>
          <w:sz w:val="24"/>
          <w:szCs w:val="24"/>
        </w:rPr>
        <w:t>4. Information on other related parties</w:t>
      </w:r>
      <w:bookmarkEnd w:id="345"/>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34F1D2EE"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1027A4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Related parties</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71AA9D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Relationship with the Company</w:t>
            </w:r>
          </w:p>
        </w:tc>
      </w:tr>
      <w:tr w:rsidR="00F73301" w:rsidRPr="00F73301" w14:paraId="61D81BBE"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3C35BA25" w14:textId="60DD3A51" w:rsidR="00F73301" w:rsidRPr="00F73301" w:rsidRDefault="00B475AC" w:rsidP="002E544B">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Jiangsu </w:t>
            </w:r>
            <w:r w:rsidR="002E544B">
              <w:rPr>
                <w:rFonts w:ascii="Times New Roman" w:eastAsia="宋体" w:hAnsi="Times New Roman" w:cs="Times New Roman"/>
                <w:sz w:val="18"/>
                <w:szCs w:val="18"/>
              </w:rPr>
              <w:t>Applied Power</w:t>
            </w:r>
          </w:p>
        </w:tc>
        <w:tc>
          <w:tcPr>
            <w:tcW w:w="4820" w:type="dxa"/>
            <w:tcBorders>
              <w:top w:val="single" w:sz="2" w:space="0" w:color="auto"/>
              <w:left w:val="single" w:sz="2" w:space="0" w:color="auto"/>
              <w:bottom w:val="single" w:sz="2" w:space="0" w:color="auto"/>
              <w:right w:val="single" w:sz="2" w:space="0" w:color="auto"/>
            </w:tcBorders>
            <w:vAlign w:val="center"/>
          </w:tcPr>
          <w:p w14:paraId="7432F46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Its shares are held by the Company</w:t>
            </w:r>
          </w:p>
        </w:tc>
      </w:tr>
      <w:tr w:rsidR="00F73301" w:rsidRPr="00F73301" w14:paraId="508E3075"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3AAD248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Dalian </w:t>
            </w:r>
            <w:proofErr w:type="spellStart"/>
            <w:r w:rsidRPr="00F73301">
              <w:rPr>
                <w:rFonts w:ascii="Times New Roman" w:eastAsia="宋体" w:hAnsi="Times New Roman" w:cs="Times New Roman"/>
                <w:sz w:val="18"/>
                <w:szCs w:val="18"/>
              </w:rPr>
              <w:t>Jiafeng</w:t>
            </w:r>
            <w:proofErr w:type="spellEnd"/>
          </w:p>
        </w:tc>
        <w:tc>
          <w:tcPr>
            <w:tcW w:w="4820" w:type="dxa"/>
            <w:tcBorders>
              <w:top w:val="single" w:sz="2" w:space="0" w:color="auto"/>
              <w:left w:val="single" w:sz="2" w:space="0" w:color="auto"/>
              <w:bottom w:val="single" w:sz="2" w:space="0" w:color="auto"/>
              <w:right w:val="single" w:sz="2" w:space="0" w:color="auto"/>
            </w:tcBorders>
            <w:vAlign w:val="center"/>
          </w:tcPr>
          <w:p w14:paraId="1F60684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Its shares are held by the Company</w:t>
            </w:r>
          </w:p>
        </w:tc>
      </w:tr>
    </w:tbl>
    <w:p w14:paraId="79E5D437"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010B2869" w14:textId="77777777" w:rsidR="00F73301" w:rsidRPr="00F73301" w:rsidRDefault="00F73301" w:rsidP="008A539F">
      <w:pPr>
        <w:adjustRightInd w:val="0"/>
        <w:snapToGrid w:val="0"/>
        <w:spacing w:beforeLines="50" w:before="156" w:afterLines="50" w:after="156"/>
        <w:jc w:val="both"/>
        <w:rPr>
          <w:rFonts w:ascii="Times New Roman" w:eastAsia="等线" w:hAnsi="Times New Roman" w:cs="Times New Roman"/>
          <w:sz w:val="24"/>
          <w:szCs w:val="24"/>
        </w:rPr>
      </w:pPr>
    </w:p>
    <w:p w14:paraId="241A0350" w14:textId="77777777" w:rsidR="00F73301" w:rsidRPr="00F73301" w:rsidRDefault="00F73301" w:rsidP="008A539F">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46" w:name="_Toc989234"/>
      <w:r w:rsidRPr="00F73301">
        <w:rPr>
          <w:rFonts w:ascii="Times New Roman" w:eastAsia="宋体" w:hAnsi="Times New Roman" w:cs="Times New Roman"/>
          <w:b/>
          <w:bCs/>
          <w:sz w:val="24"/>
          <w:szCs w:val="24"/>
        </w:rPr>
        <w:t>5. List of related-party transactions</w:t>
      </w:r>
      <w:bookmarkEnd w:id="346"/>
    </w:p>
    <w:p w14:paraId="14FDCC43" w14:textId="77777777" w:rsidR="00F73301" w:rsidRPr="00F73301" w:rsidRDefault="00F73301" w:rsidP="008A539F">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47" w:name="_Toc989235"/>
      <w:r w:rsidRPr="00F73301">
        <w:rPr>
          <w:rFonts w:ascii="Times New Roman" w:eastAsia="宋体" w:hAnsi="Times New Roman" w:cs="Times New Roman"/>
          <w:b/>
          <w:bCs/>
          <w:sz w:val="24"/>
          <w:szCs w:val="24"/>
        </w:rPr>
        <w:t>(1) Information on acquisition of goods and reception of labor service</w:t>
      </w:r>
      <w:bookmarkEnd w:id="347"/>
    </w:p>
    <w:p w14:paraId="6791EE28" w14:textId="77777777" w:rsidR="00F73301" w:rsidRPr="00F73301" w:rsidRDefault="00F73301" w:rsidP="008A539F">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Information on acquisition of goods and reception of labor service</w:t>
      </w:r>
    </w:p>
    <w:p w14:paraId="646A657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42316EE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C42C3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Related parties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E263C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Content of transaction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1B6D1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F33E47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The approval trade credit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4D17B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Whether exceed trade credit or not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38B4DB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78D1CA59"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7D784C7C" w14:textId="6C2091EC" w:rsidR="00F73301" w:rsidRPr="00F73301" w:rsidRDefault="002E544B" w:rsidP="002E544B">
            <w:pPr>
              <w:snapToGrid w:val="0"/>
              <w:rPr>
                <w:rFonts w:ascii="Times New Roman" w:eastAsia="宋体" w:hAnsi="Times New Roman" w:cs="Times New Roman"/>
                <w:sz w:val="18"/>
                <w:szCs w:val="18"/>
              </w:rPr>
            </w:pPr>
            <w:r>
              <w:rPr>
                <w:rFonts w:ascii="Times New Roman" w:eastAsia="宋体" w:hAnsi="Times New Roman" w:cs="Times New Roman"/>
                <w:sz w:val="18"/>
                <w:szCs w:val="18"/>
              </w:rPr>
              <w:t>Jiangsu Applied Power</w:t>
            </w:r>
          </w:p>
        </w:tc>
        <w:tc>
          <w:tcPr>
            <w:tcW w:w="1606" w:type="dxa"/>
            <w:tcBorders>
              <w:top w:val="single" w:sz="2" w:space="0" w:color="auto"/>
              <w:left w:val="single" w:sz="2" w:space="0" w:color="auto"/>
              <w:bottom w:val="single" w:sz="2" w:space="0" w:color="auto"/>
              <w:right w:val="single" w:sz="2" w:space="0" w:color="auto"/>
            </w:tcBorders>
            <w:vAlign w:val="center"/>
          </w:tcPr>
          <w:p w14:paraId="0B1B369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Purchase of materials</w:t>
            </w:r>
          </w:p>
        </w:tc>
        <w:tc>
          <w:tcPr>
            <w:tcW w:w="1606" w:type="dxa"/>
            <w:tcBorders>
              <w:top w:val="single" w:sz="2" w:space="0" w:color="auto"/>
              <w:left w:val="single" w:sz="2" w:space="0" w:color="auto"/>
              <w:bottom w:val="single" w:sz="2" w:space="0" w:color="auto"/>
              <w:right w:val="single" w:sz="2" w:space="0" w:color="auto"/>
            </w:tcBorders>
            <w:vAlign w:val="center"/>
          </w:tcPr>
          <w:p w14:paraId="2E094CE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10,804,554.84</w:t>
            </w:r>
          </w:p>
        </w:tc>
        <w:tc>
          <w:tcPr>
            <w:tcW w:w="1606" w:type="dxa"/>
            <w:tcBorders>
              <w:top w:val="single" w:sz="2" w:space="0" w:color="auto"/>
              <w:left w:val="single" w:sz="2" w:space="0" w:color="auto"/>
              <w:bottom w:val="single" w:sz="2" w:space="0" w:color="auto"/>
              <w:right w:val="single" w:sz="2" w:space="0" w:color="auto"/>
            </w:tcBorders>
            <w:vAlign w:val="center"/>
          </w:tcPr>
          <w:p w14:paraId="35D7961A"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AA6440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w:t>
            </w:r>
          </w:p>
        </w:tc>
        <w:tc>
          <w:tcPr>
            <w:tcW w:w="1606" w:type="dxa"/>
            <w:tcBorders>
              <w:top w:val="single" w:sz="2" w:space="0" w:color="auto"/>
              <w:left w:val="single" w:sz="2" w:space="0" w:color="auto"/>
              <w:bottom w:val="single" w:sz="2" w:space="0" w:color="auto"/>
              <w:right w:val="single" w:sz="2" w:space="0" w:color="auto"/>
            </w:tcBorders>
            <w:vAlign w:val="center"/>
          </w:tcPr>
          <w:p w14:paraId="478C9F8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23,442,076.78</w:t>
            </w:r>
          </w:p>
        </w:tc>
      </w:tr>
      <w:tr w:rsidR="00F73301" w:rsidRPr="00F73301" w14:paraId="3BA301EC"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234CA84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Dalian </w:t>
            </w:r>
            <w:proofErr w:type="spellStart"/>
            <w:r w:rsidRPr="00F73301">
              <w:rPr>
                <w:rFonts w:ascii="Times New Roman" w:eastAsia="宋体" w:hAnsi="Times New Roman" w:cs="Times New Roman"/>
                <w:sz w:val="18"/>
                <w:szCs w:val="18"/>
              </w:rPr>
              <w:t>Jiafeng</w:t>
            </w:r>
            <w:proofErr w:type="spellEnd"/>
          </w:p>
        </w:tc>
        <w:tc>
          <w:tcPr>
            <w:tcW w:w="1606" w:type="dxa"/>
            <w:tcBorders>
              <w:top w:val="single" w:sz="2" w:space="0" w:color="auto"/>
              <w:left w:val="single" w:sz="2" w:space="0" w:color="auto"/>
              <w:bottom w:val="single" w:sz="2" w:space="0" w:color="auto"/>
              <w:right w:val="single" w:sz="2" w:space="0" w:color="auto"/>
            </w:tcBorders>
            <w:vAlign w:val="center"/>
          </w:tcPr>
          <w:p w14:paraId="4EE06DA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Purchase of equipment</w:t>
            </w:r>
          </w:p>
        </w:tc>
        <w:tc>
          <w:tcPr>
            <w:tcW w:w="1606" w:type="dxa"/>
            <w:tcBorders>
              <w:top w:val="single" w:sz="2" w:space="0" w:color="auto"/>
              <w:left w:val="single" w:sz="2" w:space="0" w:color="auto"/>
              <w:bottom w:val="single" w:sz="2" w:space="0" w:color="auto"/>
              <w:right w:val="single" w:sz="2" w:space="0" w:color="auto"/>
            </w:tcBorders>
            <w:vAlign w:val="center"/>
          </w:tcPr>
          <w:p w14:paraId="12DB92E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1,212,389.38</w:t>
            </w:r>
          </w:p>
        </w:tc>
        <w:tc>
          <w:tcPr>
            <w:tcW w:w="1606" w:type="dxa"/>
            <w:tcBorders>
              <w:top w:val="single" w:sz="2" w:space="0" w:color="auto"/>
              <w:left w:val="single" w:sz="2" w:space="0" w:color="auto"/>
              <w:bottom w:val="single" w:sz="2" w:space="0" w:color="auto"/>
              <w:right w:val="single" w:sz="2" w:space="0" w:color="auto"/>
            </w:tcBorders>
            <w:vAlign w:val="center"/>
          </w:tcPr>
          <w:p w14:paraId="0C9FB60F" w14:textId="77777777" w:rsidR="00F73301" w:rsidRPr="00F73301" w:rsidRDefault="00F73301" w:rsidP="008C49B7">
            <w:pPr>
              <w:snapToGrid w:val="0"/>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61826E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w:t>
            </w:r>
          </w:p>
        </w:tc>
        <w:tc>
          <w:tcPr>
            <w:tcW w:w="1606" w:type="dxa"/>
            <w:tcBorders>
              <w:top w:val="single" w:sz="2" w:space="0" w:color="auto"/>
              <w:left w:val="single" w:sz="2" w:space="0" w:color="auto"/>
              <w:bottom w:val="single" w:sz="2" w:space="0" w:color="auto"/>
              <w:right w:val="single" w:sz="2" w:space="0" w:color="auto"/>
            </w:tcBorders>
            <w:vAlign w:val="center"/>
          </w:tcPr>
          <w:p w14:paraId="47985FE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13,102,654.88</w:t>
            </w:r>
          </w:p>
        </w:tc>
      </w:tr>
      <w:tr w:rsidR="00F73301" w:rsidRPr="00F73301" w14:paraId="0D6B57B2"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778D83A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r w:rsidRPr="00F73301">
              <w:rPr>
                <w:rFonts w:ascii="Times New Roman" w:eastAsia="宋体" w:hAnsi="Times New Roman" w:cs="Times New Roman"/>
                <w:sz w:val="18"/>
                <w:szCs w:val="18"/>
              </w:rPr>
              <w:t xml:space="preserve"> [Note 1]</w:t>
            </w:r>
          </w:p>
        </w:tc>
        <w:tc>
          <w:tcPr>
            <w:tcW w:w="1606" w:type="dxa"/>
            <w:tcBorders>
              <w:top w:val="single" w:sz="2" w:space="0" w:color="auto"/>
              <w:left w:val="single" w:sz="2" w:space="0" w:color="auto"/>
              <w:bottom w:val="single" w:sz="2" w:space="0" w:color="auto"/>
              <w:right w:val="single" w:sz="2" w:space="0" w:color="auto"/>
            </w:tcBorders>
            <w:vAlign w:val="center"/>
          </w:tcPr>
          <w:p w14:paraId="0AFFFA4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Purchase of materials</w:t>
            </w:r>
          </w:p>
        </w:tc>
        <w:tc>
          <w:tcPr>
            <w:tcW w:w="1606" w:type="dxa"/>
            <w:tcBorders>
              <w:top w:val="single" w:sz="2" w:space="0" w:color="auto"/>
              <w:left w:val="single" w:sz="2" w:space="0" w:color="auto"/>
              <w:bottom w:val="single" w:sz="2" w:space="0" w:color="auto"/>
              <w:right w:val="single" w:sz="2" w:space="0" w:color="auto"/>
            </w:tcBorders>
            <w:vAlign w:val="center"/>
          </w:tcPr>
          <w:p w14:paraId="1932400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44,840,913.55</w:t>
            </w:r>
          </w:p>
        </w:tc>
        <w:tc>
          <w:tcPr>
            <w:tcW w:w="1606" w:type="dxa"/>
            <w:tcBorders>
              <w:top w:val="single" w:sz="2" w:space="0" w:color="auto"/>
              <w:left w:val="single" w:sz="2" w:space="0" w:color="auto"/>
              <w:bottom w:val="single" w:sz="2" w:space="0" w:color="auto"/>
              <w:right w:val="single" w:sz="2" w:space="0" w:color="auto"/>
            </w:tcBorders>
            <w:vAlign w:val="center"/>
          </w:tcPr>
          <w:p w14:paraId="37CE2C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44,840,913.55</w:t>
            </w:r>
          </w:p>
        </w:tc>
        <w:tc>
          <w:tcPr>
            <w:tcW w:w="1606" w:type="dxa"/>
            <w:tcBorders>
              <w:top w:val="single" w:sz="2" w:space="0" w:color="auto"/>
              <w:left w:val="single" w:sz="2" w:space="0" w:color="auto"/>
              <w:bottom w:val="single" w:sz="2" w:space="0" w:color="auto"/>
              <w:right w:val="single" w:sz="2" w:space="0" w:color="auto"/>
            </w:tcBorders>
            <w:vAlign w:val="center"/>
          </w:tcPr>
          <w:p w14:paraId="7B939E5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w:t>
            </w:r>
          </w:p>
        </w:tc>
        <w:tc>
          <w:tcPr>
            <w:tcW w:w="1606" w:type="dxa"/>
            <w:tcBorders>
              <w:top w:val="single" w:sz="2" w:space="0" w:color="auto"/>
              <w:left w:val="single" w:sz="2" w:space="0" w:color="auto"/>
              <w:bottom w:val="single" w:sz="2" w:space="0" w:color="auto"/>
              <w:right w:val="single" w:sz="2" w:space="0" w:color="auto"/>
            </w:tcBorders>
            <w:vAlign w:val="center"/>
          </w:tcPr>
          <w:p w14:paraId="692D643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77,662,178.27</w:t>
            </w:r>
          </w:p>
        </w:tc>
      </w:tr>
    </w:tbl>
    <w:p w14:paraId="6A1011D7"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Information of sales of goods and provision of labor service</w:t>
      </w:r>
    </w:p>
    <w:p w14:paraId="05895E91"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5E2895BA"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1FDA50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Related parties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AB030B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Content of transaction</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44ABBE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2172D1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79F9BA41"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5604F562" w14:textId="49163390" w:rsidR="00F73301" w:rsidRPr="00F73301" w:rsidRDefault="002E5613" w:rsidP="002E5613">
            <w:pPr>
              <w:snapToGrid w:val="0"/>
              <w:rPr>
                <w:rFonts w:ascii="Times New Roman" w:eastAsia="宋体" w:hAnsi="Times New Roman" w:cs="Times New Roman"/>
                <w:sz w:val="18"/>
                <w:szCs w:val="18"/>
              </w:rPr>
            </w:pPr>
            <w:r>
              <w:rPr>
                <w:rFonts w:ascii="Times New Roman" w:eastAsia="宋体" w:hAnsi="Times New Roman" w:cs="Times New Roman"/>
                <w:sz w:val="18"/>
                <w:szCs w:val="18"/>
              </w:rPr>
              <w:t>Jiangsu Applied Power</w:t>
            </w:r>
          </w:p>
        </w:tc>
        <w:tc>
          <w:tcPr>
            <w:tcW w:w="2410" w:type="dxa"/>
            <w:tcBorders>
              <w:top w:val="single" w:sz="2" w:space="0" w:color="auto"/>
              <w:left w:val="single" w:sz="2" w:space="0" w:color="auto"/>
              <w:bottom w:val="single" w:sz="2" w:space="0" w:color="auto"/>
              <w:right w:val="single" w:sz="2" w:space="0" w:color="auto"/>
            </w:tcBorders>
            <w:vAlign w:val="center"/>
          </w:tcPr>
          <w:p w14:paraId="1746914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Sale of goods</w:t>
            </w:r>
          </w:p>
        </w:tc>
        <w:tc>
          <w:tcPr>
            <w:tcW w:w="2410" w:type="dxa"/>
            <w:tcBorders>
              <w:top w:val="single" w:sz="2" w:space="0" w:color="auto"/>
              <w:left w:val="single" w:sz="2" w:space="0" w:color="auto"/>
              <w:bottom w:val="single" w:sz="2" w:space="0" w:color="auto"/>
              <w:right w:val="single" w:sz="2" w:space="0" w:color="auto"/>
            </w:tcBorders>
            <w:vAlign w:val="center"/>
          </w:tcPr>
          <w:p w14:paraId="093F76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470,910.65</w:t>
            </w:r>
          </w:p>
        </w:tc>
        <w:tc>
          <w:tcPr>
            <w:tcW w:w="2410" w:type="dxa"/>
            <w:tcBorders>
              <w:top w:val="single" w:sz="2" w:space="0" w:color="auto"/>
              <w:left w:val="single" w:sz="2" w:space="0" w:color="auto"/>
              <w:bottom w:val="single" w:sz="2" w:space="0" w:color="auto"/>
              <w:right w:val="single" w:sz="2" w:space="0" w:color="auto"/>
            </w:tcBorders>
            <w:vAlign w:val="center"/>
          </w:tcPr>
          <w:p w14:paraId="62C350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6,927,482.46</w:t>
            </w:r>
          </w:p>
        </w:tc>
      </w:tr>
      <w:tr w:rsidR="00F73301" w:rsidRPr="00F73301" w14:paraId="0464E78B"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7C6B5A87" w14:textId="4340D889" w:rsidR="00F73301" w:rsidRPr="00F73301" w:rsidRDefault="00F73301" w:rsidP="00F87479">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Jiangsu </w:t>
            </w:r>
            <w:proofErr w:type="spellStart"/>
            <w:r w:rsidRPr="00F73301">
              <w:rPr>
                <w:rFonts w:ascii="Times New Roman" w:eastAsia="宋体" w:hAnsi="Times New Roman" w:cs="Times New Roman"/>
                <w:sz w:val="18"/>
                <w:szCs w:val="18"/>
              </w:rPr>
              <w:t>Huanxin</w:t>
            </w:r>
            <w:proofErr w:type="spellEnd"/>
            <w:r w:rsidR="00F87479">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[Note 2]</w:t>
            </w:r>
          </w:p>
        </w:tc>
        <w:tc>
          <w:tcPr>
            <w:tcW w:w="2410" w:type="dxa"/>
            <w:tcBorders>
              <w:top w:val="single" w:sz="2" w:space="0" w:color="auto"/>
              <w:left w:val="single" w:sz="2" w:space="0" w:color="auto"/>
              <w:bottom w:val="single" w:sz="2" w:space="0" w:color="auto"/>
              <w:right w:val="single" w:sz="2" w:space="0" w:color="auto"/>
            </w:tcBorders>
            <w:vAlign w:val="center"/>
          </w:tcPr>
          <w:p w14:paraId="3D7CE44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Sale of goods</w:t>
            </w:r>
          </w:p>
        </w:tc>
        <w:tc>
          <w:tcPr>
            <w:tcW w:w="2410" w:type="dxa"/>
            <w:tcBorders>
              <w:top w:val="single" w:sz="2" w:space="0" w:color="auto"/>
              <w:left w:val="single" w:sz="2" w:space="0" w:color="auto"/>
              <w:bottom w:val="single" w:sz="2" w:space="0" w:color="auto"/>
              <w:right w:val="single" w:sz="2" w:space="0" w:color="auto"/>
            </w:tcBorders>
            <w:vAlign w:val="center"/>
          </w:tcPr>
          <w:p w14:paraId="7B4D6B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3,992,089.88</w:t>
            </w:r>
          </w:p>
        </w:tc>
        <w:tc>
          <w:tcPr>
            <w:tcW w:w="2410" w:type="dxa"/>
            <w:tcBorders>
              <w:top w:val="single" w:sz="2" w:space="0" w:color="auto"/>
              <w:left w:val="single" w:sz="2" w:space="0" w:color="auto"/>
              <w:bottom w:val="single" w:sz="2" w:space="0" w:color="auto"/>
              <w:right w:val="single" w:sz="2" w:space="0" w:color="auto"/>
            </w:tcBorders>
            <w:vAlign w:val="center"/>
          </w:tcPr>
          <w:p w14:paraId="6414935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6,403,879.87</w:t>
            </w:r>
          </w:p>
        </w:tc>
      </w:tr>
    </w:tbl>
    <w:p w14:paraId="2E1373CC"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acquisition of goods and reception of labor service</w:t>
      </w:r>
    </w:p>
    <w:p w14:paraId="3B4E2AB5" w14:textId="67DB35FD"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Note 1: The Company was transferred 30% equity of Hunan </w:t>
      </w:r>
      <w:proofErr w:type="spellStart"/>
      <w:r w:rsidRPr="00F73301">
        <w:rPr>
          <w:rFonts w:ascii="Times New Roman" w:eastAsia="宋体" w:hAnsi="Times New Roman" w:cs="Times New Roman"/>
          <w:kern w:val="0"/>
          <w:sz w:val="24"/>
          <w:szCs w:val="24"/>
        </w:rPr>
        <w:t>Chuwei</w:t>
      </w:r>
      <w:proofErr w:type="spellEnd"/>
      <w:r w:rsidR="00D47065">
        <w:rPr>
          <w:rFonts w:ascii="Times New Roman" w:eastAsia="宋体" w:hAnsi="Times New Roman" w:cs="Times New Roman"/>
          <w:kern w:val="0"/>
          <w:sz w:val="24"/>
          <w:szCs w:val="24"/>
        </w:rPr>
        <w:t xml:space="preserve"> </w:t>
      </w:r>
      <w:r w:rsidRPr="00F73301">
        <w:rPr>
          <w:rFonts w:ascii="Times New Roman" w:eastAsia="宋体" w:hAnsi="Times New Roman" w:cs="Times New Roman"/>
          <w:kern w:val="0"/>
          <w:sz w:val="24"/>
          <w:szCs w:val="24"/>
        </w:rPr>
        <w:t xml:space="preserve">by means of public delisting on March 31, and had been transferred 70% equity of Hunan </w:t>
      </w:r>
      <w:proofErr w:type="spellStart"/>
      <w:r w:rsidRPr="00F73301">
        <w:rPr>
          <w:rFonts w:ascii="Times New Roman" w:eastAsia="宋体" w:hAnsi="Times New Roman" w:cs="Times New Roman"/>
          <w:kern w:val="0"/>
          <w:sz w:val="24"/>
          <w:szCs w:val="24"/>
        </w:rPr>
        <w:t>Chuwei</w:t>
      </w:r>
      <w:proofErr w:type="spellEnd"/>
      <w:r w:rsidRPr="00F73301">
        <w:rPr>
          <w:rFonts w:ascii="Times New Roman" w:eastAsia="宋体" w:hAnsi="Times New Roman" w:cs="Times New Roman"/>
          <w:kern w:val="0"/>
          <w:sz w:val="24"/>
          <w:szCs w:val="24"/>
        </w:rPr>
        <w:t xml:space="preserve"> accumulatively as of that day, making Hunan </w:t>
      </w:r>
      <w:proofErr w:type="spellStart"/>
      <w:r w:rsidRPr="00F73301">
        <w:rPr>
          <w:rFonts w:ascii="Times New Roman" w:eastAsia="宋体" w:hAnsi="Times New Roman" w:cs="Times New Roman"/>
          <w:kern w:val="0"/>
          <w:sz w:val="24"/>
          <w:szCs w:val="24"/>
        </w:rPr>
        <w:t>Chuwei</w:t>
      </w:r>
      <w:proofErr w:type="spellEnd"/>
      <w:r w:rsidRPr="00F73301">
        <w:rPr>
          <w:rFonts w:ascii="Times New Roman" w:eastAsia="宋体" w:hAnsi="Times New Roman" w:cs="Times New Roman"/>
          <w:kern w:val="0"/>
          <w:sz w:val="24"/>
          <w:szCs w:val="24"/>
        </w:rPr>
        <w:t xml:space="preserve"> a subsidiary of the Company and incorporated into the scope of consolidated financial statements. This datum is an amount incurred from January to March.</w:t>
      </w:r>
    </w:p>
    <w:p w14:paraId="40C9342D" w14:textId="1E648E82"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lastRenderedPageBreak/>
        <w:t xml:space="preserve">Note 2: The Company was holding 23.86% equity of Jiangsu </w:t>
      </w:r>
      <w:proofErr w:type="spellStart"/>
      <w:r w:rsidRPr="00F73301">
        <w:rPr>
          <w:rFonts w:ascii="Times New Roman" w:eastAsia="宋体" w:hAnsi="Times New Roman" w:cs="Times New Roman"/>
          <w:kern w:val="0"/>
          <w:sz w:val="24"/>
          <w:szCs w:val="24"/>
        </w:rPr>
        <w:t>Huanxin</w:t>
      </w:r>
      <w:proofErr w:type="spellEnd"/>
      <w:r w:rsidRPr="00F73301">
        <w:rPr>
          <w:rFonts w:ascii="Times New Roman" w:eastAsia="宋体" w:hAnsi="Times New Roman" w:cs="Times New Roman"/>
          <w:kern w:val="0"/>
          <w:sz w:val="24"/>
          <w:szCs w:val="24"/>
        </w:rPr>
        <w:t>, and has appointed directors to participate in its production and business activities, and therefore has a significant influence over it. In June 2023, the Company sold all equi</w:t>
      </w:r>
      <w:r w:rsidR="00F87479">
        <w:rPr>
          <w:rFonts w:ascii="Times New Roman" w:eastAsia="宋体" w:hAnsi="Times New Roman" w:cs="Times New Roman"/>
          <w:kern w:val="0"/>
          <w:sz w:val="24"/>
          <w:szCs w:val="24"/>
        </w:rPr>
        <w:t xml:space="preserve">ties it held in Jiangsu </w:t>
      </w:r>
      <w:proofErr w:type="spellStart"/>
      <w:r w:rsidR="00F87479">
        <w:rPr>
          <w:rFonts w:ascii="Times New Roman" w:eastAsia="宋体" w:hAnsi="Times New Roman" w:cs="Times New Roman"/>
          <w:kern w:val="0"/>
          <w:sz w:val="24"/>
          <w:szCs w:val="24"/>
        </w:rPr>
        <w:t>Huanxin</w:t>
      </w:r>
      <w:proofErr w:type="spellEnd"/>
      <w:r w:rsidRPr="00F73301">
        <w:rPr>
          <w:rFonts w:ascii="Times New Roman" w:eastAsia="宋体" w:hAnsi="Times New Roman" w:cs="Times New Roman"/>
          <w:kern w:val="0"/>
          <w:sz w:val="24"/>
          <w:szCs w:val="24"/>
        </w:rPr>
        <w:t>, and received the equity transfer payment on June 29, 2023.</w:t>
      </w:r>
    </w:p>
    <w:p w14:paraId="01E374B3"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48" w:name="_Toc989236"/>
      <w:r w:rsidRPr="00F73301">
        <w:rPr>
          <w:rFonts w:ascii="Times New Roman" w:eastAsia="宋体" w:hAnsi="Times New Roman" w:cs="Times New Roman"/>
          <w:b/>
          <w:bCs/>
          <w:sz w:val="24"/>
          <w:szCs w:val="24"/>
        </w:rPr>
        <w:t>(2) Information on related-party trusteeship/contract</w:t>
      </w:r>
      <w:bookmarkEnd w:id="348"/>
    </w:p>
    <w:p w14:paraId="0E009C0C"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Lists of trusteeship/contract of the Company:</w:t>
      </w:r>
    </w:p>
    <w:p w14:paraId="486F217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5210654D"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A64EB4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Name of the </w:t>
            </w:r>
            <w:proofErr w:type="spellStart"/>
            <w:r w:rsidRPr="00F73301">
              <w:rPr>
                <w:rFonts w:ascii="Times New Roman" w:eastAsia="宋体" w:hAnsi="Times New Roman" w:cs="Times New Roman"/>
                <w:sz w:val="18"/>
                <w:szCs w:val="18"/>
              </w:rPr>
              <w:t>entruster</w:t>
            </w:r>
            <w:proofErr w:type="spellEnd"/>
            <w:r w:rsidRPr="00F73301">
              <w:rPr>
                <w:rFonts w:ascii="Times New Roman" w:eastAsia="宋体" w:hAnsi="Times New Roman" w:cs="Times New Roman"/>
                <w:sz w:val="18"/>
                <w:szCs w:val="18"/>
              </w:rPr>
              <w:t>/</w:t>
            </w:r>
            <w:proofErr w:type="spellStart"/>
            <w:r w:rsidRPr="00F73301">
              <w:rPr>
                <w:rFonts w:ascii="Times New Roman" w:eastAsia="宋体" w:hAnsi="Times New Roman" w:cs="Times New Roman"/>
                <w:sz w:val="18"/>
                <w:szCs w:val="18"/>
              </w:rPr>
              <w:t>contractee</w:t>
            </w:r>
            <w:proofErr w:type="spellEnd"/>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CA2594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Name of the </w:t>
            </w:r>
            <w:proofErr w:type="spellStart"/>
            <w:r w:rsidRPr="00F73301">
              <w:rPr>
                <w:rFonts w:ascii="Times New Roman" w:eastAsia="宋体" w:hAnsi="Times New Roman" w:cs="Times New Roman"/>
                <w:sz w:val="18"/>
                <w:szCs w:val="18"/>
              </w:rPr>
              <w:t>entrustee</w:t>
            </w:r>
            <w:proofErr w:type="spellEnd"/>
            <w:r w:rsidRPr="00F73301">
              <w:rPr>
                <w:rFonts w:ascii="Times New Roman" w:eastAsia="宋体" w:hAnsi="Times New Roman" w:cs="Times New Roman"/>
                <w:sz w:val="18"/>
                <w:szCs w:val="18"/>
              </w:rPr>
              <w:t>/ contractor</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B48073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Type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4A47B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Start date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AEE75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Due date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9ECD71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Pricing basis</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E0507F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Income recognized in this Current Period</w:t>
            </w:r>
          </w:p>
        </w:tc>
      </w:tr>
    </w:tbl>
    <w:p w14:paraId="5A0B267E"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78D0A2B6"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76FF1261"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Lists of entrust/contract:</w:t>
      </w:r>
    </w:p>
    <w:p w14:paraId="3271139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068EF696"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709678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Name of the </w:t>
            </w:r>
            <w:proofErr w:type="spellStart"/>
            <w:r w:rsidRPr="00F73301">
              <w:rPr>
                <w:rFonts w:ascii="Times New Roman" w:eastAsia="宋体" w:hAnsi="Times New Roman" w:cs="Times New Roman"/>
                <w:sz w:val="18"/>
                <w:szCs w:val="18"/>
              </w:rPr>
              <w:t>entruster</w:t>
            </w:r>
            <w:proofErr w:type="spellEnd"/>
            <w:r w:rsidRPr="00F73301">
              <w:rPr>
                <w:rFonts w:ascii="Times New Roman" w:eastAsia="宋体" w:hAnsi="Times New Roman" w:cs="Times New Roman"/>
                <w:sz w:val="18"/>
                <w:szCs w:val="18"/>
              </w:rPr>
              <w:t>/</w:t>
            </w:r>
            <w:proofErr w:type="spellStart"/>
            <w:r w:rsidRPr="00F73301">
              <w:rPr>
                <w:rFonts w:ascii="Times New Roman" w:eastAsia="宋体" w:hAnsi="Times New Roman" w:cs="Times New Roman"/>
                <w:sz w:val="18"/>
                <w:szCs w:val="18"/>
              </w:rPr>
              <w:t>contractee</w:t>
            </w:r>
            <w:proofErr w:type="spellEnd"/>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ED5F13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Name of the </w:t>
            </w:r>
            <w:proofErr w:type="spellStart"/>
            <w:r w:rsidRPr="00F73301">
              <w:rPr>
                <w:rFonts w:ascii="Times New Roman" w:eastAsia="宋体" w:hAnsi="Times New Roman" w:cs="Times New Roman"/>
                <w:sz w:val="18"/>
                <w:szCs w:val="18"/>
              </w:rPr>
              <w:t>entrustee</w:t>
            </w:r>
            <w:proofErr w:type="spellEnd"/>
            <w:r w:rsidRPr="00F73301">
              <w:rPr>
                <w:rFonts w:ascii="Times New Roman" w:eastAsia="宋体" w:hAnsi="Times New Roman" w:cs="Times New Roman"/>
                <w:sz w:val="18"/>
                <w:szCs w:val="18"/>
              </w:rPr>
              <w:t>/ contractor</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94EF1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Type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CA5A3F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Start date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9902DC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Due date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37CB4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Pricing basis</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7D78C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Charge recognized in this Current Period</w:t>
            </w:r>
          </w:p>
        </w:tc>
      </w:tr>
    </w:tbl>
    <w:p w14:paraId="359683E0"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6A4E08BB"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4EB1DE66"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49" w:name="_Toc989237"/>
      <w:r w:rsidRPr="00F73301">
        <w:rPr>
          <w:rFonts w:ascii="Times New Roman" w:eastAsia="宋体" w:hAnsi="Times New Roman" w:cs="Times New Roman"/>
          <w:b/>
          <w:bCs/>
          <w:sz w:val="24"/>
          <w:szCs w:val="24"/>
        </w:rPr>
        <w:t>(3) Information on related-party lease</w:t>
      </w:r>
      <w:bookmarkEnd w:id="349"/>
    </w:p>
    <w:p w14:paraId="18ADE18C"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was lessor:</w:t>
      </w:r>
    </w:p>
    <w:p w14:paraId="61B28050"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50A9A96D"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7F16FB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 of lessee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45722C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Category of leased assets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DDE3D0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The lease income confirmed in the current period</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1D9193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The lease income confirmed in the previous period</w:t>
            </w:r>
          </w:p>
        </w:tc>
      </w:tr>
    </w:tbl>
    <w:p w14:paraId="17D58EE5"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was lessee:</w:t>
      </w:r>
    </w:p>
    <w:p w14:paraId="76D7A7E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F73301" w:rsidRPr="00F73301" w14:paraId="63E5F456" w14:textId="77777777" w:rsidTr="0001208F">
        <w:trPr>
          <w:jc w:val="center"/>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A522CE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 of lessor</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9172D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Category of leased assets</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FF02CB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Rental expense of simplified short-term leases and low-value asset leases (if applicable)</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BEFB38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Variable lease payments that are not covered in the measurement of the lease liabilities (if applicable)</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5C64BF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Rent payable</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35CC5A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Interest expense on lease liabilities borne</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91774B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Added right-of-use assets</w:t>
            </w:r>
          </w:p>
        </w:tc>
      </w:tr>
      <w:tr w:rsidR="00F73301" w:rsidRPr="00F73301" w14:paraId="58CD39E7" w14:textId="77777777" w:rsidTr="0001208F">
        <w:trPr>
          <w:jc w:val="center"/>
        </w:trPr>
        <w:tc>
          <w:tcPr>
            <w:tcW w:w="803" w:type="dxa"/>
            <w:vMerge/>
            <w:tcBorders>
              <w:top w:val="single" w:sz="2" w:space="0" w:color="auto"/>
              <w:left w:val="single" w:sz="2" w:space="0" w:color="auto"/>
              <w:bottom w:val="single" w:sz="2" w:space="0" w:color="auto"/>
              <w:right w:val="single" w:sz="2" w:space="0" w:color="auto"/>
            </w:tcBorders>
            <w:vAlign w:val="center"/>
          </w:tcPr>
          <w:p w14:paraId="07DB6F3F" w14:textId="77777777" w:rsidR="00F73301" w:rsidRPr="00F73301" w:rsidRDefault="00F73301" w:rsidP="008C49B7">
            <w:pPr>
              <w:snapToGrid w:val="0"/>
              <w:rPr>
                <w:rFonts w:ascii="Times New Roman" w:eastAsia="等线" w:hAnsi="Times New Roman" w:cs="Times New Roman"/>
                <w:sz w:val="18"/>
                <w:szCs w:val="18"/>
              </w:rPr>
            </w:pPr>
          </w:p>
        </w:tc>
        <w:tc>
          <w:tcPr>
            <w:tcW w:w="803" w:type="dxa"/>
            <w:vMerge/>
            <w:tcBorders>
              <w:top w:val="single" w:sz="2" w:space="0" w:color="auto"/>
              <w:left w:val="single" w:sz="2" w:space="0" w:color="auto"/>
              <w:bottom w:val="single" w:sz="2" w:space="0" w:color="auto"/>
              <w:right w:val="single" w:sz="2" w:space="0" w:color="auto"/>
            </w:tcBorders>
            <w:vAlign w:val="center"/>
          </w:tcPr>
          <w:p w14:paraId="08477BDD" w14:textId="77777777" w:rsidR="00F73301" w:rsidRPr="00F73301" w:rsidRDefault="00F73301" w:rsidP="008C49B7">
            <w:pPr>
              <w:snapToGrid w:val="0"/>
              <w:rPr>
                <w:rFonts w:ascii="Times New Roman" w:eastAsia="等线" w:hAnsi="Times New Roman" w:cs="Times New Roman"/>
                <w:sz w:val="18"/>
                <w:szCs w:val="18"/>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96774B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0F4BF5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85D049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385A6C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95B707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3F7499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0CF326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7CE29C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B25C19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281635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bl>
    <w:p w14:paraId="54333453"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4B6B3316"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6A93B226"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50" w:name="_Toc989238"/>
      <w:r w:rsidRPr="00F73301">
        <w:rPr>
          <w:rFonts w:ascii="Times New Roman" w:eastAsia="宋体" w:hAnsi="Times New Roman" w:cs="Times New Roman"/>
          <w:b/>
          <w:bCs/>
          <w:sz w:val="24"/>
          <w:szCs w:val="24"/>
        </w:rPr>
        <w:t>(4) Information on related-party guarantee</w:t>
      </w:r>
      <w:bookmarkEnd w:id="350"/>
    </w:p>
    <w:p w14:paraId="3F264FDE"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was guarantor:</w:t>
      </w:r>
    </w:p>
    <w:p w14:paraId="3BD2DF5A"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318EEA0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CF422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Secured party</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129D6C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of guarantee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21F08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Start date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16440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End date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33C0B6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Execution accomplished or not</w:t>
            </w:r>
          </w:p>
        </w:tc>
      </w:tr>
    </w:tbl>
    <w:p w14:paraId="52B4E66F"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 Company was secured party</w:t>
      </w:r>
    </w:p>
    <w:p w14:paraId="00F923A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52FCEA4A"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D912F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Guarantor</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B92CA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of guarantee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4F3CEF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Start date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85816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End date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6602F2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Execution accomplished or not</w:t>
            </w:r>
          </w:p>
        </w:tc>
      </w:tr>
    </w:tbl>
    <w:p w14:paraId="4BB508E6"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w:t>
      </w:r>
    </w:p>
    <w:p w14:paraId="7B234E98"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148B24C4"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51" w:name="_Toc989239"/>
      <w:r w:rsidRPr="00F73301">
        <w:rPr>
          <w:rFonts w:ascii="Times New Roman" w:eastAsia="宋体" w:hAnsi="Times New Roman" w:cs="Times New Roman"/>
          <w:b/>
          <w:bCs/>
          <w:sz w:val="24"/>
          <w:szCs w:val="24"/>
        </w:rPr>
        <w:t>(5) Information on inter-bank lending of capital of related parties</w:t>
      </w:r>
      <w:bookmarkEnd w:id="351"/>
    </w:p>
    <w:p w14:paraId="390E3D4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221877DA"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52CBD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Related parties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624C7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1C8A4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Start date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F2D62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Maturity date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0DC3A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Remarks</w:t>
            </w:r>
          </w:p>
        </w:tc>
      </w:tr>
      <w:tr w:rsidR="00F73301" w:rsidRPr="00F73301" w14:paraId="54FC6947" w14:textId="77777777" w:rsidTr="0001208F">
        <w:trPr>
          <w:jc w:val="center"/>
        </w:trPr>
        <w:tc>
          <w:tcPr>
            <w:tcW w:w="9639"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1FBA9BE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Borrowing</w:t>
            </w:r>
          </w:p>
        </w:tc>
      </w:tr>
      <w:tr w:rsidR="00F73301" w:rsidRPr="00F73301" w14:paraId="5896020B" w14:textId="77777777" w:rsidTr="0001208F">
        <w:trPr>
          <w:jc w:val="center"/>
        </w:trPr>
        <w:tc>
          <w:tcPr>
            <w:tcW w:w="9639"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725F99A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Lending</w:t>
            </w:r>
          </w:p>
        </w:tc>
      </w:tr>
    </w:tbl>
    <w:p w14:paraId="0DD93558"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52" w:name="_Toc989240"/>
      <w:r w:rsidRPr="00F73301">
        <w:rPr>
          <w:rFonts w:ascii="Times New Roman" w:eastAsia="宋体" w:hAnsi="Times New Roman" w:cs="Times New Roman"/>
          <w:b/>
          <w:bCs/>
          <w:sz w:val="24"/>
          <w:szCs w:val="24"/>
        </w:rPr>
        <w:t>(6) Information on assets transfer and debt restructuring by related party</w:t>
      </w:r>
      <w:bookmarkEnd w:id="352"/>
    </w:p>
    <w:p w14:paraId="60E0202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40588507"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13F227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Related parties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E19C09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Content of transaction</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FF264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36BF9B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bl>
    <w:p w14:paraId="1EF42E51"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53" w:name="_Toc989241"/>
      <w:r w:rsidRPr="00F73301">
        <w:rPr>
          <w:rFonts w:ascii="Times New Roman" w:eastAsia="宋体" w:hAnsi="Times New Roman" w:cs="Times New Roman"/>
          <w:b/>
          <w:bCs/>
          <w:sz w:val="24"/>
          <w:szCs w:val="24"/>
        </w:rPr>
        <w:t>(7) Information on remuneration for key management personnel</w:t>
      </w:r>
      <w:bookmarkEnd w:id="353"/>
    </w:p>
    <w:p w14:paraId="18A1ABE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2C659334"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4D560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EAF7F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38280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235398B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4FCCFDD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Key management's emoluments</w:t>
            </w:r>
          </w:p>
        </w:tc>
        <w:tc>
          <w:tcPr>
            <w:tcW w:w="3213" w:type="dxa"/>
            <w:tcBorders>
              <w:top w:val="single" w:sz="2" w:space="0" w:color="auto"/>
              <w:left w:val="single" w:sz="2" w:space="0" w:color="auto"/>
              <w:bottom w:val="single" w:sz="2" w:space="0" w:color="auto"/>
              <w:right w:val="single" w:sz="2" w:space="0" w:color="auto"/>
            </w:tcBorders>
            <w:vAlign w:val="center"/>
          </w:tcPr>
          <w:p w14:paraId="06340E8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2,603,908.68</w:t>
            </w:r>
          </w:p>
        </w:tc>
        <w:tc>
          <w:tcPr>
            <w:tcW w:w="3213" w:type="dxa"/>
            <w:tcBorders>
              <w:top w:val="single" w:sz="2" w:space="0" w:color="auto"/>
              <w:left w:val="single" w:sz="2" w:space="0" w:color="auto"/>
              <w:bottom w:val="single" w:sz="2" w:space="0" w:color="auto"/>
              <w:right w:val="single" w:sz="2" w:space="0" w:color="auto"/>
            </w:tcBorders>
            <w:vAlign w:val="center"/>
          </w:tcPr>
          <w:p w14:paraId="161E4BE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3,525,503.09</w:t>
            </w:r>
          </w:p>
        </w:tc>
      </w:tr>
    </w:tbl>
    <w:p w14:paraId="59177C1A"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54" w:name="_Toc989242"/>
      <w:r w:rsidRPr="00F73301">
        <w:rPr>
          <w:rFonts w:ascii="Times New Roman" w:eastAsia="宋体" w:hAnsi="Times New Roman" w:cs="Times New Roman"/>
          <w:b/>
          <w:bCs/>
          <w:sz w:val="24"/>
          <w:szCs w:val="24"/>
        </w:rPr>
        <w:t>(8) Other related-party transactions</w:t>
      </w:r>
      <w:bookmarkEnd w:id="354"/>
    </w:p>
    <w:p w14:paraId="7500CB6E"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3A8940EF"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355" w:name="_Toc989243"/>
      <w:r w:rsidRPr="00F73301">
        <w:rPr>
          <w:rFonts w:ascii="Times New Roman" w:eastAsia="宋体" w:hAnsi="Times New Roman" w:cs="Times New Roman"/>
          <w:b/>
          <w:bCs/>
          <w:sz w:val="24"/>
          <w:szCs w:val="24"/>
        </w:rPr>
        <w:t>6. Accounts receivable and payable of related party</w:t>
      </w:r>
      <w:bookmarkEnd w:id="355"/>
    </w:p>
    <w:p w14:paraId="3E8CE1F9"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56" w:name="_Toc989244"/>
      <w:r w:rsidRPr="00F73301">
        <w:rPr>
          <w:rFonts w:ascii="Times New Roman" w:eastAsia="宋体" w:hAnsi="Times New Roman" w:cs="Times New Roman"/>
          <w:b/>
          <w:bCs/>
          <w:sz w:val="24"/>
          <w:szCs w:val="24"/>
        </w:rPr>
        <w:t>(1) Accounts receivable</w:t>
      </w:r>
      <w:bookmarkEnd w:id="356"/>
    </w:p>
    <w:p w14:paraId="3DC5DC6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7"/>
        <w:gridCol w:w="1606"/>
        <w:gridCol w:w="1606"/>
        <w:gridCol w:w="1607"/>
        <w:gridCol w:w="1606"/>
        <w:gridCol w:w="1607"/>
      </w:tblGrid>
      <w:tr w:rsidR="00F73301" w:rsidRPr="00F73301" w14:paraId="632B0114" w14:textId="77777777" w:rsidTr="0001208F">
        <w:trPr>
          <w:jc w:val="center"/>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AA65308"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Items</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CC49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Related parties</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D28B2A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D5BBB3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5007658A" w14:textId="77777777" w:rsidTr="0001208F">
        <w:trPr>
          <w:jc w:val="center"/>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3D54804" w14:textId="77777777" w:rsidR="00F73301" w:rsidRPr="00F73301" w:rsidRDefault="00F73301" w:rsidP="008C49B7">
            <w:pPr>
              <w:snapToGrid w:val="0"/>
              <w:rPr>
                <w:rFonts w:ascii="Times New Roman" w:eastAsia="等线" w:hAnsi="Times New Roman" w:cs="Times New Roman"/>
                <w:sz w:val="18"/>
                <w:szCs w:val="18"/>
              </w:rPr>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8387C93" w14:textId="77777777" w:rsidR="00F73301" w:rsidRPr="00F73301" w:rsidRDefault="00F73301" w:rsidP="008C49B7">
            <w:pPr>
              <w:snapToGrid w:val="0"/>
              <w:rPr>
                <w:rFonts w:ascii="Times New Roman" w:eastAsia="等线"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A0FD2F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C1C429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Bad debt provision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33368E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64D56C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Bad debt provision</w:t>
            </w:r>
          </w:p>
        </w:tc>
      </w:tr>
      <w:tr w:rsidR="00F73301" w:rsidRPr="00F73301" w14:paraId="799B648B"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46CF370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receivable</w:t>
            </w:r>
          </w:p>
        </w:tc>
        <w:tc>
          <w:tcPr>
            <w:tcW w:w="1606" w:type="dxa"/>
            <w:tcBorders>
              <w:top w:val="single" w:sz="2" w:space="0" w:color="auto"/>
              <w:left w:val="single" w:sz="2" w:space="0" w:color="auto"/>
              <w:bottom w:val="single" w:sz="2" w:space="0" w:color="auto"/>
              <w:right w:val="single" w:sz="2" w:space="0" w:color="auto"/>
            </w:tcBorders>
            <w:vAlign w:val="center"/>
          </w:tcPr>
          <w:p w14:paraId="167EBD7F" w14:textId="6DBADFDC" w:rsidR="00F73301" w:rsidRPr="00F73301" w:rsidRDefault="00F87479" w:rsidP="00F87479">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Jiangsu </w:t>
            </w:r>
            <w:proofErr w:type="spellStart"/>
            <w:r>
              <w:rPr>
                <w:rFonts w:ascii="Times New Roman" w:eastAsia="宋体" w:hAnsi="Times New Roman" w:cs="Times New Roman"/>
                <w:sz w:val="18"/>
                <w:szCs w:val="18"/>
              </w:rPr>
              <w:t>Huanxin</w:t>
            </w:r>
            <w:proofErr w:type="spellEnd"/>
          </w:p>
        </w:tc>
        <w:tc>
          <w:tcPr>
            <w:tcW w:w="1606" w:type="dxa"/>
            <w:tcBorders>
              <w:top w:val="single" w:sz="2" w:space="0" w:color="auto"/>
              <w:left w:val="single" w:sz="2" w:space="0" w:color="auto"/>
              <w:bottom w:val="single" w:sz="2" w:space="0" w:color="auto"/>
              <w:right w:val="single" w:sz="2" w:space="0" w:color="auto"/>
            </w:tcBorders>
            <w:vAlign w:val="center"/>
          </w:tcPr>
          <w:p w14:paraId="17385C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1,298,917.70</w:t>
            </w:r>
          </w:p>
        </w:tc>
        <w:tc>
          <w:tcPr>
            <w:tcW w:w="1606" w:type="dxa"/>
            <w:tcBorders>
              <w:top w:val="single" w:sz="2" w:space="0" w:color="auto"/>
              <w:left w:val="single" w:sz="2" w:space="0" w:color="auto"/>
              <w:bottom w:val="single" w:sz="2" w:space="0" w:color="auto"/>
              <w:right w:val="single" w:sz="2" w:space="0" w:color="auto"/>
            </w:tcBorders>
            <w:vAlign w:val="center"/>
          </w:tcPr>
          <w:p w14:paraId="6836BB3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64,945.89</w:t>
            </w:r>
          </w:p>
        </w:tc>
        <w:tc>
          <w:tcPr>
            <w:tcW w:w="1606" w:type="dxa"/>
            <w:tcBorders>
              <w:top w:val="single" w:sz="2" w:space="0" w:color="auto"/>
              <w:left w:val="single" w:sz="2" w:space="0" w:color="auto"/>
              <w:bottom w:val="single" w:sz="2" w:space="0" w:color="auto"/>
              <w:right w:val="single" w:sz="2" w:space="0" w:color="auto"/>
            </w:tcBorders>
            <w:vAlign w:val="center"/>
          </w:tcPr>
          <w:p w14:paraId="16B821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3,977,145.23</w:t>
            </w:r>
          </w:p>
        </w:tc>
        <w:tc>
          <w:tcPr>
            <w:tcW w:w="1606" w:type="dxa"/>
            <w:tcBorders>
              <w:top w:val="single" w:sz="2" w:space="0" w:color="auto"/>
              <w:left w:val="single" w:sz="2" w:space="0" w:color="auto"/>
              <w:bottom w:val="single" w:sz="2" w:space="0" w:color="auto"/>
              <w:right w:val="single" w:sz="2" w:space="0" w:color="auto"/>
            </w:tcBorders>
            <w:vAlign w:val="center"/>
          </w:tcPr>
          <w:p w14:paraId="30E5C3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198,857.26</w:t>
            </w:r>
          </w:p>
        </w:tc>
      </w:tr>
      <w:tr w:rsidR="00F73301" w:rsidRPr="00F73301" w14:paraId="76D62751"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596D20D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w:t>
            </w:r>
          </w:p>
        </w:tc>
        <w:tc>
          <w:tcPr>
            <w:tcW w:w="1606" w:type="dxa"/>
            <w:tcBorders>
              <w:top w:val="single" w:sz="2" w:space="0" w:color="auto"/>
              <w:left w:val="single" w:sz="2" w:space="0" w:color="auto"/>
              <w:bottom w:val="single" w:sz="2" w:space="0" w:color="auto"/>
              <w:right w:val="single" w:sz="2" w:space="0" w:color="auto"/>
            </w:tcBorders>
            <w:vAlign w:val="center"/>
          </w:tcPr>
          <w:p w14:paraId="4A915A6E" w14:textId="77777777" w:rsidR="00F73301" w:rsidRPr="00F73301" w:rsidRDefault="00F73301" w:rsidP="008C49B7">
            <w:pPr>
              <w:snapToGrid w:val="0"/>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546F9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1,298,917.70</w:t>
            </w:r>
          </w:p>
        </w:tc>
        <w:tc>
          <w:tcPr>
            <w:tcW w:w="1606" w:type="dxa"/>
            <w:tcBorders>
              <w:top w:val="single" w:sz="2" w:space="0" w:color="auto"/>
              <w:left w:val="single" w:sz="2" w:space="0" w:color="auto"/>
              <w:bottom w:val="single" w:sz="2" w:space="0" w:color="auto"/>
              <w:right w:val="single" w:sz="2" w:space="0" w:color="auto"/>
            </w:tcBorders>
            <w:vAlign w:val="center"/>
          </w:tcPr>
          <w:p w14:paraId="4EE3CD9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64,945.89</w:t>
            </w:r>
          </w:p>
        </w:tc>
        <w:tc>
          <w:tcPr>
            <w:tcW w:w="1606" w:type="dxa"/>
            <w:tcBorders>
              <w:top w:val="single" w:sz="2" w:space="0" w:color="auto"/>
              <w:left w:val="single" w:sz="2" w:space="0" w:color="auto"/>
              <w:bottom w:val="single" w:sz="2" w:space="0" w:color="auto"/>
              <w:right w:val="single" w:sz="2" w:space="0" w:color="auto"/>
            </w:tcBorders>
            <w:vAlign w:val="center"/>
          </w:tcPr>
          <w:p w14:paraId="1452D88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3,977,145.23</w:t>
            </w:r>
          </w:p>
        </w:tc>
        <w:tc>
          <w:tcPr>
            <w:tcW w:w="1606" w:type="dxa"/>
            <w:tcBorders>
              <w:top w:val="single" w:sz="2" w:space="0" w:color="auto"/>
              <w:left w:val="single" w:sz="2" w:space="0" w:color="auto"/>
              <w:bottom w:val="single" w:sz="2" w:space="0" w:color="auto"/>
              <w:right w:val="single" w:sz="2" w:space="0" w:color="auto"/>
            </w:tcBorders>
            <w:vAlign w:val="center"/>
          </w:tcPr>
          <w:p w14:paraId="4948544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198,857.26</w:t>
            </w:r>
          </w:p>
        </w:tc>
      </w:tr>
    </w:tbl>
    <w:p w14:paraId="10AF547A"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57" w:name="_Toc989245"/>
      <w:r w:rsidRPr="00F73301">
        <w:rPr>
          <w:rFonts w:ascii="Times New Roman" w:eastAsia="宋体" w:hAnsi="Times New Roman" w:cs="Times New Roman"/>
          <w:b/>
          <w:bCs/>
          <w:sz w:val="24"/>
          <w:szCs w:val="24"/>
        </w:rPr>
        <w:t>(2) Accounts payable</w:t>
      </w:r>
      <w:bookmarkEnd w:id="357"/>
    </w:p>
    <w:p w14:paraId="31487E2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2B3254ED"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51C49A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941667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Related parties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D04362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carrying balance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59D362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carrying balance</w:t>
            </w:r>
          </w:p>
        </w:tc>
      </w:tr>
      <w:tr w:rsidR="00F73301" w:rsidRPr="00F73301" w14:paraId="3B64B36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44F0BFC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payable</w:t>
            </w:r>
          </w:p>
        </w:tc>
        <w:tc>
          <w:tcPr>
            <w:tcW w:w="2410" w:type="dxa"/>
            <w:tcBorders>
              <w:top w:val="single" w:sz="2" w:space="0" w:color="auto"/>
              <w:left w:val="single" w:sz="2" w:space="0" w:color="auto"/>
              <w:bottom w:val="single" w:sz="2" w:space="0" w:color="auto"/>
              <w:right w:val="single" w:sz="2" w:space="0" w:color="auto"/>
            </w:tcBorders>
            <w:vAlign w:val="center"/>
          </w:tcPr>
          <w:p w14:paraId="62F9C0D5" w14:textId="26CF9E71" w:rsidR="00F73301" w:rsidRPr="00F73301" w:rsidRDefault="00D55EFF" w:rsidP="00D55EFF">
            <w:pPr>
              <w:snapToGrid w:val="0"/>
              <w:rPr>
                <w:rFonts w:ascii="Times New Roman" w:eastAsia="宋体" w:hAnsi="Times New Roman" w:cs="Times New Roman"/>
                <w:sz w:val="18"/>
                <w:szCs w:val="18"/>
              </w:rPr>
            </w:pPr>
            <w:r>
              <w:rPr>
                <w:rFonts w:ascii="Times New Roman" w:eastAsia="宋体" w:hAnsi="Times New Roman" w:cs="Times New Roman"/>
                <w:sz w:val="18"/>
                <w:szCs w:val="18"/>
              </w:rPr>
              <w:t>Jiangsu Applied Power</w:t>
            </w:r>
          </w:p>
        </w:tc>
        <w:tc>
          <w:tcPr>
            <w:tcW w:w="2410" w:type="dxa"/>
            <w:tcBorders>
              <w:top w:val="single" w:sz="2" w:space="0" w:color="auto"/>
              <w:left w:val="single" w:sz="2" w:space="0" w:color="auto"/>
              <w:bottom w:val="single" w:sz="2" w:space="0" w:color="auto"/>
              <w:right w:val="single" w:sz="2" w:space="0" w:color="auto"/>
            </w:tcBorders>
            <w:vAlign w:val="center"/>
          </w:tcPr>
          <w:p w14:paraId="2267842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5,424,032.04</w:t>
            </w:r>
          </w:p>
        </w:tc>
        <w:tc>
          <w:tcPr>
            <w:tcW w:w="2410" w:type="dxa"/>
            <w:tcBorders>
              <w:top w:val="single" w:sz="2" w:space="0" w:color="auto"/>
              <w:left w:val="single" w:sz="2" w:space="0" w:color="auto"/>
              <w:bottom w:val="single" w:sz="2" w:space="0" w:color="auto"/>
              <w:right w:val="single" w:sz="2" w:space="0" w:color="auto"/>
            </w:tcBorders>
            <w:vAlign w:val="center"/>
          </w:tcPr>
          <w:p w14:paraId="784648D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10,158,197.16</w:t>
            </w:r>
          </w:p>
        </w:tc>
      </w:tr>
      <w:tr w:rsidR="00F73301" w:rsidRPr="00F73301" w14:paraId="1E4FC573"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214232E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Accounts payable</w:t>
            </w:r>
          </w:p>
        </w:tc>
        <w:tc>
          <w:tcPr>
            <w:tcW w:w="2410" w:type="dxa"/>
            <w:tcBorders>
              <w:top w:val="single" w:sz="2" w:space="0" w:color="auto"/>
              <w:left w:val="single" w:sz="2" w:space="0" w:color="auto"/>
              <w:bottom w:val="single" w:sz="2" w:space="0" w:color="auto"/>
              <w:right w:val="single" w:sz="2" w:space="0" w:color="auto"/>
            </w:tcBorders>
            <w:vAlign w:val="center"/>
          </w:tcPr>
          <w:p w14:paraId="03A8B22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Dalian </w:t>
            </w:r>
            <w:proofErr w:type="spellStart"/>
            <w:r w:rsidRPr="00F73301">
              <w:rPr>
                <w:rFonts w:ascii="Times New Roman" w:eastAsia="宋体" w:hAnsi="Times New Roman" w:cs="Times New Roman"/>
                <w:sz w:val="18"/>
                <w:szCs w:val="18"/>
              </w:rPr>
              <w:t>Jiafeng</w:t>
            </w:r>
            <w:proofErr w:type="spellEnd"/>
          </w:p>
        </w:tc>
        <w:tc>
          <w:tcPr>
            <w:tcW w:w="2410" w:type="dxa"/>
            <w:tcBorders>
              <w:top w:val="single" w:sz="2" w:space="0" w:color="auto"/>
              <w:left w:val="single" w:sz="2" w:space="0" w:color="auto"/>
              <w:bottom w:val="single" w:sz="2" w:space="0" w:color="auto"/>
              <w:right w:val="single" w:sz="2" w:space="0" w:color="auto"/>
            </w:tcBorders>
            <w:vAlign w:val="center"/>
          </w:tcPr>
          <w:p w14:paraId="79C62B0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1,809,123.90</w:t>
            </w:r>
          </w:p>
        </w:tc>
        <w:tc>
          <w:tcPr>
            <w:tcW w:w="2410" w:type="dxa"/>
            <w:tcBorders>
              <w:top w:val="single" w:sz="2" w:space="0" w:color="auto"/>
              <w:left w:val="single" w:sz="2" w:space="0" w:color="auto"/>
              <w:bottom w:val="single" w:sz="2" w:space="0" w:color="auto"/>
              <w:right w:val="single" w:sz="2" w:space="0" w:color="auto"/>
            </w:tcBorders>
            <w:vAlign w:val="center"/>
          </w:tcPr>
          <w:p w14:paraId="426E58C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3,551,630.00</w:t>
            </w:r>
          </w:p>
        </w:tc>
      </w:tr>
      <w:tr w:rsidR="00F73301" w:rsidRPr="00F73301" w14:paraId="42BE8C6E"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75567E6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w:t>
            </w:r>
          </w:p>
        </w:tc>
        <w:tc>
          <w:tcPr>
            <w:tcW w:w="2410" w:type="dxa"/>
            <w:tcBorders>
              <w:top w:val="single" w:sz="2" w:space="0" w:color="auto"/>
              <w:left w:val="single" w:sz="2" w:space="0" w:color="auto"/>
              <w:bottom w:val="single" w:sz="2" w:space="0" w:color="auto"/>
              <w:right w:val="single" w:sz="2" w:space="0" w:color="auto"/>
            </w:tcBorders>
            <w:vAlign w:val="center"/>
          </w:tcPr>
          <w:p w14:paraId="123B3285"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40DE5B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7,233,155.94</w:t>
            </w:r>
          </w:p>
        </w:tc>
        <w:tc>
          <w:tcPr>
            <w:tcW w:w="2410" w:type="dxa"/>
            <w:tcBorders>
              <w:top w:val="single" w:sz="2" w:space="0" w:color="auto"/>
              <w:left w:val="single" w:sz="2" w:space="0" w:color="auto"/>
              <w:bottom w:val="single" w:sz="2" w:space="0" w:color="auto"/>
              <w:right w:val="single" w:sz="2" w:space="0" w:color="auto"/>
            </w:tcBorders>
            <w:vAlign w:val="center"/>
          </w:tcPr>
          <w:p w14:paraId="24328F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13,709,827.16</w:t>
            </w:r>
          </w:p>
        </w:tc>
      </w:tr>
      <w:tr w:rsidR="00F73301" w:rsidRPr="00F73301" w14:paraId="4CA54174"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231E34B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Notes payable</w:t>
            </w:r>
          </w:p>
        </w:tc>
        <w:tc>
          <w:tcPr>
            <w:tcW w:w="2410" w:type="dxa"/>
            <w:tcBorders>
              <w:top w:val="single" w:sz="2" w:space="0" w:color="auto"/>
              <w:left w:val="single" w:sz="2" w:space="0" w:color="auto"/>
              <w:bottom w:val="single" w:sz="2" w:space="0" w:color="auto"/>
              <w:right w:val="single" w:sz="2" w:space="0" w:color="auto"/>
            </w:tcBorders>
            <w:vAlign w:val="center"/>
          </w:tcPr>
          <w:p w14:paraId="58D97219" w14:textId="437C79C5" w:rsidR="00F73301" w:rsidRPr="00F73301" w:rsidRDefault="00D55EFF" w:rsidP="00D55EFF">
            <w:pPr>
              <w:snapToGrid w:val="0"/>
              <w:rPr>
                <w:rFonts w:ascii="Times New Roman" w:eastAsia="宋体" w:hAnsi="Times New Roman" w:cs="Times New Roman"/>
                <w:sz w:val="18"/>
                <w:szCs w:val="18"/>
              </w:rPr>
            </w:pPr>
            <w:r>
              <w:rPr>
                <w:rFonts w:ascii="Times New Roman" w:eastAsia="宋体" w:hAnsi="Times New Roman" w:cs="Times New Roman"/>
                <w:sz w:val="18"/>
                <w:szCs w:val="18"/>
              </w:rPr>
              <w:t>Jiangsu Applied Power</w:t>
            </w:r>
          </w:p>
        </w:tc>
        <w:tc>
          <w:tcPr>
            <w:tcW w:w="2410" w:type="dxa"/>
            <w:tcBorders>
              <w:top w:val="single" w:sz="2" w:space="0" w:color="auto"/>
              <w:left w:val="single" w:sz="2" w:space="0" w:color="auto"/>
              <w:bottom w:val="single" w:sz="2" w:space="0" w:color="auto"/>
              <w:right w:val="single" w:sz="2" w:space="0" w:color="auto"/>
            </w:tcBorders>
            <w:vAlign w:val="center"/>
          </w:tcPr>
          <w:p w14:paraId="28FB219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2,680,000.00</w:t>
            </w:r>
          </w:p>
        </w:tc>
        <w:tc>
          <w:tcPr>
            <w:tcW w:w="2410" w:type="dxa"/>
            <w:tcBorders>
              <w:top w:val="single" w:sz="2" w:space="0" w:color="auto"/>
              <w:left w:val="single" w:sz="2" w:space="0" w:color="auto"/>
              <w:bottom w:val="single" w:sz="2" w:space="0" w:color="auto"/>
              <w:right w:val="single" w:sz="2" w:space="0" w:color="auto"/>
            </w:tcBorders>
            <w:vAlign w:val="center"/>
          </w:tcPr>
          <w:p w14:paraId="4543948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2,160,000.00</w:t>
            </w:r>
          </w:p>
        </w:tc>
      </w:tr>
      <w:tr w:rsidR="00F73301" w:rsidRPr="00F73301" w14:paraId="5A79845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7ACCCD2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Subtotal</w:t>
            </w:r>
          </w:p>
        </w:tc>
        <w:tc>
          <w:tcPr>
            <w:tcW w:w="2410" w:type="dxa"/>
            <w:tcBorders>
              <w:top w:val="single" w:sz="2" w:space="0" w:color="auto"/>
              <w:left w:val="single" w:sz="2" w:space="0" w:color="auto"/>
              <w:bottom w:val="single" w:sz="2" w:space="0" w:color="auto"/>
              <w:right w:val="single" w:sz="2" w:space="0" w:color="auto"/>
            </w:tcBorders>
            <w:vAlign w:val="center"/>
          </w:tcPr>
          <w:p w14:paraId="1DE6BB4B" w14:textId="77777777" w:rsidR="00F73301" w:rsidRPr="00F73301" w:rsidRDefault="00F73301" w:rsidP="008C49B7">
            <w:pPr>
              <w:snapToGrid w:val="0"/>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7ABDE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2,680,000.00</w:t>
            </w:r>
          </w:p>
        </w:tc>
        <w:tc>
          <w:tcPr>
            <w:tcW w:w="2410" w:type="dxa"/>
            <w:tcBorders>
              <w:top w:val="single" w:sz="2" w:space="0" w:color="auto"/>
              <w:left w:val="single" w:sz="2" w:space="0" w:color="auto"/>
              <w:bottom w:val="single" w:sz="2" w:space="0" w:color="auto"/>
              <w:right w:val="single" w:sz="2" w:space="0" w:color="auto"/>
            </w:tcBorders>
            <w:vAlign w:val="center"/>
          </w:tcPr>
          <w:p w14:paraId="5779107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2,160,000.00</w:t>
            </w:r>
          </w:p>
        </w:tc>
      </w:tr>
    </w:tbl>
    <w:p w14:paraId="02D5DE2A"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358" w:name="_Toc989246"/>
      <w:r w:rsidRPr="00F73301">
        <w:rPr>
          <w:rFonts w:ascii="Times New Roman" w:eastAsia="宋体" w:hAnsi="Times New Roman" w:cs="Times New Roman"/>
          <w:b/>
          <w:bCs/>
          <w:sz w:val="24"/>
          <w:szCs w:val="24"/>
        </w:rPr>
        <w:t>7. Commitments of related party</w:t>
      </w:r>
      <w:bookmarkEnd w:id="358"/>
    </w:p>
    <w:p w14:paraId="61B8905A"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0086B527"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359" w:name="_Toc989247"/>
      <w:r w:rsidRPr="00F73301">
        <w:rPr>
          <w:rFonts w:ascii="Times New Roman" w:eastAsia="宋体" w:hAnsi="Times New Roman" w:cs="Times New Roman"/>
          <w:b/>
          <w:bCs/>
          <w:sz w:val="24"/>
          <w:szCs w:val="24"/>
        </w:rPr>
        <w:lastRenderedPageBreak/>
        <w:t>8. Other</w:t>
      </w:r>
      <w:bookmarkEnd w:id="359"/>
    </w:p>
    <w:p w14:paraId="4AE0453A"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18CC946C" w14:textId="77777777" w:rsidR="00F73301" w:rsidRPr="00F73301" w:rsidRDefault="00F73301" w:rsidP="00FA3F5C">
      <w:pPr>
        <w:keepNext/>
        <w:keepLines/>
        <w:snapToGrid w:val="0"/>
        <w:spacing w:beforeLines="50" w:before="156" w:afterLines="50" w:after="156"/>
        <w:jc w:val="both"/>
        <w:outlineLvl w:val="1"/>
        <w:rPr>
          <w:rFonts w:ascii="Times New Roman" w:eastAsia="宋体" w:hAnsi="Times New Roman" w:cs="Times New Roman"/>
          <w:b/>
          <w:bCs/>
          <w:sz w:val="24"/>
          <w:szCs w:val="24"/>
        </w:rPr>
      </w:pPr>
      <w:bookmarkStart w:id="360" w:name="_Toc989248"/>
      <w:r w:rsidRPr="00F73301">
        <w:rPr>
          <w:rFonts w:ascii="Times New Roman" w:eastAsia="宋体" w:hAnsi="Times New Roman" w:cs="Times New Roman"/>
          <w:b/>
          <w:bCs/>
          <w:sz w:val="24"/>
          <w:szCs w:val="24"/>
        </w:rPr>
        <w:t>XIII. Stock Payment</w:t>
      </w:r>
      <w:bookmarkEnd w:id="360"/>
    </w:p>
    <w:p w14:paraId="7B66A3B6"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361" w:name="_Toc989249"/>
      <w:r w:rsidRPr="00F73301">
        <w:rPr>
          <w:rFonts w:ascii="Times New Roman" w:eastAsia="宋体" w:hAnsi="Times New Roman" w:cs="Times New Roman"/>
          <w:b/>
          <w:bCs/>
          <w:sz w:val="24"/>
          <w:szCs w:val="24"/>
        </w:rPr>
        <w:t>1. The overall situation of share-based payments</w:t>
      </w:r>
      <w:bookmarkEnd w:id="361"/>
    </w:p>
    <w:p w14:paraId="2BA36AF7"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Not applicable</w:t>
      </w:r>
    </w:p>
    <w:p w14:paraId="374B444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3A241FA5"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D87E4C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equity instruments granted in the current period</w:t>
            </w:r>
          </w:p>
        </w:tc>
        <w:tc>
          <w:tcPr>
            <w:tcW w:w="4820" w:type="dxa"/>
            <w:tcBorders>
              <w:top w:val="single" w:sz="2" w:space="0" w:color="auto"/>
              <w:left w:val="single" w:sz="2" w:space="0" w:color="auto"/>
              <w:bottom w:val="single" w:sz="2" w:space="0" w:color="auto"/>
              <w:right w:val="single" w:sz="2" w:space="0" w:color="auto"/>
            </w:tcBorders>
            <w:vAlign w:val="center"/>
          </w:tcPr>
          <w:p w14:paraId="4160D04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0.00</w:t>
            </w:r>
          </w:p>
        </w:tc>
      </w:tr>
      <w:tr w:rsidR="00F73301" w:rsidRPr="00F73301" w14:paraId="4D2EC548"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6DED89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equity instruments vested in the current period</w:t>
            </w:r>
          </w:p>
        </w:tc>
        <w:tc>
          <w:tcPr>
            <w:tcW w:w="4820" w:type="dxa"/>
            <w:tcBorders>
              <w:top w:val="single" w:sz="2" w:space="0" w:color="auto"/>
              <w:left w:val="single" w:sz="2" w:space="0" w:color="auto"/>
              <w:bottom w:val="single" w:sz="2" w:space="0" w:color="auto"/>
              <w:right w:val="single" w:sz="2" w:space="0" w:color="auto"/>
            </w:tcBorders>
            <w:vAlign w:val="center"/>
          </w:tcPr>
          <w:p w14:paraId="7E2785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0.00</w:t>
            </w:r>
          </w:p>
        </w:tc>
      </w:tr>
      <w:tr w:rsidR="00F73301" w:rsidRPr="00F73301" w14:paraId="2B305BCF"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653327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equity instruments expired in the current period</w:t>
            </w:r>
          </w:p>
        </w:tc>
        <w:tc>
          <w:tcPr>
            <w:tcW w:w="4820" w:type="dxa"/>
            <w:tcBorders>
              <w:top w:val="single" w:sz="2" w:space="0" w:color="auto"/>
              <w:left w:val="single" w:sz="2" w:space="0" w:color="auto"/>
              <w:bottom w:val="single" w:sz="2" w:space="0" w:color="auto"/>
              <w:right w:val="single" w:sz="2" w:space="0" w:color="auto"/>
            </w:tcBorders>
            <w:vAlign w:val="center"/>
          </w:tcPr>
          <w:p w14:paraId="10C330B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0.00</w:t>
            </w:r>
          </w:p>
        </w:tc>
      </w:tr>
      <w:tr w:rsidR="00F73301" w:rsidRPr="00F73301" w14:paraId="58BEBFD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93ED5A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The range of exercise prices of share options outstanding at the end of the period and the remaining contractual life</w:t>
            </w:r>
          </w:p>
        </w:tc>
        <w:tc>
          <w:tcPr>
            <w:tcW w:w="4820" w:type="dxa"/>
            <w:tcBorders>
              <w:top w:val="single" w:sz="2" w:space="0" w:color="auto"/>
              <w:left w:val="single" w:sz="2" w:space="0" w:color="auto"/>
              <w:bottom w:val="single" w:sz="2" w:space="0" w:color="auto"/>
              <w:right w:val="single" w:sz="2" w:space="0" w:color="auto"/>
            </w:tcBorders>
            <w:vAlign w:val="center"/>
          </w:tcPr>
          <w:p w14:paraId="7A98915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Phase IV restricted share incentives: RMB35.52 per share; 12 months</w:t>
            </w:r>
          </w:p>
          <w:p w14:paraId="4A0C665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Phase III restricted share incentives: RMB24.68 per share; 2 months</w:t>
            </w:r>
          </w:p>
        </w:tc>
      </w:tr>
    </w:tbl>
    <w:p w14:paraId="28D289B4"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2FF975C4"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Phase IV restricted share incentives</w:t>
      </w:r>
    </w:p>
    <w:p w14:paraId="10279C99"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Pursuant to the resolution of the 18th meeting of the Fourth Board of Directors, the announcement on the resolution of the 19th meeting of the Fourth Board of Directors, and the resolution of the first extraordinary shareholders’ meeting of 2022, the Company granted restricted A shares (class II) of 800,000 shares (each with par value of RMB1) to 110 incentive objects including Chen </w:t>
      </w:r>
      <w:proofErr w:type="spellStart"/>
      <w:r w:rsidRPr="00F73301">
        <w:rPr>
          <w:rFonts w:ascii="Times New Roman" w:eastAsia="宋体" w:hAnsi="Times New Roman" w:cs="Times New Roman"/>
          <w:kern w:val="0"/>
          <w:sz w:val="24"/>
          <w:szCs w:val="24"/>
        </w:rPr>
        <w:t>Runsheng</w:t>
      </w:r>
      <w:proofErr w:type="spellEnd"/>
      <w:r w:rsidRPr="00F73301">
        <w:rPr>
          <w:rFonts w:ascii="Times New Roman" w:eastAsia="宋体" w:hAnsi="Times New Roman" w:cs="Times New Roman"/>
          <w:kern w:val="0"/>
          <w:sz w:val="24"/>
          <w:szCs w:val="24"/>
        </w:rPr>
        <w:t xml:space="preserve"> at a grant price of RMB35.52 per share. The first vesting period of class II restricted shares is from the first trading day after expiry of the 12-month period from the grant date to the last trading day of the 24-month period from the grant date, and the second vesting period is from the first trading day after expiry of the 24-month period from the grant date to the last trading day of the 36-month period from the grant date. Equity for each vesting period accounts for 50.00% of the total granted equity.</w:t>
      </w:r>
    </w:p>
    <w:p w14:paraId="5AAF5C7E"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Phase III restricted share incentives</w:t>
      </w:r>
    </w:p>
    <w:p w14:paraId="147C2F7C"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Pursuant to the resolution of the 10th meeting of the Fourth Board of Directors, the announcement on the resolution of the 12th meeting of the Fourth Board of Directors, and the resolution of the first extraordinary shareholders’ meeting of 2021, the Company granted restricted A shares (class II) of 3.55 million shares (each with par value of RMB1) to 589 incentive objects including Chen </w:t>
      </w:r>
      <w:proofErr w:type="spellStart"/>
      <w:r w:rsidRPr="00F73301">
        <w:rPr>
          <w:rFonts w:ascii="Times New Roman" w:eastAsia="宋体" w:hAnsi="Times New Roman" w:cs="Times New Roman"/>
          <w:kern w:val="0"/>
          <w:sz w:val="24"/>
          <w:szCs w:val="24"/>
        </w:rPr>
        <w:t>Runsheng</w:t>
      </w:r>
      <w:proofErr w:type="spellEnd"/>
      <w:r w:rsidRPr="00F73301">
        <w:rPr>
          <w:rFonts w:ascii="Times New Roman" w:eastAsia="宋体" w:hAnsi="Times New Roman" w:cs="Times New Roman"/>
          <w:kern w:val="0"/>
          <w:sz w:val="24"/>
          <w:szCs w:val="24"/>
        </w:rPr>
        <w:t xml:space="preserve"> at a grant price of RMB24.90 per share. The first vesting period of class II restricted shares is from the first trading day after expiry of the 12-month period from the grant date to the last trading day of the 24-month period from the grant date, and the second vesting period is from the first trading day after expiry of the 24-month period from the grant date to the last trading day of the 36-month period from the grant date. Equity for each vesting period accounts for 50.00% of the total granted equity. The vesting conditions for the first vesting period of the current period have been met.</w:t>
      </w:r>
    </w:p>
    <w:p w14:paraId="7B365620"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62" w:name="_Toc989250"/>
      <w:r w:rsidRPr="00F73301">
        <w:rPr>
          <w:rFonts w:ascii="Times New Roman" w:eastAsia="宋体" w:hAnsi="Times New Roman" w:cs="Times New Roman"/>
          <w:b/>
          <w:bCs/>
          <w:sz w:val="24"/>
          <w:szCs w:val="24"/>
        </w:rPr>
        <w:t>2. Equity-settled share-based payments</w:t>
      </w:r>
      <w:bookmarkEnd w:id="362"/>
    </w:p>
    <w:p w14:paraId="6E92FEA9"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Not applicable</w:t>
      </w:r>
    </w:p>
    <w:p w14:paraId="18408F1C"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2D15513E"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FBEE66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Determination method for grant-date fair value of equity instruments</w:t>
            </w:r>
          </w:p>
        </w:tc>
        <w:tc>
          <w:tcPr>
            <w:tcW w:w="4820" w:type="dxa"/>
            <w:tcBorders>
              <w:top w:val="single" w:sz="2" w:space="0" w:color="auto"/>
              <w:left w:val="single" w:sz="2" w:space="0" w:color="auto"/>
              <w:bottom w:val="single" w:sz="2" w:space="0" w:color="auto"/>
              <w:right w:val="single" w:sz="2" w:space="0" w:color="auto"/>
            </w:tcBorders>
            <w:vAlign w:val="center"/>
          </w:tcPr>
          <w:p w14:paraId="599B122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Black-Scholes model</w:t>
            </w:r>
          </w:p>
        </w:tc>
      </w:tr>
      <w:tr w:rsidR="00F73301" w:rsidRPr="00F73301" w14:paraId="3F1125E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5DA8BE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Determination method for the number of equity instruments expected to vest</w:t>
            </w:r>
          </w:p>
        </w:tc>
        <w:tc>
          <w:tcPr>
            <w:tcW w:w="4820" w:type="dxa"/>
            <w:tcBorders>
              <w:top w:val="single" w:sz="2" w:space="0" w:color="auto"/>
              <w:left w:val="single" w:sz="2" w:space="0" w:color="auto"/>
              <w:bottom w:val="single" w:sz="2" w:space="0" w:color="auto"/>
              <w:right w:val="single" w:sz="2" w:space="0" w:color="auto"/>
            </w:tcBorders>
            <w:vAlign w:val="center"/>
          </w:tcPr>
          <w:p w14:paraId="4C3597E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The number of outstanding shares at the balance sheet date</w:t>
            </w:r>
          </w:p>
        </w:tc>
      </w:tr>
      <w:tr w:rsidR="00F73301" w:rsidRPr="00F73301" w14:paraId="3081BFEF"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FE6DB9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Reasons for significant difference between the estimates in current period and preceding period</w:t>
            </w:r>
          </w:p>
        </w:tc>
        <w:tc>
          <w:tcPr>
            <w:tcW w:w="4820" w:type="dxa"/>
            <w:tcBorders>
              <w:top w:val="single" w:sz="2" w:space="0" w:color="auto"/>
              <w:left w:val="single" w:sz="2" w:space="0" w:color="auto"/>
              <w:bottom w:val="single" w:sz="2" w:space="0" w:color="auto"/>
              <w:right w:val="single" w:sz="2" w:space="0" w:color="auto"/>
            </w:tcBorders>
            <w:vAlign w:val="center"/>
          </w:tcPr>
          <w:p w14:paraId="2683FCB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None</w:t>
            </w:r>
          </w:p>
        </w:tc>
      </w:tr>
      <w:tr w:rsidR="00F73301" w:rsidRPr="00F73301" w14:paraId="00FE20C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CACFF0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Capital reserve accumulated due to equity-settled share-based </w:t>
            </w:r>
            <w:r w:rsidRPr="00F73301">
              <w:rPr>
                <w:rFonts w:ascii="Times New Roman" w:eastAsia="宋体" w:hAnsi="Times New Roman" w:cs="Times New Roman"/>
                <w:sz w:val="18"/>
                <w:szCs w:val="18"/>
              </w:rPr>
              <w:lastRenderedPageBreak/>
              <w:t>payment</w:t>
            </w:r>
          </w:p>
        </w:tc>
        <w:tc>
          <w:tcPr>
            <w:tcW w:w="4820" w:type="dxa"/>
            <w:tcBorders>
              <w:top w:val="single" w:sz="2" w:space="0" w:color="auto"/>
              <w:left w:val="single" w:sz="2" w:space="0" w:color="auto"/>
              <w:bottom w:val="single" w:sz="2" w:space="0" w:color="auto"/>
              <w:right w:val="single" w:sz="2" w:space="0" w:color="auto"/>
            </w:tcBorders>
            <w:vAlign w:val="center"/>
          </w:tcPr>
          <w:p w14:paraId="13C17D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82,925,268.75</w:t>
            </w:r>
          </w:p>
        </w:tc>
      </w:tr>
      <w:tr w:rsidR="00F73301" w:rsidRPr="00F73301" w14:paraId="308DD856"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03B184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 expenses incurred due to equity-settled share-based payment</w:t>
            </w:r>
          </w:p>
        </w:tc>
        <w:tc>
          <w:tcPr>
            <w:tcW w:w="4820" w:type="dxa"/>
            <w:tcBorders>
              <w:top w:val="single" w:sz="2" w:space="0" w:color="auto"/>
              <w:left w:val="single" w:sz="2" w:space="0" w:color="auto"/>
              <w:bottom w:val="single" w:sz="2" w:space="0" w:color="auto"/>
              <w:right w:val="single" w:sz="2" w:space="0" w:color="auto"/>
            </w:tcBorders>
            <w:vAlign w:val="center"/>
          </w:tcPr>
          <w:p w14:paraId="661E396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19,269,720.00</w:t>
            </w:r>
          </w:p>
        </w:tc>
      </w:tr>
    </w:tbl>
    <w:p w14:paraId="4CB13335"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45065B89"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According to the closing price on the grant date, the total grant-date fair value of the above-mentioned equity instruments calculated based on the grant-date fair value and grant price of the equity instruments amounts to RMB66,459,100. According to relevant provisions of </w:t>
      </w:r>
      <w:r w:rsidRPr="00F73301">
        <w:rPr>
          <w:rFonts w:ascii="Times New Roman" w:eastAsia="宋体" w:hAnsi="Times New Roman" w:cs="Times New Roman"/>
          <w:i/>
          <w:iCs/>
          <w:kern w:val="0"/>
          <w:sz w:val="24"/>
          <w:szCs w:val="24"/>
        </w:rPr>
        <w:t>CASBE - Stock Payment</w:t>
      </w:r>
      <w:r w:rsidRPr="00F73301">
        <w:rPr>
          <w:rFonts w:ascii="Times New Roman" w:eastAsia="宋体" w:hAnsi="Times New Roman" w:cs="Times New Roman"/>
          <w:kern w:val="0"/>
          <w:sz w:val="24"/>
          <w:szCs w:val="24"/>
        </w:rPr>
        <w:t>, expenses related to share-based payment shall be amortized over the vesting periods of class II restricted shares. In the current period, employee services in exchange for equity-settled share-based payment amount to RMB8,613,720.00, with RMB63,996,300.00 included into accumulated costs and expenses, and capital reserve increased accordingly.</w:t>
      </w:r>
    </w:p>
    <w:p w14:paraId="1FF26419"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According to the closing price on the grant date, the total grant-date fair value of the above-mentioned equity instruments calculated based on the grant-date fair value and grant price of the equity instruments amounts to RMB22,061,300. According to relevant provisions of </w:t>
      </w:r>
      <w:r w:rsidRPr="00F73301">
        <w:rPr>
          <w:rFonts w:ascii="Times New Roman" w:eastAsia="宋体" w:hAnsi="Times New Roman" w:cs="Times New Roman"/>
          <w:i/>
          <w:iCs/>
          <w:kern w:val="0"/>
          <w:sz w:val="24"/>
          <w:szCs w:val="24"/>
        </w:rPr>
        <w:t>CASBE - Stock Payment</w:t>
      </w:r>
      <w:r w:rsidRPr="00F73301">
        <w:rPr>
          <w:rFonts w:ascii="Times New Roman" w:eastAsia="宋体" w:hAnsi="Times New Roman" w:cs="Times New Roman"/>
          <w:kern w:val="0"/>
          <w:sz w:val="24"/>
          <w:szCs w:val="24"/>
        </w:rPr>
        <w:t>, expenses related to share-based payment shall be amortized over the vesting periods of class II restricted shares. In the current period, employee services in exchange for equity-settled share-based payment amount to RMB10,656,000.00, with RMB18,928,968.75 included into accumulated costs and expenses, and capital reserve increased accordingly.</w:t>
      </w:r>
    </w:p>
    <w:p w14:paraId="30F6D7F1"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63" w:name="_Toc989251"/>
      <w:r w:rsidRPr="00F73301">
        <w:rPr>
          <w:rFonts w:ascii="Times New Roman" w:eastAsia="宋体" w:hAnsi="Times New Roman" w:cs="Times New Roman"/>
          <w:b/>
          <w:bCs/>
          <w:sz w:val="24"/>
          <w:szCs w:val="24"/>
        </w:rPr>
        <w:t>3. Cash-settled share-based payments</w:t>
      </w:r>
      <w:bookmarkEnd w:id="363"/>
    </w:p>
    <w:p w14:paraId="08C70F9F"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Applicable   Not applicable</w:t>
      </w:r>
      <w:r w:rsidRPr="00F73301">
        <w:rPr>
          <w:rFonts w:ascii="Times New Roman" w:eastAsia="宋体" w:hAnsi="Times New Roman" w:cs="Times New Roman"/>
          <w:sz w:val="24"/>
          <w:szCs w:val="24"/>
        </w:rPr>
        <w:sym w:font="Wingdings 2" w:char="F052"/>
      </w:r>
    </w:p>
    <w:p w14:paraId="57AEFCC9"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64" w:name="_Toc989252"/>
      <w:r w:rsidRPr="00F73301">
        <w:rPr>
          <w:rFonts w:ascii="Times New Roman" w:eastAsia="宋体" w:hAnsi="Times New Roman" w:cs="Times New Roman"/>
          <w:b/>
          <w:bCs/>
          <w:sz w:val="24"/>
          <w:szCs w:val="24"/>
        </w:rPr>
        <w:t>4. Modification and termination of share-based payments</w:t>
      </w:r>
      <w:bookmarkEnd w:id="364"/>
    </w:p>
    <w:p w14:paraId="6F24836F"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Pursuant to the resolution of the 21st Meeting of the Fourth Board of Directors, the Company adjusted the grant price of Phase III restricted share incentives from RMB24.90 per share to RMB24.68 per share according to the 2021 Annual Equity Distribution Plan.</w:t>
      </w:r>
    </w:p>
    <w:p w14:paraId="66D3200D"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65" w:name="_Toc989253"/>
      <w:r w:rsidRPr="00F73301">
        <w:rPr>
          <w:rFonts w:ascii="Times New Roman" w:eastAsia="宋体" w:hAnsi="Times New Roman" w:cs="Times New Roman"/>
          <w:b/>
          <w:bCs/>
          <w:sz w:val="24"/>
          <w:szCs w:val="24"/>
        </w:rPr>
        <w:t xml:space="preserve">5. Others </w:t>
      </w:r>
      <w:bookmarkEnd w:id="365"/>
    </w:p>
    <w:p w14:paraId="4C816DC3"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1C5C9FEB" w14:textId="77777777" w:rsidR="00F73301" w:rsidRPr="00F73301" w:rsidRDefault="00F73301" w:rsidP="00FA3F5C">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366" w:name="_Toc989254"/>
      <w:r w:rsidRPr="00F73301">
        <w:rPr>
          <w:rFonts w:ascii="Times New Roman" w:eastAsia="宋体" w:hAnsi="Times New Roman" w:cs="Times New Roman"/>
          <w:b/>
          <w:bCs/>
          <w:sz w:val="24"/>
          <w:szCs w:val="24"/>
        </w:rPr>
        <w:t>XIV. Commitments and Contingency</w:t>
      </w:r>
      <w:bookmarkEnd w:id="366"/>
    </w:p>
    <w:p w14:paraId="286FB830"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67" w:name="_Toc989255"/>
      <w:r w:rsidRPr="00F73301">
        <w:rPr>
          <w:rFonts w:ascii="Times New Roman" w:eastAsia="宋体" w:hAnsi="Times New Roman" w:cs="Times New Roman"/>
          <w:b/>
          <w:bCs/>
          <w:sz w:val="24"/>
          <w:szCs w:val="24"/>
        </w:rPr>
        <w:t>1. Significant commitments</w:t>
      </w:r>
      <w:bookmarkEnd w:id="367"/>
    </w:p>
    <w:p w14:paraId="60F9DDA8"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Significant commitments on balance sheet date</w:t>
      </w:r>
    </w:p>
    <w:p w14:paraId="6CB95629"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At the balance sheet date, letters of guarantee issued by the Company totaled RMB200,000,000.00, and letters of credit issued totaled USD708,800.00.</w:t>
      </w:r>
    </w:p>
    <w:p w14:paraId="1D2B64D3"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68" w:name="_Toc989256"/>
      <w:r w:rsidRPr="00F73301">
        <w:rPr>
          <w:rFonts w:ascii="Times New Roman" w:eastAsia="宋体" w:hAnsi="Times New Roman" w:cs="Times New Roman"/>
          <w:b/>
          <w:bCs/>
          <w:sz w:val="24"/>
          <w:szCs w:val="24"/>
        </w:rPr>
        <w:t>2. Contingency</w:t>
      </w:r>
      <w:bookmarkEnd w:id="368"/>
    </w:p>
    <w:p w14:paraId="24C7A4EE"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69" w:name="_Toc989257"/>
      <w:r w:rsidRPr="00F73301">
        <w:rPr>
          <w:rFonts w:ascii="Times New Roman" w:eastAsia="宋体" w:hAnsi="Times New Roman" w:cs="Times New Roman"/>
          <w:b/>
          <w:bCs/>
          <w:sz w:val="24"/>
          <w:szCs w:val="24"/>
        </w:rPr>
        <w:t>(1) Significant contingency on balance sheet date</w:t>
      </w:r>
      <w:bookmarkEnd w:id="369"/>
    </w:p>
    <w:p w14:paraId="1A0F13BB"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4F74BB88"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70" w:name="_Toc989258"/>
      <w:r w:rsidRPr="00F73301">
        <w:rPr>
          <w:rFonts w:ascii="Times New Roman" w:eastAsia="宋体" w:hAnsi="Times New Roman" w:cs="Times New Roman"/>
          <w:b/>
          <w:bCs/>
          <w:sz w:val="24"/>
          <w:szCs w:val="24"/>
        </w:rPr>
        <w:t>(2) Explanation shall be given even if there is no significant contingency for the Company to disclose</w:t>
      </w:r>
      <w:bookmarkEnd w:id="370"/>
    </w:p>
    <w:p w14:paraId="4C4B3F00"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was no significant contingency in the Company to disclose.</w:t>
      </w:r>
    </w:p>
    <w:p w14:paraId="7DBCC0BB"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71" w:name="_Toc989259"/>
      <w:r w:rsidRPr="00F73301">
        <w:rPr>
          <w:rFonts w:ascii="Times New Roman" w:eastAsia="宋体" w:hAnsi="Times New Roman" w:cs="Times New Roman"/>
          <w:b/>
          <w:bCs/>
          <w:sz w:val="24"/>
          <w:szCs w:val="24"/>
        </w:rPr>
        <w:t>3. Others</w:t>
      </w:r>
      <w:bookmarkEnd w:id="371"/>
    </w:p>
    <w:p w14:paraId="4D3ACF0D"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64260F25" w14:textId="77777777" w:rsidR="00F73301" w:rsidRPr="00F73301" w:rsidRDefault="00F73301" w:rsidP="00FA3F5C">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372" w:name="_Toc989260"/>
      <w:r w:rsidRPr="00F73301">
        <w:rPr>
          <w:rFonts w:ascii="Times New Roman" w:eastAsia="宋体" w:hAnsi="Times New Roman" w:cs="Times New Roman"/>
          <w:b/>
          <w:bCs/>
          <w:sz w:val="24"/>
          <w:szCs w:val="24"/>
        </w:rPr>
        <w:lastRenderedPageBreak/>
        <w:t>XV. Events after Balance Sheet Date</w:t>
      </w:r>
      <w:bookmarkEnd w:id="372"/>
    </w:p>
    <w:p w14:paraId="231FEE16"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73" w:name="_Toc989261"/>
      <w:r w:rsidRPr="00F73301">
        <w:rPr>
          <w:rFonts w:ascii="Times New Roman" w:eastAsia="宋体" w:hAnsi="Times New Roman" w:cs="Times New Roman"/>
          <w:b/>
          <w:bCs/>
          <w:sz w:val="24"/>
          <w:szCs w:val="24"/>
        </w:rPr>
        <w:t>1. Significant non-adjustment matters</w:t>
      </w:r>
      <w:bookmarkEnd w:id="373"/>
    </w:p>
    <w:p w14:paraId="1AFD8E32"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1FA8143A"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C44E39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9DBE00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Contents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32DA9D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Influence number to the financial position and operating results</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9DA1D6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 of inability to estimate influence number</w:t>
            </w:r>
          </w:p>
        </w:tc>
      </w:tr>
    </w:tbl>
    <w:p w14:paraId="0E1CB3F0"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74" w:name="_Toc989262"/>
      <w:r w:rsidRPr="00F73301">
        <w:rPr>
          <w:rFonts w:ascii="Times New Roman" w:eastAsia="宋体" w:hAnsi="Times New Roman" w:cs="Times New Roman"/>
          <w:b/>
          <w:bCs/>
          <w:sz w:val="24"/>
          <w:szCs w:val="24"/>
        </w:rPr>
        <w:t xml:space="preserve">2. Profit distribution </w:t>
      </w:r>
      <w:bookmarkEnd w:id="374"/>
    </w:p>
    <w:p w14:paraId="7E2FC0DF"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09071E2E"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75" w:name="_Toc989263"/>
      <w:r w:rsidRPr="00F73301">
        <w:rPr>
          <w:rFonts w:ascii="Times New Roman" w:eastAsia="宋体" w:hAnsi="Times New Roman" w:cs="Times New Roman"/>
          <w:b/>
          <w:bCs/>
          <w:sz w:val="24"/>
          <w:szCs w:val="24"/>
        </w:rPr>
        <w:t>3. Sales return</w:t>
      </w:r>
      <w:bookmarkEnd w:id="375"/>
    </w:p>
    <w:p w14:paraId="711D853A"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148CFCF5"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76" w:name="_Toc989264"/>
      <w:r w:rsidRPr="00F73301">
        <w:rPr>
          <w:rFonts w:ascii="Times New Roman" w:eastAsia="宋体" w:hAnsi="Times New Roman" w:cs="Times New Roman"/>
          <w:b/>
          <w:bCs/>
          <w:sz w:val="24"/>
          <w:szCs w:val="24"/>
        </w:rPr>
        <w:t>4. Notes to other events after balance sheet date</w:t>
      </w:r>
      <w:bookmarkEnd w:id="376"/>
    </w:p>
    <w:p w14:paraId="7FD0F248"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0DEBA59A" w14:textId="77777777" w:rsidR="00F73301" w:rsidRPr="00F73301" w:rsidRDefault="00F73301" w:rsidP="00FA3F5C">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377" w:name="_Toc989265"/>
      <w:r w:rsidRPr="00F73301">
        <w:rPr>
          <w:rFonts w:ascii="Times New Roman" w:eastAsia="宋体" w:hAnsi="Times New Roman" w:cs="Times New Roman"/>
          <w:b/>
          <w:bCs/>
          <w:sz w:val="24"/>
          <w:szCs w:val="24"/>
        </w:rPr>
        <w:t>XVI. Other Significant Events</w:t>
      </w:r>
      <w:bookmarkEnd w:id="377"/>
    </w:p>
    <w:p w14:paraId="243CB8B9"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78" w:name="_Toc989266"/>
      <w:r w:rsidRPr="00F73301">
        <w:rPr>
          <w:rFonts w:ascii="Times New Roman" w:eastAsia="宋体" w:hAnsi="Times New Roman" w:cs="Times New Roman"/>
          <w:b/>
          <w:bCs/>
          <w:sz w:val="24"/>
          <w:szCs w:val="24"/>
        </w:rPr>
        <w:t>1. The accounting errors correction in previous period</w:t>
      </w:r>
      <w:bookmarkEnd w:id="378"/>
    </w:p>
    <w:p w14:paraId="48875864"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79" w:name="_Toc989267"/>
      <w:r w:rsidRPr="00F73301">
        <w:rPr>
          <w:rFonts w:ascii="Times New Roman" w:eastAsia="宋体" w:hAnsi="Times New Roman" w:cs="Times New Roman"/>
          <w:b/>
          <w:bCs/>
          <w:sz w:val="24"/>
          <w:szCs w:val="24"/>
        </w:rPr>
        <w:t>(1) Retrospective restatement</w:t>
      </w:r>
      <w:bookmarkEnd w:id="379"/>
    </w:p>
    <w:p w14:paraId="0B56BD3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3E1355F5"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9A6768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Content</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1DB05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Processing program</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8030C9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 of the influenced report items during comparison period</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07CB6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Accumulative impact</w:t>
            </w:r>
          </w:p>
        </w:tc>
      </w:tr>
    </w:tbl>
    <w:p w14:paraId="06D5778B"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80" w:name="_Toc989268"/>
      <w:r w:rsidRPr="00F73301">
        <w:rPr>
          <w:rFonts w:ascii="Times New Roman" w:eastAsia="宋体" w:hAnsi="Times New Roman" w:cs="Times New Roman"/>
          <w:b/>
          <w:bCs/>
          <w:sz w:val="24"/>
          <w:szCs w:val="24"/>
        </w:rPr>
        <w:t>(2) Prospective application</w:t>
      </w:r>
      <w:bookmarkEnd w:id="380"/>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7424181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57B35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Content</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86D72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Processing program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F9043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 for adopting prospective application</w:t>
            </w:r>
          </w:p>
        </w:tc>
      </w:tr>
    </w:tbl>
    <w:p w14:paraId="27BCD6DD"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81" w:name="_Toc989269"/>
      <w:r w:rsidRPr="00F73301">
        <w:rPr>
          <w:rFonts w:ascii="Times New Roman" w:eastAsia="宋体" w:hAnsi="Times New Roman" w:cs="Times New Roman"/>
          <w:b/>
          <w:bCs/>
          <w:sz w:val="24"/>
          <w:szCs w:val="24"/>
        </w:rPr>
        <w:t>2. Debt Restructuring</w:t>
      </w:r>
      <w:bookmarkEnd w:id="381"/>
    </w:p>
    <w:p w14:paraId="128BB23B"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14414206"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82" w:name="_Toc989270"/>
      <w:r w:rsidRPr="00F73301">
        <w:rPr>
          <w:rFonts w:ascii="Times New Roman" w:eastAsia="宋体" w:hAnsi="Times New Roman" w:cs="Times New Roman"/>
          <w:b/>
          <w:bCs/>
          <w:sz w:val="24"/>
          <w:szCs w:val="24"/>
        </w:rPr>
        <w:t>3. Assets replacement</w:t>
      </w:r>
      <w:bookmarkEnd w:id="382"/>
    </w:p>
    <w:p w14:paraId="268EA9B0"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83" w:name="_Toc989271"/>
      <w:r w:rsidRPr="00F73301">
        <w:rPr>
          <w:rFonts w:ascii="Times New Roman" w:eastAsia="宋体" w:hAnsi="Times New Roman" w:cs="Times New Roman"/>
          <w:b/>
          <w:bCs/>
          <w:sz w:val="24"/>
          <w:szCs w:val="24"/>
        </w:rPr>
        <w:t>(1) Non-monetary assets exchange</w:t>
      </w:r>
      <w:bookmarkEnd w:id="383"/>
    </w:p>
    <w:p w14:paraId="4A107FAE"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75FF1FA2"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84" w:name="_Toc989272"/>
      <w:r w:rsidRPr="00F73301">
        <w:rPr>
          <w:rFonts w:ascii="Times New Roman" w:eastAsia="宋体" w:hAnsi="Times New Roman" w:cs="Times New Roman"/>
          <w:b/>
          <w:bCs/>
          <w:sz w:val="24"/>
          <w:szCs w:val="24"/>
        </w:rPr>
        <w:t>(2) Other assets replacement</w:t>
      </w:r>
      <w:bookmarkEnd w:id="384"/>
    </w:p>
    <w:p w14:paraId="576D797E"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1DDAC97E"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85" w:name="_Toc989273"/>
      <w:r w:rsidRPr="00F73301">
        <w:rPr>
          <w:rFonts w:ascii="Times New Roman" w:eastAsia="宋体" w:hAnsi="Times New Roman" w:cs="Times New Roman"/>
          <w:b/>
          <w:bCs/>
          <w:sz w:val="24"/>
          <w:szCs w:val="24"/>
        </w:rPr>
        <w:t>4. Pension plans</w:t>
      </w:r>
      <w:bookmarkEnd w:id="385"/>
    </w:p>
    <w:p w14:paraId="6D709DC5"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146174D9"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86" w:name="_Toc989274"/>
      <w:r w:rsidRPr="00F73301">
        <w:rPr>
          <w:rFonts w:ascii="Times New Roman" w:eastAsia="宋体" w:hAnsi="Times New Roman" w:cs="Times New Roman"/>
          <w:b/>
          <w:bCs/>
          <w:sz w:val="24"/>
          <w:szCs w:val="24"/>
        </w:rPr>
        <w:t>5. Discontinued operations</w:t>
      </w:r>
      <w:bookmarkEnd w:id="386"/>
    </w:p>
    <w:p w14:paraId="79CC5A0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43078C2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A7D84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1FF12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Revenue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5745B0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Fees</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D6372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Profit before tax</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40D96F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Income tax expenses</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864B75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AD9DD31" w14:textId="5750B4D4" w:rsidR="00F73301" w:rsidRPr="00F73301" w:rsidRDefault="00F73301" w:rsidP="00C0474E">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Profit from discontinued operations attributable to owners of the </w:t>
            </w:r>
            <w:r w:rsidRPr="00F73301">
              <w:rPr>
                <w:rFonts w:ascii="Times New Roman" w:eastAsia="宋体" w:hAnsi="Times New Roman" w:cs="Times New Roman"/>
                <w:sz w:val="18"/>
                <w:szCs w:val="18"/>
              </w:rPr>
              <w:lastRenderedPageBreak/>
              <w:t xml:space="preserve">parent </w:t>
            </w:r>
            <w:r w:rsidR="00C0474E">
              <w:rPr>
                <w:rFonts w:ascii="Times New Roman" w:eastAsia="宋体" w:hAnsi="Times New Roman" w:cs="Times New Roman"/>
                <w:sz w:val="18"/>
                <w:szCs w:val="18"/>
              </w:rPr>
              <w:t>c</w:t>
            </w:r>
            <w:r w:rsidRPr="00F73301">
              <w:rPr>
                <w:rFonts w:ascii="Times New Roman" w:eastAsia="宋体" w:hAnsi="Times New Roman" w:cs="Times New Roman"/>
                <w:sz w:val="18"/>
                <w:szCs w:val="18"/>
              </w:rPr>
              <w:t>ompany</w:t>
            </w:r>
          </w:p>
        </w:tc>
      </w:tr>
    </w:tbl>
    <w:p w14:paraId="13995911"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lastRenderedPageBreak/>
        <w:t>Other notes</w:t>
      </w:r>
    </w:p>
    <w:p w14:paraId="7CFA95EC"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34567A24"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87" w:name="_Toc989275"/>
      <w:r w:rsidRPr="00F73301">
        <w:rPr>
          <w:rFonts w:ascii="Times New Roman" w:eastAsia="宋体" w:hAnsi="Times New Roman" w:cs="Times New Roman"/>
          <w:b/>
          <w:bCs/>
          <w:sz w:val="24"/>
          <w:szCs w:val="24"/>
        </w:rPr>
        <w:t>6. Segment information</w:t>
      </w:r>
      <w:bookmarkEnd w:id="387"/>
    </w:p>
    <w:p w14:paraId="74989735"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88" w:name="_Toc989276"/>
      <w:r w:rsidRPr="00F73301">
        <w:rPr>
          <w:rFonts w:ascii="Times New Roman" w:eastAsia="宋体" w:hAnsi="Times New Roman" w:cs="Times New Roman"/>
          <w:b/>
          <w:bCs/>
          <w:sz w:val="24"/>
          <w:szCs w:val="24"/>
        </w:rPr>
        <w:t>(1) Determination basis and accounting policies of reportable segment</w:t>
      </w:r>
      <w:bookmarkEnd w:id="388"/>
    </w:p>
    <w:p w14:paraId="1CEDCE2F"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and is mainly engaged in R&amp;D, manufacturing and sales of discrete semiconductor products such as semiconductor components, semiconductor chips and semiconductor silicon wafers. The Company will treat this business as a whole for management, evaluation, and performance assessment. As a result, the Company is not required to disclose segment information. Please refer to section V ii. 1 of notes to the financial statements for details on operating revenue and operating costs classified by product and region.</w:t>
      </w:r>
    </w:p>
    <w:p w14:paraId="6A0B9359"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89" w:name="_Toc989277"/>
      <w:r w:rsidRPr="00F73301">
        <w:rPr>
          <w:rFonts w:ascii="Times New Roman" w:eastAsia="宋体" w:hAnsi="Times New Roman" w:cs="Times New Roman"/>
          <w:b/>
          <w:bCs/>
          <w:sz w:val="24"/>
          <w:szCs w:val="24"/>
        </w:rPr>
        <w:t>(2) The financial information of reportable segment</w:t>
      </w:r>
      <w:bookmarkEnd w:id="389"/>
    </w:p>
    <w:p w14:paraId="5920B8F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4A40283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64AA5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1928" w:type="dxa"/>
            <w:tcBorders>
              <w:top w:val="single" w:sz="2" w:space="0" w:color="auto"/>
              <w:left w:val="single" w:sz="2" w:space="0" w:color="auto"/>
              <w:bottom w:val="single" w:sz="2" w:space="0" w:color="auto"/>
              <w:right w:val="single" w:sz="2" w:space="0" w:color="auto"/>
            </w:tcBorders>
            <w:vAlign w:val="center"/>
          </w:tcPr>
          <w:p w14:paraId="4BE7471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Domestic</w:t>
            </w:r>
          </w:p>
        </w:tc>
        <w:tc>
          <w:tcPr>
            <w:tcW w:w="1928" w:type="dxa"/>
            <w:tcBorders>
              <w:top w:val="single" w:sz="2" w:space="0" w:color="auto"/>
              <w:left w:val="single" w:sz="2" w:space="0" w:color="auto"/>
              <w:bottom w:val="single" w:sz="2" w:space="0" w:color="auto"/>
              <w:right w:val="single" w:sz="2" w:space="0" w:color="auto"/>
            </w:tcBorders>
            <w:vAlign w:val="center"/>
          </w:tcPr>
          <w:p w14:paraId="029FDA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Overseas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9DD90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Offset among segment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9C178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r>
      <w:tr w:rsidR="00F73301" w:rsidRPr="00F73301" w14:paraId="6ABD114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1A5344A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Operating revenue</w:t>
            </w:r>
          </w:p>
        </w:tc>
        <w:tc>
          <w:tcPr>
            <w:tcW w:w="1928" w:type="dxa"/>
            <w:tcBorders>
              <w:top w:val="single" w:sz="2" w:space="0" w:color="auto"/>
              <w:left w:val="single" w:sz="2" w:space="0" w:color="auto"/>
              <w:bottom w:val="single" w:sz="2" w:space="0" w:color="auto"/>
              <w:right w:val="single" w:sz="2" w:space="0" w:color="auto"/>
            </w:tcBorders>
            <w:vAlign w:val="center"/>
          </w:tcPr>
          <w:p w14:paraId="077CCA5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1,985,604,059.05</w:t>
            </w:r>
          </w:p>
        </w:tc>
        <w:tc>
          <w:tcPr>
            <w:tcW w:w="1928" w:type="dxa"/>
            <w:tcBorders>
              <w:top w:val="single" w:sz="2" w:space="0" w:color="auto"/>
              <w:left w:val="single" w:sz="2" w:space="0" w:color="auto"/>
              <w:bottom w:val="single" w:sz="2" w:space="0" w:color="auto"/>
              <w:right w:val="single" w:sz="2" w:space="0" w:color="auto"/>
            </w:tcBorders>
            <w:vAlign w:val="center"/>
          </w:tcPr>
          <w:p w14:paraId="596BADD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639,138,327.57</w:t>
            </w:r>
          </w:p>
        </w:tc>
        <w:tc>
          <w:tcPr>
            <w:tcW w:w="1928" w:type="dxa"/>
            <w:tcBorders>
              <w:top w:val="single" w:sz="2" w:space="0" w:color="auto"/>
              <w:left w:val="single" w:sz="2" w:space="0" w:color="auto"/>
              <w:bottom w:val="single" w:sz="2" w:space="0" w:color="auto"/>
              <w:right w:val="single" w:sz="2" w:space="0" w:color="auto"/>
            </w:tcBorders>
            <w:vAlign w:val="center"/>
          </w:tcPr>
          <w:p w14:paraId="12F823F0"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4876F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2,624,742,386.62</w:t>
            </w:r>
          </w:p>
        </w:tc>
      </w:tr>
      <w:tr w:rsidR="00F73301" w:rsidRPr="00F73301" w14:paraId="1E70DFC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724CC7C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Operating cost</w:t>
            </w:r>
          </w:p>
        </w:tc>
        <w:tc>
          <w:tcPr>
            <w:tcW w:w="1928" w:type="dxa"/>
            <w:tcBorders>
              <w:top w:val="single" w:sz="2" w:space="0" w:color="auto"/>
              <w:left w:val="single" w:sz="2" w:space="0" w:color="auto"/>
              <w:bottom w:val="single" w:sz="2" w:space="0" w:color="auto"/>
              <w:right w:val="single" w:sz="2" w:space="0" w:color="auto"/>
            </w:tcBorders>
            <w:vAlign w:val="center"/>
          </w:tcPr>
          <w:p w14:paraId="0699083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1,434,543,143.22</w:t>
            </w:r>
          </w:p>
        </w:tc>
        <w:tc>
          <w:tcPr>
            <w:tcW w:w="1928" w:type="dxa"/>
            <w:tcBorders>
              <w:top w:val="single" w:sz="2" w:space="0" w:color="auto"/>
              <w:left w:val="single" w:sz="2" w:space="0" w:color="auto"/>
              <w:bottom w:val="single" w:sz="2" w:space="0" w:color="auto"/>
              <w:right w:val="single" w:sz="2" w:space="0" w:color="auto"/>
            </w:tcBorders>
            <w:vAlign w:val="center"/>
          </w:tcPr>
          <w:p w14:paraId="37DD07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389,982,604.10</w:t>
            </w:r>
          </w:p>
        </w:tc>
        <w:tc>
          <w:tcPr>
            <w:tcW w:w="1928" w:type="dxa"/>
            <w:tcBorders>
              <w:top w:val="single" w:sz="2" w:space="0" w:color="auto"/>
              <w:left w:val="single" w:sz="2" w:space="0" w:color="auto"/>
              <w:bottom w:val="single" w:sz="2" w:space="0" w:color="auto"/>
              <w:right w:val="single" w:sz="2" w:space="0" w:color="auto"/>
            </w:tcBorders>
            <w:vAlign w:val="center"/>
          </w:tcPr>
          <w:p w14:paraId="3579DF83"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F8077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1,824,525,747.32</w:t>
            </w:r>
          </w:p>
        </w:tc>
      </w:tr>
    </w:tbl>
    <w:p w14:paraId="6B462584"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90" w:name="_Toc989278"/>
      <w:r w:rsidRPr="00F73301">
        <w:rPr>
          <w:rFonts w:ascii="Times New Roman" w:eastAsia="宋体" w:hAnsi="Times New Roman" w:cs="Times New Roman"/>
          <w:b/>
          <w:bCs/>
          <w:sz w:val="24"/>
          <w:szCs w:val="24"/>
        </w:rPr>
        <w:t>(3) If the Company has no reporting segments, or if it is unable to disclose the total assets and liabilities of each reporting segment, the reasons shall be explained.</w:t>
      </w:r>
      <w:bookmarkEnd w:id="390"/>
    </w:p>
    <w:p w14:paraId="7D1A30AF"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70CAB3F7"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91" w:name="_Toc989279"/>
      <w:r w:rsidRPr="00F73301">
        <w:rPr>
          <w:rFonts w:ascii="Times New Roman" w:eastAsia="宋体" w:hAnsi="Times New Roman" w:cs="Times New Roman"/>
          <w:b/>
          <w:bCs/>
          <w:sz w:val="24"/>
          <w:szCs w:val="24"/>
        </w:rPr>
        <w:t>(4) Other notes</w:t>
      </w:r>
      <w:bookmarkEnd w:id="391"/>
    </w:p>
    <w:p w14:paraId="2B66F774"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282FE633"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92" w:name="_Toc989280"/>
      <w:r w:rsidRPr="00F73301">
        <w:rPr>
          <w:rFonts w:ascii="Times New Roman" w:eastAsia="宋体" w:hAnsi="Times New Roman" w:cs="Times New Roman"/>
          <w:b/>
          <w:bCs/>
          <w:sz w:val="24"/>
          <w:szCs w:val="24"/>
        </w:rPr>
        <w:t>7. Other significant transactions and events with influence on investors’ decision-making</w:t>
      </w:r>
      <w:bookmarkEnd w:id="392"/>
    </w:p>
    <w:p w14:paraId="509EE9D3"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7B7D1F70"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93" w:name="_Toc989281"/>
      <w:r w:rsidRPr="00F73301">
        <w:rPr>
          <w:rFonts w:ascii="Times New Roman" w:eastAsia="宋体" w:hAnsi="Times New Roman" w:cs="Times New Roman"/>
          <w:b/>
          <w:bCs/>
          <w:sz w:val="24"/>
          <w:szCs w:val="24"/>
        </w:rPr>
        <w:t>8. Other</w:t>
      </w:r>
      <w:bookmarkEnd w:id="393"/>
    </w:p>
    <w:p w14:paraId="0A2BF916"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1. The Company as lessee</w:t>
      </w:r>
    </w:p>
    <w:p w14:paraId="53FF7BF6"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 xml:space="preserve">(1) Please refer to Note V </w:t>
      </w:r>
      <w:proofErr w:type="spellStart"/>
      <w:r w:rsidRPr="00F73301">
        <w:rPr>
          <w:rFonts w:ascii="Times New Roman" w:eastAsia="宋体" w:hAnsi="Times New Roman" w:cs="Times New Roman"/>
          <w:kern w:val="0"/>
          <w:sz w:val="24"/>
          <w:szCs w:val="24"/>
        </w:rPr>
        <w:t>i</w:t>
      </w:r>
      <w:proofErr w:type="spellEnd"/>
      <w:r w:rsidRPr="00F73301">
        <w:rPr>
          <w:rFonts w:ascii="Times New Roman" w:eastAsia="宋体" w:hAnsi="Times New Roman" w:cs="Times New Roman"/>
          <w:kern w:val="0"/>
          <w:sz w:val="24"/>
          <w:szCs w:val="24"/>
        </w:rPr>
        <w:t>. 14 of notes to the financial statements for details on right-of-use assets.</w:t>
      </w:r>
    </w:p>
    <w:p w14:paraId="0B436456"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(2) Please refer to Note III xxvi. of notes to the financial statements for details on the Company’s accounting policies on short-term leases and leases for which the underlying asset is of low value. The amounts of short-term leases and low-value asset leases included into profit or loss are as follows:</w:t>
      </w:r>
    </w:p>
    <w:tbl>
      <w:tblPr>
        <w:tblW w:w="5000" w:type="pct"/>
        <w:jc w:val="center"/>
        <w:tblCellMar>
          <w:left w:w="57" w:type="dxa"/>
          <w:right w:w="57" w:type="dxa"/>
        </w:tblCellMar>
        <w:tblLook w:val="04A0" w:firstRow="1" w:lastRow="0" w:firstColumn="1" w:lastColumn="0" w:noHBand="0" w:noVBand="1"/>
      </w:tblPr>
      <w:tblGrid>
        <w:gridCol w:w="5291"/>
        <w:gridCol w:w="2164"/>
        <w:gridCol w:w="2162"/>
      </w:tblGrid>
      <w:tr w:rsidR="00F73301" w:rsidRPr="00F73301" w14:paraId="23E50AD2" w14:textId="77777777" w:rsidTr="0001208F">
        <w:trPr>
          <w:jc w:val="center"/>
        </w:trPr>
        <w:tc>
          <w:tcPr>
            <w:tcW w:w="27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CF429" w14:textId="77777777" w:rsidR="00F73301" w:rsidRPr="00F73301" w:rsidRDefault="00F73301" w:rsidP="008C49B7">
            <w:pPr>
              <w:widowControl/>
              <w:snapToGrid w:val="0"/>
              <w:ind w:firstLine="21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Item</w:t>
            </w:r>
          </w:p>
        </w:tc>
        <w:tc>
          <w:tcPr>
            <w:tcW w:w="1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DF9638"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Amount in current period</w:t>
            </w:r>
          </w:p>
        </w:tc>
        <w:tc>
          <w:tcPr>
            <w:tcW w:w="1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2CD92"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Amount in the same period last year</w:t>
            </w:r>
          </w:p>
        </w:tc>
      </w:tr>
      <w:tr w:rsidR="00F73301" w:rsidRPr="00F73301" w14:paraId="7AA62A2D" w14:textId="77777777" w:rsidTr="0001208F">
        <w:trPr>
          <w:jc w:val="center"/>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CD748"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Expense relating to short-term leases</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BB973"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  2,699,498.51</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657E1"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1,620,580.61</w:t>
            </w:r>
          </w:p>
        </w:tc>
      </w:tr>
      <w:tr w:rsidR="00F73301" w:rsidRPr="00F73301" w14:paraId="62E0277F" w14:textId="77777777" w:rsidTr="0001208F">
        <w:trPr>
          <w:jc w:val="center"/>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CFF93" w14:textId="77777777" w:rsidR="00F73301" w:rsidRPr="00F73301" w:rsidRDefault="00F73301" w:rsidP="008C49B7">
            <w:pPr>
              <w:widowControl/>
              <w:snapToGrid w:val="0"/>
              <w:ind w:firstLine="21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Total</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594BA"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2,699,498.51</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773BE"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1,620,580.61</w:t>
            </w:r>
          </w:p>
        </w:tc>
      </w:tr>
    </w:tbl>
    <w:p w14:paraId="4C582D6B"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(3) Profit or loss and cash flows related to leases</w:t>
      </w:r>
    </w:p>
    <w:tbl>
      <w:tblPr>
        <w:tblW w:w="5000" w:type="pct"/>
        <w:jc w:val="center"/>
        <w:tblCellMar>
          <w:left w:w="57" w:type="dxa"/>
          <w:right w:w="57" w:type="dxa"/>
        </w:tblCellMar>
        <w:tblLook w:val="04A0" w:firstRow="1" w:lastRow="0" w:firstColumn="1" w:lastColumn="0" w:noHBand="0" w:noVBand="1"/>
      </w:tblPr>
      <w:tblGrid>
        <w:gridCol w:w="5291"/>
        <w:gridCol w:w="2164"/>
        <w:gridCol w:w="2162"/>
      </w:tblGrid>
      <w:tr w:rsidR="00F73301" w:rsidRPr="00F73301" w14:paraId="23C18351" w14:textId="77777777" w:rsidTr="0001208F">
        <w:trPr>
          <w:jc w:val="center"/>
        </w:trPr>
        <w:tc>
          <w:tcPr>
            <w:tcW w:w="27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D34C7E" w14:textId="77777777" w:rsidR="00F73301" w:rsidRPr="00F73301" w:rsidRDefault="00F73301" w:rsidP="008C49B7">
            <w:pPr>
              <w:widowControl/>
              <w:snapToGrid w:val="0"/>
              <w:ind w:firstLine="21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Item</w:t>
            </w:r>
          </w:p>
        </w:tc>
        <w:tc>
          <w:tcPr>
            <w:tcW w:w="1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2A69D2"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Amount in current period</w:t>
            </w:r>
          </w:p>
        </w:tc>
        <w:tc>
          <w:tcPr>
            <w:tcW w:w="1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2A746F" w14:textId="77777777" w:rsidR="00F73301" w:rsidRPr="00F73301" w:rsidRDefault="00F73301" w:rsidP="008C49B7">
            <w:pPr>
              <w:widowControl/>
              <w:snapToGrid w:val="0"/>
              <w:jc w:val="center"/>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Amount in the same period last year</w:t>
            </w:r>
          </w:p>
        </w:tc>
      </w:tr>
      <w:tr w:rsidR="00F73301" w:rsidRPr="00F73301" w14:paraId="4B3511EC" w14:textId="77777777" w:rsidTr="0001208F">
        <w:trPr>
          <w:jc w:val="center"/>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D78EB8"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Interest expenses on lease liabilities</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B0FF2"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694,174.35</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F8E5B"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166,697.23</w:t>
            </w:r>
          </w:p>
        </w:tc>
      </w:tr>
      <w:tr w:rsidR="00F73301" w:rsidRPr="00F73301" w14:paraId="6AD856AC" w14:textId="77777777" w:rsidTr="0001208F">
        <w:trPr>
          <w:jc w:val="center"/>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D74E8" w14:textId="77777777" w:rsidR="00F73301" w:rsidRPr="00F73301" w:rsidRDefault="00F73301" w:rsidP="008C49B7">
            <w:pPr>
              <w:widowControl/>
              <w:snapToGrid w:val="0"/>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Total cash outflows related to leases</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AD0E2"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6,325,931.16</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C3774" w14:textId="77777777" w:rsidR="00F73301" w:rsidRPr="00F73301" w:rsidRDefault="00F73301" w:rsidP="008C49B7">
            <w:pPr>
              <w:widowControl/>
              <w:snapToGrid w:val="0"/>
              <w:jc w:val="right"/>
              <w:rPr>
                <w:rFonts w:ascii="Times New Roman" w:eastAsia="宋体" w:hAnsi="Times New Roman" w:cs="Times New Roman"/>
                <w:kern w:val="0"/>
                <w:sz w:val="18"/>
                <w:szCs w:val="18"/>
              </w:rPr>
            </w:pPr>
            <w:r w:rsidRPr="00F73301">
              <w:rPr>
                <w:rFonts w:ascii="Times New Roman" w:eastAsia="宋体" w:hAnsi="Times New Roman" w:cs="Times New Roman"/>
                <w:kern w:val="0"/>
                <w:sz w:val="18"/>
                <w:szCs w:val="18"/>
              </w:rPr>
              <w:t>1,636,936.70</w:t>
            </w:r>
          </w:p>
        </w:tc>
      </w:tr>
    </w:tbl>
    <w:p w14:paraId="0881F64E" w14:textId="77777777" w:rsidR="00F73301" w:rsidRPr="00F73301" w:rsidRDefault="00F73301" w:rsidP="00FA3F5C">
      <w:pPr>
        <w:widowControl/>
        <w:adjustRightInd w:val="0"/>
        <w:snapToGrid w:val="0"/>
        <w:spacing w:beforeLines="50" w:before="156" w:afterLines="50" w:after="156"/>
        <w:jc w:val="both"/>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(4) Please refer to Note VIII ii. of notes to the financial statements for details on maturity analysis of lease liabilities and related liquidity risk management.</w:t>
      </w:r>
    </w:p>
    <w:p w14:paraId="7CD2BE83" w14:textId="77777777" w:rsidR="00F73301" w:rsidRPr="00F73301" w:rsidRDefault="00F73301" w:rsidP="00FA3F5C">
      <w:pPr>
        <w:keepNext/>
        <w:keepLines/>
        <w:adjustRightInd w:val="0"/>
        <w:snapToGrid w:val="0"/>
        <w:spacing w:beforeLines="50" w:before="156" w:afterLines="50" w:after="156"/>
        <w:jc w:val="both"/>
        <w:outlineLvl w:val="1"/>
        <w:rPr>
          <w:rFonts w:ascii="Times New Roman" w:eastAsia="宋体" w:hAnsi="Times New Roman" w:cs="Times New Roman"/>
          <w:b/>
          <w:bCs/>
          <w:sz w:val="24"/>
          <w:szCs w:val="24"/>
        </w:rPr>
      </w:pPr>
      <w:bookmarkStart w:id="394" w:name="_Toc989282"/>
      <w:r w:rsidRPr="00F73301">
        <w:rPr>
          <w:rFonts w:ascii="Times New Roman" w:eastAsia="宋体" w:hAnsi="Times New Roman" w:cs="Times New Roman"/>
          <w:b/>
          <w:bCs/>
          <w:sz w:val="24"/>
          <w:szCs w:val="24"/>
        </w:rPr>
        <w:lastRenderedPageBreak/>
        <w:t>XVII. Notes to Main Items in the Financial Statements of the Parent Company</w:t>
      </w:r>
      <w:bookmarkEnd w:id="394"/>
    </w:p>
    <w:p w14:paraId="3BE39FED"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395" w:name="_Toc989283"/>
      <w:r w:rsidRPr="00F73301">
        <w:rPr>
          <w:rFonts w:ascii="Times New Roman" w:eastAsia="宋体" w:hAnsi="Times New Roman" w:cs="Times New Roman"/>
          <w:b/>
          <w:bCs/>
          <w:sz w:val="24"/>
          <w:szCs w:val="24"/>
        </w:rPr>
        <w:t>1. Accounts receivable</w:t>
      </w:r>
      <w:bookmarkEnd w:id="395"/>
    </w:p>
    <w:p w14:paraId="267B1626"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396" w:name="_Toc989284"/>
      <w:r w:rsidRPr="00F73301">
        <w:rPr>
          <w:rFonts w:ascii="Times New Roman" w:eastAsia="宋体" w:hAnsi="Times New Roman" w:cs="Times New Roman"/>
          <w:b/>
          <w:bCs/>
          <w:sz w:val="24"/>
          <w:szCs w:val="24"/>
        </w:rPr>
        <w:t>(1) Accounts receivable listed by category</w:t>
      </w:r>
      <w:bookmarkEnd w:id="396"/>
    </w:p>
    <w:p w14:paraId="5B0D7B7B"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F73301" w:rsidRPr="00FA3F5C" w14:paraId="032410AB" w14:textId="77777777" w:rsidTr="0001208F">
        <w:trPr>
          <w:jc w:val="center"/>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47090F"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Type</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53334317"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Closing balance</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70A19D7F"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Opening balance</w:t>
            </w:r>
          </w:p>
        </w:tc>
      </w:tr>
      <w:tr w:rsidR="00F73301" w:rsidRPr="00FA3F5C" w14:paraId="75CF624B" w14:textId="77777777" w:rsidTr="0001208F">
        <w:trPr>
          <w:jc w:val="center"/>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9A02998" w14:textId="77777777" w:rsidR="00F73301" w:rsidRPr="00FA3F5C" w:rsidRDefault="00F73301" w:rsidP="008C49B7">
            <w:pPr>
              <w:snapToGrid w:val="0"/>
              <w:rPr>
                <w:rFonts w:ascii="Times New Roman" w:eastAsia="等线" w:hAnsi="Times New Roman" w:cs="Times New Roman"/>
                <w:sz w:val="16"/>
                <w:szCs w:val="16"/>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0686BE9"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Carrying balance</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100A343"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Bad debt provision</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83FE1C"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Carrying amount</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2B8378F"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Carrying balance</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0385C6A"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Bad debt provision</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D3E304B"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Carrying amount</w:t>
            </w:r>
          </w:p>
        </w:tc>
      </w:tr>
      <w:tr w:rsidR="00F73301" w:rsidRPr="00FA3F5C" w14:paraId="38248748" w14:textId="77777777" w:rsidTr="0001208F">
        <w:trPr>
          <w:jc w:val="center"/>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FAC82A"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2DDC2E8"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08B1B57"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Percentage</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A4C960"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3CE2983"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Withdrawal proportion</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71B64EC"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0FBA5DF"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174AD6"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Percentage</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59E99BA"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Amount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07C784B"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Withdrawal proportion</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21FC710" w14:textId="77777777" w:rsidR="00F73301" w:rsidRPr="00FA3F5C" w:rsidRDefault="00F73301" w:rsidP="008C49B7">
            <w:pPr>
              <w:snapToGrid w:val="0"/>
              <w:rPr>
                <w:rFonts w:ascii="Times New Roman" w:eastAsia="等线" w:hAnsi="Times New Roman" w:cs="Times New Roman"/>
                <w:sz w:val="16"/>
                <w:szCs w:val="16"/>
              </w:rPr>
            </w:pPr>
          </w:p>
        </w:tc>
      </w:tr>
      <w:tr w:rsidR="00F73301" w:rsidRPr="00FA3F5C" w14:paraId="6C3125CE"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C66A028" w14:textId="77777777" w:rsidR="00F73301" w:rsidRPr="00FA3F5C" w:rsidRDefault="00F73301" w:rsidP="008C49B7">
            <w:pPr>
              <w:snapToGrid w:val="0"/>
              <w:ind w:firstLineChars="100" w:firstLine="160"/>
              <w:rPr>
                <w:rFonts w:ascii="Times New Roman" w:eastAsia="宋体" w:hAnsi="Times New Roman" w:cs="Times New Roman"/>
                <w:sz w:val="16"/>
                <w:szCs w:val="16"/>
              </w:rPr>
            </w:pPr>
            <w:r w:rsidRPr="00FA3F5C">
              <w:rPr>
                <w:rFonts w:ascii="Times New Roman" w:eastAsia="宋体" w:hAnsi="Times New Roman" w:cs="Times New Roman"/>
                <w:sz w:val="16"/>
                <w:szCs w:val="16"/>
              </w:rPr>
              <w:t>Of which:</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81B17EA"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2714FBE"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00CD66F"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78B32D3"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229929B"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FEA28DD"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52E76FB"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2976D14"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6404F56"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C30837C" w14:textId="77777777" w:rsidR="00F73301" w:rsidRPr="00FA3F5C" w:rsidRDefault="00F73301" w:rsidP="008C49B7">
            <w:pPr>
              <w:snapToGrid w:val="0"/>
              <w:rPr>
                <w:rFonts w:ascii="Times New Roman" w:eastAsia="等线" w:hAnsi="Times New Roman" w:cs="Times New Roman"/>
                <w:sz w:val="16"/>
                <w:szCs w:val="16"/>
              </w:rPr>
            </w:pPr>
          </w:p>
        </w:tc>
      </w:tr>
      <w:tr w:rsidR="00F73301" w:rsidRPr="00FA3F5C" w14:paraId="64FE0AA5"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484301F" w14:textId="77777777" w:rsidR="00F73301" w:rsidRPr="00FA3F5C" w:rsidRDefault="00F73301" w:rsidP="008C49B7">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rPr>
              <w:t>Accounts receivable of bad debt provision withdrawn by groups</w:t>
            </w:r>
          </w:p>
        </w:tc>
        <w:tc>
          <w:tcPr>
            <w:tcW w:w="876" w:type="dxa"/>
            <w:tcBorders>
              <w:top w:val="single" w:sz="2" w:space="0" w:color="auto"/>
              <w:left w:val="single" w:sz="2" w:space="0" w:color="auto"/>
              <w:bottom w:val="single" w:sz="2" w:space="0" w:color="auto"/>
              <w:right w:val="single" w:sz="2" w:space="0" w:color="auto"/>
            </w:tcBorders>
            <w:vAlign w:val="center"/>
          </w:tcPr>
          <w:p w14:paraId="4E36D879"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1,513,919,965.35</w:t>
            </w:r>
          </w:p>
        </w:tc>
        <w:tc>
          <w:tcPr>
            <w:tcW w:w="876" w:type="dxa"/>
            <w:tcBorders>
              <w:top w:val="single" w:sz="2" w:space="0" w:color="auto"/>
              <w:left w:val="single" w:sz="2" w:space="0" w:color="auto"/>
              <w:bottom w:val="single" w:sz="2" w:space="0" w:color="auto"/>
              <w:right w:val="single" w:sz="2" w:space="0" w:color="auto"/>
            </w:tcBorders>
            <w:vAlign w:val="center"/>
          </w:tcPr>
          <w:p w14:paraId="291B712D"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1CD18F4F"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87,787,806.28</w:t>
            </w:r>
          </w:p>
        </w:tc>
        <w:tc>
          <w:tcPr>
            <w:tcW w:w="876" w:type="dxa"/>
            <w:tcBorders>
              <w:top w:val="single" w:sz="2" w:space="0" w:color="auto"/>
              <w:left w:val="single" w:sz="2" w:space="0" w:color="auto"/>
              <w:bottom w:val="single" w:sz="2" w:space="0" w:color="auto"/>
              <w:right w:val="single" w:sz="2" w:space="0" w:color="auto"/>
            </w:tcBorders>
            <w:vAlign w:val="center"/>
          </w:tcPr>
          <w:p w14:paraId="2E7399E0"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5.80%</w:t>
            </w:r>
          </w:p>
        </w:tc>
        <w:tc>
          <w:tcPr>
            <w:tcW w:w="876" w:type="dxa"/>
            <w:tcBorders>
              <w:top w:val="single" w:sz="2" w:space="0" w:color="auto"/>
              <w:left w:val="single" w:sz="2" w:space="0" w:color="auto"/>
              <w:bottom w:val="single" w:sz="2" w:space="0" w:color="auto"/>
              <w:right w:val="single" w:sz="2" w:space="0" w:color="auto"/>
            </w:tcBorders>
            <w:vAlign w:val="center"/>
          </w:tcPr>
          <w:p w14:paraId="23E2E77D"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1,426,132,159.07</w:t>
            </w:r>
          </w:p>
        </w:tc>
        <w:tc>
          <w:tcPr>
            <w:tcW w:w="876" w:type="dxa"/>
            <w:tcBorders>
              <w:top w:val="single" w:sz="2" w:space="0" w:color="auto"/>
              <w:left w:val="single" w:sz="2" w:space="0" w:color="auto"/>
              <w:bottom w:val="single" w:sz="2" w:space="0" w:color="auto"/>
              <w:right w:val="single" w:sz="2" w:space="0" w:color="auto"/>
            </w:tcBorders>
            <w:vAlign w:val="center"/>
          </w:tcPr>
          <w:p w14:paraId="52D77A54"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999,478,962.06</w:t>
            </w:r>
          </w:p>
        </w:tc>
        <w:tc>
          <w:tcPr>
            <w:tcW w:w="876" w:type="dxa"/>
            <w:tcBorders>
              <w:top w:val="single" w:sz="2" w:space="0" w:color="auto"/>
              <w:left w:val="single" w:sz="2" w:space="0" w:color="auto"/>
              <w:bottom w:val="single" w:sz="2" w:space="0" w:color="auto"/>
              <w:right w:val="single" w:sz="2" w:space="0" w:color="auto"/>
            </w:tcBorders>
            <w:vAlign w:val="center"/>
          </w:tcPr>
          <w:p w14:paraId="2F7CD324"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2BCD1C2"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52,199,216.53</w:t>
            </w:r>
          </w:p>
        </w:tc>
        <w:tc>
          <w:tcPr>
            <w:tcW w:w="876" w:type="dxa"/>
            <w:tcBorders>
              <w:top w:val="single" w:sz="2" w:space="0" w:color="auto"/>
              <w:left w:val="single" w:sz="2" w:space="0" w:color="auto"/>
              <w:bottom w:val="single" w:sz="2" w:space="0" w:color="auto"/>
              <w:right w:val="single" w:sz="2" w:space="0" w:color="auto"/>
            </w:tcBorders>
            <w:vAlign w:val="center"/>
          </w:tcPr>
          <w:p w14:paraId="00C7FCD6"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5.22%</w:t>
            </w:r>
          </w:p>
        </w:tc>
        <w:tc>
          <w:tcPr>
            <w:tcW w:w="876" w:type="dxa"/>
            <w:tcBorders>
              <w:top w:val="single" w:sz="2" w:space="0" w:color="auto"/>
              <w:left w:val="single" w:sz="2" w:space="0" w:color="auto"/>
              <w:bottom w:val="single" w:sz="2" w:space="0" w:color="auto"/>
              <w:right w:val="single" w:sz="2" w:space="0" w:color="auto"/>
            </w:tcBorders>
            <w:vAlign w:val="center"/>
          </w:tcPr>
          <w:p w14:paraId="133B4CCD"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947,279,745.53</w:t>
            </w:r>
          </w:p>
        </w:tc>
      </w:tr>
      <w:tr w:rsidR="00F73301" w:rsidRPr="00FA3F5C" w14:paraId="360ACD39"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0EB4DCD" w14:textId="77777777" w:rsidR="00F73301" w:rsidRPr="00FA3F5C" w:rsidRDefault="00F73301" w:rsidP="008C49B7">
            <w:pPr>
              <w:snapToGrid w:val="0"/>
              <w:ind w:firstLineChars="100" w:firstLine="160"/>
              <w:rPr>
                <w:rFonts w:ascii="Times New Roman" w:eastAsia="宋体" w:hAnsi="Times New Roman" w:cs="Times New Roman"/>
                <w:sz w:val="16"/>
                <w:szCs w:val="16"/>
              </w:rPr>
            </w:pPr>
            <w:r w:rsidRPr="00FA3F5C">
              <w:rPr>
                <w:rFonts w:ascii="Times New Roman" w:eastAsia="宋体" w:hAnsi="Times New Roman" w:cs="Times New Roman"/>
                <w:sz w:val="16"/>
                <w:szCs w:val="16"/>
              </w:rPr>
              <w:t>Of which:</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E1451D7"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C9490EE"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A88C802"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C6DF4DA"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1574069"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B4EE7AB"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D1A57B3"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6A339EE"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EF23960" w14:textId="77777777" w:rsidR="00F73301" w:rsidRPr="00FA3F5C" w:rsidRDefault="00F73301" w:rsidP="008C49B7">
            <w:pPr>
              <w:snapToGrid w:val="0"/>
              <w:rPr>
                <w:rFonts w:ascii="Times New Roman" w:eastAsia="等线" w:hAnsi="Times New Roman" w:cs="Times New Roman"/>
                <w:sz w:val="16"/>
                <w:szCs w:val="16"/>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D8FF085" w14:textId="77777777" w:rsidR="00F73301" w:rsidRPr="00FA3F5C" w:rsidRDefault="00F73301" w:rsidP="008C49B7">
            <w:pPr>
              <w:snapToGrid w:val="0"/>
              <w:rPr>
                <w:rFonts w:ascii="Times New Roman" w:eastAsia="等线" w:hAnsi="Times New Roman" w:cs="Times New Roman"/>
                <w:sz w:val="16"/>
                <w:szCs w:val="16"/>
              </w:rPr>
            </w:pPr>
          </w:p>
        </w:tc>
      </w:tr>
      <w:tr w:rsidR="00F73301" w:rsidRPr="00FA3F5C" w14:paraId="3F2FE9B7" w14:textId="77777777" w:rsidTr="0001208F">
        <w:trPr>
          <w:jc w:val="center"/>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76FD24E" w14:textId="77777777" w:rsidR="00F73301" w:rsidRPr="00FA3F5C" w:rsidRDefault="00F73301" w:rsidP="008C49B7">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rPr>
              <w:t>Total</w:t>
            </w:r>
          </w:p>
        </w:tc>
        <w:tc>
          <w:tcPr>
            <w:tcW w:w="876" w:type="dxa"/>
            <w:tcBorders>
              <w:top w:val="single" w:sz="2" w:space="0" w:color="auto"/>
              <w:left w:val="single" w:sz="2" w:space="0" w:color="auto"/>
              <w:bottom w:val="single" w:sz="2" w:space="0" w:color="auto"/>
              <w:right w:val="single" w:sz="2" w:space="0" w:color="auto"/>
            </w:tcBorders>
            <w:vAlign w:val="center"/>
          </w:tcPr>
          <w:p w14:paraId="77E3E8ED"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1,513,919,965.35</w:t>
            </w:r>
          </w:p>
        </w:tc>
        <w:tc>
          <w:tcPr>
            <w:tcW w:w="876" w:type="dxa"/>
            <w:tcBorders>
              <w:top w:val="single" w:sz="2" w:space="0" w:color="auto"/>
              <w:left w:val="single" w:sz="2" w:space="0" w:color="auto"/>
              <w:bottom w:val="single" w:sz="2" w:space="0" w:color="auto"/>
              <w:right w:val="single" w:sz="2" w:space="0" w:color="auto"/>
            </w:tcBorders>
            <w:vAlign w:val="center"/>
          </w:tcPr>
          <w:p w14:paraId="7D6BD031"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2C1EF0FF"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87,787,806.28</w:t>
            </w:r>
          </w:p>
        </w:tc>
        <w:tc>
          <w:tcPr>
            <w:tcW w:w="876" w:type="dxa"/>
            <w:tcBorders>
              <w:top w:val="single" w:sz="2" w:space="0" w:color="auto"/>
              <w:left w:val="single" w:sz="2" w:space="0" w:color="auto"/>
              <w:bottom w:val="single" w:sz="2" w:space="0" w:color="auto"/>
              <w:right w:val="single" w:sz="2" w:space="0" w:color="auto"/>
            </w:tcBorders>
            <w:vAlign w:val="center"/>
          </w:tcPr>
          <w:p w14:paraId="3A103097"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5.80%</w:t>
            </w:r>
          </w:p>
        </w:tc>
        <w:tc>
          <w:tcPr>
            <w:tcW w:w="876" w:type="dxa"/>
            <w:tcBorders>
              <w:top w:val="single" w:sz="2" w:space="0" w:color="auto"/>
              <w:left w:val="single" w:sz="2" w:space="0" w:color="auto"/>
              <w:bottom w:val="single" w:sz="2" w:space="0" w:color="auto"/>
              <w:right w:val="single" w:sz="2" w:space="0" w:color="auto"/>
            </w:tcBorders>
            <w:vAlign w:val="center"/>
          </w:tcPr>
          <w:p w14:paraId="1A24F569"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1,426,132,159.07</w:t>
            </w:r>
          </w:p>
        </w:tc>
        <w:tc>
          <w:tcPr>
            <w:tcW w:w="876" w:type="dxa"/>
            <w:tcBorders>
              <w:top w:val="single" w:sz="2" w:space="0" w:color="auto"/>
              <w:left w:val="single" w:sz="2" w:space="0" w:color="auto"/>
              <w:bottom w:val="single" w:sz="2" w:space="0" w:color="auto"/>
              <w:right w:val="single" w:sz="2" w:space="0" w:color="auto"/>
            </w:tcBorders>
            <w:vAlign w:val="center"/>
          </w:tcPr>
          <w:p w14:paraId="16E78DD8"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999,478,962.06</w:t>
            </w:r>
          </w:p>
        </w:tc>
        <w:tc>
          <w:tcPr>
            <w:tcW w:w="876" w:type="dxa"/>
            <w:tcBorders>
              <w:top w:val="single" w:sz="2" w:space="0" w:color="auto"/>
              <w:left w:val="single" w:sz="2" w:space="0" w:color="auto"/>
              <w:bottom w:val="single" w:sz="2" w:space="0" w:color="auto"/>
              <w:right w:val="single" w:sz="2" w:space="0" w:color="auto"/>
            </w:tcBorders>
            <w:vAlign w:val="center"/>
          </w:tcPr>
          <w:p w14:paraId="4C3962FF"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097AE12"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52,199,216.53</w:t>
            </w:r>
          </w:p>
        </w:tc>
        <w:tc>
          <w:tcPr>
            <w:tcW w:w="876" w:type="dxa"/>
            <w:tcBorders>
              <w:top w:val="single" w:sz="2" w:space="0" w:color="auto"/>
              <w:left w:val="single" w:sz="2" w:space="0" w:color="auto"/>
              <w:bottom w:val="single" w:sz="2" w:space="0" w:color="auto"/>
              <w:right w:val="single" w:sz="2" w:space="0" w:color="auto"/>
            </w:tcBorders>
            <w:vAlign w:val="center"/>
          </w:tcPr>
          <w:p w14:paraId="65FDD5C8"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5.22%</w:t>
            </w:r>
          </w:p>
        </w:tc>
        <w:tc>
          <w:tcPr>
            <w:tcW w:w="876" w:type="dxa"/>
            <w:tcBorders>
              <w:top w:val="single" w:sz="2" w:space="0" w:color="auto"/>
              <w:left w:val="single" w:sz="2" w:space="0" w:color="auto"/>
              <w:bottom w:val="single" w:sz="2" w:space="0" w:color="auto"/>
              <w:right w:val="single" w:sz="2" w:space="0" w:color="auto"/>
            </w:tcBorders>
            <w:vAlign w:val="center"/>
          </w:tcPr>
          <w:p w14:paraId="55FF536A"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947,279,745.53</w:t>
            </w:r>
          </w:p>
        </w:tc>
      </w:tr>
    </w:tbl>
    <w:p w14:paraId="2C25F403"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Bad debt provision withdrawn by group: RMB87,787,806.28</w:t>
      </w:r>
    </w:p>
    <w:p w14:paraId="470EEB7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31190173" w14:textId="77777777" w:rsidTr="0001208F">
        <w:trPr>
          <w:jc w:val="center"/>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6BD59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Name</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DED3BB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5BF992F0" w14:textId="77777777" w:rsidTr="0001208F">
        <w:trPr>
          <w:jc w:val="center"/>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595911" w14:textId="77777777" w:rsidR="00F73301" w:rsidRPr="00F73301" w:rsidRDefault="00F73301" w:rsidP="008C49B7">
            <w:pPr>
              <w:snapToGrid w:val="0"/>
              <w:rPr>
                <w:rFonts w:ascii="Times New Roman" w:eastAsia="等线"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BAB52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AC5243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Bad debt provision</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80B138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Withdrawal proportion</w:t>
            </w:r>
          </w:p>
        </w:tc>
      </w:tr>
      <w:tr w:rsidR="00F73301" w:rsidRPr="00F73301" w14:paraId="1D62D7FD"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1086DA2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w:t>
            </w:r>
          </w:p>
        </w:tc>
        <w:tc>
          <w:tcPr>
            <w:tcW w:w="2410" w:type="dxa"/>
            <w:tcBorders>
              <w:top w:val="single" w:sz="2" w:space="0" w:color="auto"/>
              <w:left w:val="single" w:sz="2" w:space="0" w:color="auto"/>
              <w:bottom w:val="single" w:sz="2" w:space="0" w:color="auto"/>
              <w:right w:val="single" w:sz="2" w:space="0" w:color="auto"/>
            </w:tcBorders>
            <w:vAlign w:val="center"/>
          </w:tcPr>
          <w:p w14:paraId="206AEEC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1,468,975,659.98</w:t>
            </w:r>
          </w:p>
        </w:tc>
        <w:tc>
          <w:tcPr>
            <w:tcW w:w="2410" w:type="dxa"/>
            <w:tcBorders>
              <w:top w:val="single" w:sz="2" w:space="0" w:color="auto"/>
              <w:left w:val="single" w:sz="2" w:space="0" w:color="auto"/>
              <w:bottom w:val="single" w:sz="2" w:space="0" w:color="auto"/>
              <w:right w:val="single" w:sz="2" w:space="0" w:color="auto"/>
            </w:tcBorders>
            <w:vAlign w:val="center"/>
          </w:tcPr>
          <w:p w14:paraId="4156B9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73,448,783.00</w:t>
            </w:r>
          </w:p>
        </w:tc>
        <w:tc>
          <w:tcPr>
            <w:tcW w:w="2410" w:type="dxa"/>
            <w:tcBorders>
              <w:top w:val="single" w:sz="2" w:space="0" w:color="auto"/>
              <w:left w:val="single" w:sz="2" w:space="0" w:color="auto"/>
              <w:bottom w:val="single" w:sz="2" w:space="0" w:color="auto"/>
              <w:right w:val="single" w:sz="2" w:space="0" w:color="auto"/>
            </w:tcBorders>
            <w:vAlign w:val="center"/>
          </w:tcPr>
          <w:p w14:paraId="371E384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w:t>
            </w:r>
          </w:p>
        </w:tc>
      </w:tr>
      <w:tr w:rsidR="00F73301" w:rsidRPr="00F73301" w14:paraId="4F8C2339"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7404BB9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2410" w:type="dxa"/>
            <w:tcBorders>
              <w:top w:val="single" w:sz="2" w:space="0" w:color="auto"/>
              <w:left w:val="single" w:sz="2" w:space="0" w:color="auto"/>
              <w:bottom w:val="single" w:sz="2" w:space="0" w:color="auto"/>
              <w:right w:val="single" w:sz="2" w:space="0" w:color="auto"/>
            </w:tcBorders>
            <w:vAlign w:val="center"/>
          </w:tcPr>
          <w:p w14:paraId="749E1A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29,381,300.62</w:t>
            </w:r>
          </w:p>
        </w:tc>
        <w:tc>
          <w:tcPr>
            <w:tcW w:w="2410" w:type="dxa"/>
            <w:tcBorders>
              <w:top w:val="single" w:sz="2" w:space="0" w:color="auto"/>
              <w:left w:val="single" w:sz="2" w:space="0" w:color="auto"/>
              <w:bottom w:val="single" w:sz="2" w:space="0" w:color="auto"/>
              <w:right w:val="single" w:sz="2" w:space="0" w:color="auto"/>
            </w:tcBorders>
            <w:vAlign w:val="center"/>
          </w:tcPr>
          <w:p w14:paraId="705B32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2,938,130.06</w:t>
            </w:r>
          </w:p>
        </w:tc>
        <w:tc>
          <w:tcPr>
            <w:tcW w:w="2410" w:type="dxa"/>
            <w:tcBorders>
              <w:top w:val="single" w:sz="2" w:space="0" w:color="auto"/>
              <w:left w:val="single" w:sz="2" w:space="0" w:color="auto"/>
              <w:bottom w:val="single" w:sz="2" w:space="0" w:color="auto"/>
              <w:right w:val="single" w:sz="2" w:space="0" w:color="auto"/>
            </w:tcBorders>
            <w:vAlign w:val="center"/>
          </w:tcPr>
          <w:p w14:paraId="75BF863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w:t>
            </w:r>
          </w:p>
        </w:tc>
      </w:tr>
      <w:tr w:rsidR="00F73301" w:rsidRPr="00F73301" w14:paraId="7E7F04CF"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4E3033A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2410" w:type="dxa"/>
            <w:tcBorders>
              <w:top w:val="single" w:sz="2" w:space="0" w:color="auto"/>
              <w:left w:val="single" w:sz="2" w:space="0" w:color="auto"/>
              <w:bottom w:val="single" w:sz="2" w:space="0" w:color="auto"/>
              <w:right w:val="single" w:sz="2" w:space="0" w:color="auto"/>
            </w:tcBorders>
            <w:vAlign w:val="center"/>
          </w:tcPr>
          <w:p w14:paraId="2A3B31E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8,324,223.06</w:t>
            </w:r>
          </w:p>
        </w:tc>
        <w:tc>
          <w:tcPr>
            <w:tcW w:w="2410" w:type="dxa"/>
            <w:tcBorders>
              <w:top w:val="single" w:sz="2" w:space="0" w:color="auto"/>
              <w:left w:val="single" w:sz="2" w:space="0" w:color="auto"/>
              <w:bottom w:val="single" w:sz="2" w:space="0" w:color="auto"/>
              <w:right w:val="single" w:sz="2" w:space="0" w:color="auto"/>
            </w:tcBorders>
            <w:vAlign w:val="center"/>
          </w:tcPr>
          <w:p w14:paraId="3BF5BA9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4,162,111.53</w:t>
            </w:r>
          </w:p>
        </w:tc>
        <w:tc>
          <w:tcPr>
            <w:tcW w:w="2410" w:type="dxa"/>
            <w:tcBorders>
              <w:top w:val="single" w:sz="2" w:space="0" w:color="auto"/>
              <w:left w:val="single" w:sz="2" w:space="0" w:color="auto"/>
              <w:bottom w:val="single" w:sz="2" w:space="0" w:color="auto"/>
              <w:right w:val="single" w:sz="2" w:space="0" w:color="auto"/>
            </w:tcBorders>
            <w:vAlign w:val="center"/>
          </w:tcPr>
          <w:p w14:paraId="5D0406A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50.00%</w:t>
            </w:r>
          </w:p>
        </w:tc>
      </w:tr>
      <w:tr w:rsidR="00F73301" w:rsidRPr="00F73301" w14:paraId="0A72191F"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69E86D7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2410" w:type="dxa"/>
            <w:tcBorders>
              <w:top w:val="single" w:sz="2" w:space="0" w:color="auto"/>
              <w:left w:val="single" w:sz="2" w:space="0" w:color="auto"/>
              <w:bottom w:val="single" w:sz="2" w:space="0" w:color="auto"/>
              <w:right w:val="single" w:sz="2" w:space="0" w:color="auto"/>
            </w:tcBorders>
            <w:vAlign w:val="center"/>
          </w:tcPr>
          <w:p w14:paraId="14BD2AA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7,238,781.69</w:t>
            </w:r>
          </w:p>
        </w:tc>
        <w:tc>
          <w:tcPr>
            <w:tcW w:w="2410" w:type="dxa"/>
            <w:tcBorders>
              <w:top w:val="single" w:sz="2" w:space="0" w:color="auto"/>
              <w:left w:val="single" w:sz="2" w:space="0" w:color="auto"/>
              <w:bottom w:val="single" w:sz="2" w:space="0" w:color="auto"/>
              <w:right w:val="single" w:sz="2" w:space="0" w:color="auto"/>
            </w:tcBorders>
            <w:vAlign w:val="center"/>
          </w:tcPr>
          <w:p w14:paraId="381A252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7,238,781.69</w:t>
            </w:r>
          </w:p>
        </w:tc>
        <w:tc>
          <w:tcPr>
            <w:tcW w:w="2410" w:type="dxa"/>
            <w:tcBorders>
              <w:top w:val="single" w:sz="2" w:space="0" w:color="auto"/>
              <w:left w:val="single" w:sz="2" w:space="0" w:color="auto"/>
              <w:bottom w:val="single" w:sz="2" w:space="0" w:color="auto"/>
              <w:right w:val="single" w:sz="2" w:space="0" w:color="auto"/>
            </w:tcBorders>
            <w:vAlign w:val="center"/>
          </w:tcPr>
          <w:p w14:paraId="5E0F425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w:t>
            </w:r>
          </w:p>
        </w:tc>
      </w:tr>
      <w:tr w:rsidR="00F73301" w:rsidRPr="00F73301" w14:paraId="5ADFC461"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63A6F3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2410" w:type="dxa"/>
            <w:tcBorders>
              <w:top w:val="single" w:sz="2" w:space="0" w:color="auto"/>
              <w:left w:val="single" w:sz="2" w:space="0" w:color="auto"/>
              <w:bottom w:val="single" w:sz="2" w:space="0" w:color="auto"/>
              <w:right w:val="single" w:sz="2" w:space="0" w:color="auto"/>
            </w:tcBorders>
            <w:vAlign w:val="center"/>
          </w:tcPr>
          <w:p w14:paraId="1ACA3AC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1,513,919,965.35</w:t>
            </w:r>
          </w:p>
        </w:tc>
        <w:tc>
          <w:tcPr>
            <w:tcW w:w="2410" w:type="dxa"/>
            <w:tcBorders>
              <w:top w:val="single" w:sz="2" w:space="0" w:color="auto"/>
              <w:left w:val="single" w:sz="2" w:space="0" w:color="auto"/>
              <w:bottom w:val="single" w:sz="2" w:space="0" w:color="auto"/>
              <w:right w:val="single" w:sz="2" w:space="0" w:color="auto"/>
            </w:tcBorders>
            <w:vAlign w:val="center"/>
          </w:tcPr>
          <w:p w14:paraId="5B3C851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87,787,806.28</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CA4C59" w14:textId="77777777" w:rsidR="00F73301" w:rsidRPr="00F73301" w:rsidRDefault="00F73301" w:rsidP="008C49B7">
            <w:pPr>
              <w:snapToGrid w:val="0"/>
              <w:rPr>
                <w:rFonts w:ascii="Times New Roman" w:eastAsia="等线" w:hAnsi="Times New Roman" w:cs="Times New Roman"/>
                <w:sz w:val="18"/>
                <w:szCs w:val="18"/>
              </w:rPr>
            </w:pPr>
          </w:p>
        </w:tc>
      </w:tr>
    </w:tbl>
    <w:p w14:paraId="557D931B"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the determination basis for the Group:</w:t>
      </w:r>
    </w:p>
    <w:p w14:paraId="4D8152CB"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7552035E"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Please refer to the relevant information of disclosure of bad debt provision of other accounts receivable if adopting the general mode of expected credit loss to withdraw bad debt provision of accounts receivable.</w:t>
      </w:r>
    </w:p>
    <w:p w14:paraId="6658343E" w14:textId="3A661633"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00FA3F5C"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60D91B8B"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Disclosure by aging</w:t>
      </w:r>
    </w:p>
    <w:p w14:paraId="0402885B"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16D8EC1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035AAE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Ages</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5EA415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687F7C59"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AE5E72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 (inclusive)</w:t>
            </w:r>
          </w:p>
        </w:tc>
        <w:tc>
          <w:tcPr>
            <w:tcW w:w="4820" w:type="dxa"/>
            <w:tcBorders>
              <w:top w:val="single" w:sz="2" w:space="0" w:color="auto"/>
              <w:left w:val="single" w:sz="2" w:space="0" w:color="auto"/>
              <w:bottom w:val="single" w:sz="2" w:space="0" w:color="auto"/>
              <w:right w:val="single" w:sz="2" w:space="0" w:color="auto"/>
            </w:tcBorders>
            <w:vAlign w:val="center"/>
          </w:tcPr>
          <w:p w14:paraId="00E190D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1,468,975,659.98</w:t>
            </w:r>
          </w:p>
        </w:tc>
      </w:tr>
      <w:tr w:rsidR="00F73301" w:rsidRPr="00F73301" w14:paraId="3FE0CDD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DD24B2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4820" w:type="dxa"/>
            <w:tcBorders>
              <w:top w:val="single" w:sz="2" w:space="0" w:color="auto"/>
              <w:left w:val="single" w:sz="2" w:space="0" w:color="auto"/>
              <w:bottom w:val="single" w:sz="2" w:space="0" w:color="auto"/>
              <w:right w:val="single" w:sz="2" w:space="0" w:color="auto"/>
            </w:tcBorders>
            <w:vAlign w:val="center"/>
          </w:tcPr>
          <w:p w14:paraId="079A274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29,381,300.62</w:t>
            </w:r>
          </w:p>
        </w:tc>
      </w:tr>
      <w:tr w:rsidR="00F73301" w:rsidRPr="00F73301" w14:paraId="586746AF"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E459A2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4820" w:type="dxa"/>
            <w:tcBorders>
              <w:top w:val="single" w:sz="2" w:space="0" w:color="auto"/>
              <w:left w:val="single" w:sz="2" w:space="0" w:color="auto"/>
              <w:bottom w:val="single" w:sz="2" w:space="0" w:color="auto"/>
              <w:right w:val="single" w:sz="2" w:space="0" w:color="auto"/>
            </w:tcBorders>
            <w:vAlign w:val="center"/>
          </w:tcPr>
          <w:p w14:paraId="3F37BD5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8,324,223.06</w:t>
            </w:r>
          </w:p>
        </w:tc>
      </w:tr>
      <w:tr w:rsidR="00F73301" w:rsidRPr="00F73301" w14:paraId="115A5D0E"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D0F9B7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4820" w:type="dxa"/>
            <w:tcBorders>
              <w:top w:val="single" w:sz="2" w:space="0" w:color="auto"/>
              <w:left w:val="single" w:sz="2" w:space="0" w:color="auto"/>
              <w:bottom w:val="single" w:sz="2" w:space="0" w:color="auto"/>
              <w:right w:val="single" w:sz="2" w:space="0" w:color="auto"/>
            </w:tcBorders>
            <w:vAlign w:val="center"/>
          </w:tcPr>
          <w:p w14:paraId="2ACCE42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7,238,781.69</w:t>
            </w:r>
          </w:p>
        </w:tc>
      </w:tr>
      <w:tr w:rsidR="00F73301" w:rsidRPr="00F73301" w14:paraId="22CF8F95"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2B0993B"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Three to four years</w:t>
            </w:r>
          </w:p>
        </w:tc>
        <w:tc>
          <w:tcPr>
            <w:tcW w:w="4820" w:type="dxa"/>
            <w:tcBorders>
              <w:top w:val="single" w:sz="2" w:space="0" w:color="auto"/>
              <w:left w:val="single" w:sz="2" w:space="0" w:color="auto"/>
              <w:bottom w:val="single" w:sz="2" w:space="0" w:color="auto"/>
              <w:right w:val="single" w:sz="2" w:space="0" w:color="auto"/>
            </w:tcBorders>
            <w:vAlign w:val="center"/>
          </w:tcPr>
          <w:p w14:paraId="5BF360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7,238,781.69</w:t>
            </w:r>
          </w:p>
        </w:tc>
      </w:tr>
      <w:tr w:rsidR="00F73301" w:rsidRPr="00F73301" w14:paraId="2C1EF9BC"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FC4015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4820" w:type="dxa"/>
            <w:tcBorders>
              <w:top w:val="single" w:sz="2" w:space="0" w:color="auto"/>
              <w:left w:val="single" w:sz="2" w:space="0" w:color="auto"/>
              <w:bottom w:val="single" w:sz="2" w:space="0" w:color="auto"/>
              <w:right w:val="single" w:sz="2" w:space="0" w:color="auto"/>
            </w:tcBorders>
            <w:vAlign w:val="center"/>
          </w:tcPr>
          <w:p w14:paraId="6D7492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1,513,919,965.35</w:t>
            </w:r>
          </w:p>
        </w:tc>
      </w:tr>
    </w:tbl>
    <w:p w14:paraId="3B5F6AF4"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97" w:name="_Toc989285"/>
      <w:r w:rsidRPr="00F73301">
        <w:rPr>
          <w:rFonts w:ascii="Times New Roman" w:eastAsia="宋体" w:hAnsi="Times New Roman" w:cs="Times New Roman"/>
          <w:b/>
          <w:bCs/>
          <w:sz w:val="24"/>
          <w:szCs w:val="24"/>
        </w:rPr>
        <w:t>(2) Bad debt provision withdrawal, reversed or recovered in the current period</w:t>
      </w:r>
      <w:bookmarkEnd w:id="397"/>
    </w:p>
    <w:p w14:paraId="5696DB52"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Withdrawal of bad debt provision in the current period:</w:t>
      </w:r>
    </w:p>
    <w:p w14:paraId="7468B9F8"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755196ED"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B34F7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Type</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FD339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1B034B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Changes in the current period</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FE23D2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01E6ACB0"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17E90C"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E546160"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288EE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Withdrawal</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CFFAEB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Reversed or </w:t>
            </w:r>
            <w:r w:rsidRPr="00F73301">
              <w:rPr>
                <w:rFonts w:ascii="Times New Roman" w:eastAsia="宋体" w:hAnsi="Times New Roman" w:cs="Times New Roman"/>
                <w:sz w:val="18"/>
                <w:szCs w:val="18"/>
              </w:rPr>
              <w:lastRenderedPageBreak/>
              <w:t>recovered</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7DE075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Write-off</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BCD115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1F03EF"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F29CC19"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vAlign w:val="center"/>
          </w:tcPr>
          <w:p w14:paraId="097B8CA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Bad debt provision withdrawn by groups</w:t>
            </w:r>
          </w:p>
        </w:tc>
        <w:tc>
          <w:tcPr>
            <w:tcW w:w="1377" w:type="dxa"/>
            <w:tcBorders>
              <w:top w:val="single" w:sz="2" w:space="0" w:color="auto"/>
              <w:left w:val="single" w:sz="2" w:space="0" w:color="auto"/>
              <w:bottom w:val="single" w:sz="2" w:space="0" w:color="auto"/>
              <w:right w:val="single" w:sz="2" w:space="0" w:color="auto"/>
            </w:tcBorders>
            <w:vAlign w:val="center"/>
          </w:tcPr>
          <w:p w14:paraId="63CF4BF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52,199,216.53</w:t>
            </w:r>
          </w:p>
        </w:tc>
        <w:tc>
          <w:tcPr>
            <w:tcW w:w="1377" w:type="dxa"/>
            <w:tcBorders>
              <w:top w:val="single" w:sz="2" w:space="0" w:color="auto"/>
              <w:left w:val="single" w:sz="2" w:space="0" w:color="auto"/>
              <w:bottom w:val="single" w:sz="2" w:space="0" w:color="auto"/>
              <w:right w:val="single" w:sz="2" w:space="0" w:color="auto"/>
            </w:tcBorders>
            <w:vAlign w:val="center"/>
          </w:tcPr>
          <w:p w14:paraId="22A232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35,654,888.55</w:t>
            </w:r>
          </w:p>
        </w:tc>
        <w:tc>
          <w:tcPr>
            <w:tcW w:w="1377" w:type="dxa"/>
            <w:tcBorders>
              <w:top w:val="single" w:sz="2" w:space="0" w:color="auto"/>
              <w:left w:val="single" w:sz="2" w:space="0" w:color="auto"/>
              <w:bottom w:val="single" w:sz="2" w:space="0" w:color="auto"/>
              <w:right w:val="single" w:sz="2" w:space="0" w:color="auto"/>
            </w:tcBorders>
            <w:vAlign w:val="center"/>
          </w:tcPr>
          <w:p w14:paraId="436A5D7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82,755.89</w:t>
            </w:r>
          </w:p>
        </w:tc>
        <w:tc>
          <w:tcPr>
            <w:tcW w:w="1377" w:type="dxa"/>
            <w:tcBorders>
              <w:top w:val="single" w:sz="2" w:space="0" w:color="auto"/>
              <w:left w:val="single" w:sz="2" w:space="0" w:color="auto"/>
              <w:bottom w:val="single" w:sz="2" w:space="0" w:color="auto"/>
              <w:right w:val="single" w:sz="2" w:space="0" w:color="auto"/>
            </w:tcBorders>
            <w:vAlign w:val="center"/>
          </w:tcPr>
          <w:p w14:paraId="629004D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149,054.69</w:t>
            </w:r>
          </w:p>
        </w:tc>
        <w:tc>
          <w:tcPr>
            <w:tcW w:w="1377" w:type="dxa"/>
            <w:tcBorders>
              <w:top w:val="single" w:sz="2" w:space="0" w:color="auto"/>
              <w:left w:val="single" w:sz="2" w:space="0" w:color="auto"/>
              <w:bottom w:val="single" w:sz="2" w:space="0" w:color="auto"/>
              <w:right w:val="single" w:sz="2" w:space="0" w:color="auto"/>
            </w:tcBorders>
            <w:vAlign w:val="center"/>
          </w:tcPr>
          <w:p w14:paraId="4A16231D"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4DF12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87,787,806.28</w:t>
            </w:r>
          </w:p>
        </w:tc>
      </w:tr>
      <w:tr w:rsidR="00F73301" w:rsidRPr="00F73301" w14:paraId="2558EB75"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87ADE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6D265F8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52,199,216.53</w:t>
            </w:r>
          </w:p>
        </w:tc>
        <w:tc>
          <w:tcPr>
            <w:tcW w:w="1377" w:type="dxa"/>
            <w:tcBorders>
              <w:top w:val="single" w:sz="2" w:space="0" w:color="auto"/>
              <w:left w:val="single" w:sz="2" w:space="0" w:color="auto"/>
              <w:bottom w:val="single" w:sz="2" w:space="0" w:color="auto"/>
              <w:right w:val="single" w:sz="2" w:space="0" w:color="auto"/>
            </w:tcBorders>
            <w:vAlign w:val="center"/>
          </w:tcPr>
          <w:p w14:paraId="742CF47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35,654,888.55</w:t>
            </w:r>
          </w:p>
        </w:tc>
        <w:tc>
          <w:tcPr>
            <w:tcW w:w="1377" w:type="dxa"/>
            <w:tcBorders>
              <w:top w:val="single" w:sz="2" w:space="0" w:color="auto"/>
              <w:left w:val="single" w:sz="2" w:space="0" w:color="auto"/>
              <w:bottom w:val="single" w:sz="2" w:space="0" w:color="auto"/>
              <w:right w:val="single" w:sz="2" w:space="0" w:color="auto"/>
            </w:tcBorders>
            <w:vAlign w:val="center"/>
          </w:tcPr>
          <w:p w14:paraId="7BAAB13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82,755.89</w:t>
            </w:r>
          </w:p>
        </w:tc>
        <w:tc>
          <w:tcPr>
            <w:tcW w:w="1377" w:type="dxa"/>
            <w:tcBorders>
              <w:top w:val="single" w:sz="2" w:space="0" w:color="auto"/>
              <w:left w:val="single" w:sz="2" w:space="0" w:color="auto"/>
              <w:bottom w:val="single" w:sz="2" w:space="0" w:color="auto"/>
              <w:right w:val="single" w:sz="2" w:space="0" w:color="auto"/>
            </w:tcBorders>
            <w:vAlign w:val="center"/>
          </w:tcPr>
          <w:p w14:paraId="5E5DC2A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149,054.69</w:t>
            </w:r>
          </w:p>
        </w:tc>
        <w:tc>
          <w:tcPr>
            <w:tcW w:w="1377" w:type="dxa"/>
            <w:tcBorders>
              <w:top w:val="single" w:sz="2" w:space="0" w:color="auto"/>
              <w:left w:val="single" w:sz="2" w:space="0" w:color="auto"/>
              <w:bottom w:val="single" w:sz="2" w:space="0" w:color="auto"/>
              <w:right w:val="single" w:sz="2" w:space="0" w:color="auto"/>
            </w:tcBorders>
            <w:vAlign w:val="center"/>
          </w:tcPr>
          <w:p w14:paraId="4E007C1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A67EB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87,787,806.28</w:t>
            </w:r>
          </w:p>
        </w:tc>
      </w:tr>
    </w:tbl>
    <w:p w14:paraId="5F4DB654"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Of which the bad debt provision recovered or reversed with significant amount in the current period:</w:t>
      </w:r>
    </w:p>
    <w:p w14:paraId="435891A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616C283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D8850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74B48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reversed or recovered</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3DE44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Way of recovery</w:t>
            </w:r>
          </w:p>
        </w:tc>
      </w:tr>
    </w:tbl>
    <w:p w14:paraId="0D501324"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53FAF450"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5D7B8FA8"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98" w:name="_Toc989286"/>
      <w:r w:rsidRPr="00F73301">
        <w:rPr>
          <w:rFonts w:ascii="Times New Roman" w:eastAsia="宋体" w:hAnsi="Times New Roman" w:cs="Times New Roman"/>
          <w:b/>
          <w:bCs/>
          <w:sz w:val="24"/>
          <w:szCs w:val="24"/>
        </w:rPr>
        <w:t>(3) Accounts receivable with actual verification in current period</w:t>
      </w:r>
      <w:bookmarkEnd w:id="398"/>
    </w:p>
    <w:p w14:paraId="6842FDC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44FF9F93"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D0E2AF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392E24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r>
      <w:tr w:rsidR="00F73301" w:rsidRPr="00F73301" w14:paraId="4DC0F742"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vAlign w:val="center"/>
          </w:tcPr>
          <w:p w14:paraId="1D99A5D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Unrecoverable accounts receivable</w:t>
            </w:r>
          </w:p>
        </w:tc>
        <w:tc>
          <w:tcPr>
            <w:tcW w:w="4820" w:type="dxa"/>
            <w:tcBorders>
              <w:top w:val="single" w:sz="2" w:space="0" w:color="auto"/>
              <w:left w:val="single" w:sz="2" w:space="0" w:color="auto"/>
              <w:bottom w:val="single" w:sz="2" w:space="0" w:color="auto"/>
              <w:right w:val="single" w:sz="2" w:space="0" w:color="auto"/>
            </w:tcBorders>
            <w:vAlign w:val="center"/>
          </w:tcPr>
          <w:p w14:paraId="2A7B0D7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149,054.69</w:t>
            </w:r>
          </w:p>
        </w:tc>
      </w:tr>
    </w:tbl>
    <w:p w14:paraId="7EDA7511"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Of which the verification of significant accounts receivable:</w:t>
      </w:r>
    </w:p>
    <w:p w14:paraId="1DCA0211"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18E535FA"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9BE077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A30358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682F7E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96C392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 for verification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7DA1CE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Verification procedures performed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594CF6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Whether occurred because of related-party transactions</w:t>
            </w:r>
          </w:p>
        </w:tc>
      </w:tr>
    </w:tbl>
    <w:p w14:paraId="2C547AF5"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verification of accounts receivable:</w:t>
      </w:r>
    </w:p>
    <w:p w14:paraId="3FFDD941"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08845AB3"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399" w:name="_Toc989287"/>
      <w:r w:rsidRPr="00F73301">
        <w:rPr>
          <w:rFonts w:ascii="Times New Roman" w:eastAsia="宋体" w:hAnsi="Times New Roman" w:cs="Times New Roman"/>
          <w:b/>
          <w:bCs/>
          <w:sz w:val="24"/>
          <w:szCs w:val="24"/>
        </w:rPr>
        <w:t>(4) Top 5 of the closing balance of the accounts receivable collected according to arrears party</w:t>
      </w:r>
      <w:bookmarkEnd w:id="399"/>
    </w:p>
    <w:p w14:paraId="58982E7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6EEDFAF7"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3B4FD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73B9D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AC22F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Proportion to total closing balance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C59B9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of bad debt provision</w:t>
            </w:r>
          </w:p>
        </w:tc>
      </w:tr>
      <w:tr w:rsidR="00F73301" w:rsidRPr="00F73301" w14:paraId="72B8A420"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3AC1C82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1</w:t>
            </w:r>
          </w:p>
        </w:tc>
        <w:tc>
          <w:tcPr>
            <w:tcW w:w="2410" w:type="dxa"/>
            <w:tcBorders>
              <w:top w:val="single" w:sz="2" w:space="0" w:color="auto"/>
              <w:left w:val="single" w:sz="2" w:space="0" w:color="auto"/>
              <w:bottom w:val="single" w:sz="2" w:space="0" w:color="auto"/>
              <w:right w:val="single" w:sz="2" w:space="0" w:color="auto"/>
            </w:tcBorders>
            <w:vAlign w:val="center"/>
          </w:tcPr>
          <w:p w14:paraId="37281B5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278,078,429.88</w:t>
            </w:r>
          </w:p>
        </w:tc>
        <w:tc>
          <w:tcPr>
            <w:tcW w:w="2410" w:type="dxa"/>
            <w:tcBorders>
              <w:top w:val="single" w:sz="2" w:space="0" w:color="auto"/>
              <w:left w:val="single" w:sz="2" w:space="0" w:color="auto"/>
              <w:bottom w:val="single" w:sz="2" w:space="0" w:color="auto"/>
              <w:right w:val="single" w:sz="2" w:space="0" w:color="auto"/>
            </w:tcBorders>
            <w:vAlign w:val="center"/>
          </w:tcPr>
          <w:p w14:paraId="18AEBC8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18.37%</w:t>
            </w:r>
          </w:p>
        </w:tc>
        <w:tc>
          <w:tcPr>
            <w:tcW w:w="2410" w:type="dxa"/>
            <w:tcBorders>
              <w:top w:val="single" w:sz="2" w:space="0" w:color="auto"/>
              <w:left w:val="single" w:sz="2" w:space="0" w:color="auto"/>
              <w:bottom w:val="single" w:sz="2" w:space="0" w:color="auto"/>
              <w:right w:val="single" w:sz="2" w:space="0" w:color="auto"/>
            </w:tcBorders>
            <w:vAlign w:val="center"/>
          </w:tcPr>
          <w:p w14:paraId="0282E5D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13,903,921.49</w:t>
            </w:r>
          </w:p>
        </w:tc>
      </w:tr>
      <w:tr w:rsidR="00F73301" w:rsidRPr="00F73301" w14:paraId="1834CEF3"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307D47D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2</w:t>
            </w:r>
          </w:p>
        </w:tc>
        <w:tc>
          <w:tcPr>
            <w:tcW w:w="2410" w:type="dxa"/>
            <w:tcBorders>
              <w:top w:val="single" w:sz="2" w:space="0" w:color="auto"/>
              <w:left w:val="single" w:sz="2" w:space="0" w:color="auto"/>
              <w:bottom w:val="single" w:sz="2" w:space="0" w:color="auto"/>
              <w:right w:val="single" w:sz="2" w:space="0" w:color="auto"/>
            </w:tcBorders>
            <w:vAlign w:val="center"/>
          </w:tcPr>
          <w:p w14:paraId="513A5A1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167,594,896.91</w:t>
            </w:r>
          </w:p>
        </w:tc>
        <w:tc>
          <w:tcPr>
            <w:tcW w:w="2410" w:type="dxa"/>
            <w:tcBorders>
              <w:top w:val="single" w:sz="2" w:space="0" w:color="auto"/>
              <w:left w:val="single" w:sz="2" w:space="0" w:color="auto"/>
              <w:bottom w:val="single" w:sz="2" w:space="0" w:color="auto"/>
              <w:right w:val="single" w:sz="2" w:space="0" w:color="auto"/>
            </w:tcBorders>
            <w:vAlign w:val="center"/>
          </w:tcPr>
          <w:p w14:paraId="469E69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11.07%</w:t>
            </w:r>
          </w:p>
        </w:tc>
        <w:tc>
          <w:tcPr>
            <w:tcW w:w="2410" w:type="dxa"/>
            <w:tcBorders>
              <w:top w:val="single" w:sz="2" w:space="0" w:color="auto"/>
              <w:left w:val="single" w:sz="2" w:space="0" w:color="auto"/>
              <w:bottom w:val="single" w:sz="2" w:space="0" w:color="auto"/>
              <w:right w:val="single" w:sz="2" w:space="0" w:color="auto"/>
            </w:tcBorders>
            <w:vAlign w:val="center"/>
          </w:tcPr>
          <w:p w14:paraId="4646764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8,379,744.85</w:t>
            </w:r>
          </w:p>
        </w:tc>
      </w:tr>
      <w:tr w:rsidR="00F73301" w:rsidRPr="00F73301" w14:paraId="6202DADD"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3CF4007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3</w:t>
            </w:r>
          </w:p>
        </w:tc>
        <w:tc>
          <w:tcPr>
            <w:tcW w:w="2410" w:type="dxa"/>
            <w:tcBorders>
              <w:top w:val="single" w:sz="2" w:space="0" w:color="auto"/>
              <w:left w:val="single" w:sz="2" w:space="0" w:color="auto"/>
              <w:bottom w:val="single" w:sz="2" w:space="0" w:color="auto"/>
              <w:right w:val="single" w:sz="2" w:space="0" w:color="auto"/>
            </w:tcBorders>
            <w:vAlign w:val="center"/>
          </w:tcPr>
          <w:p w14:paraId="77C3AEC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104,122,369.50</w:t>
            </w:r>
          </w:p>
        </w:tc>
        <w:tc>
          <w:tcPr>
            <w:tcW w:w="2410" w:type="dxa"/>
            <w:tcBorders>
              <w:top w:val="single" w:sz="2" w:space="0" w:color="auto"/>
              <w:left w:val="single" w:sz="2" w:space="0" w:color="auto"/>
              <w:bottom w:val="single" w:sz="2" w:space="0" w:color="auto"/>
              <w:right w:val="single" w:sz="2" w:space="0" w:color="auto"/>
            </w:tcBorders>
            <w:vAlign w:val="center"/>
          </w:tcPr>
          <w:p w14:paraId="2915BDD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6.88%</w:t>
            </w:r>
          </w:p>
        </w:tc>
        <w:tc>
          <w:tcPr>
            <w:tcW w:w="2410" w:type="dxa"/>
            <w:tcBorders>
              <w:top w:val="single" w:sz="2" w:space="0" w:color="auto"/>
              <w:left w:val="single" w:sz="2" w:space="0" w:color="auto"/>
              <w:bottom w:val="single" w:sz="2" w:space="0" w:color="auto"/>
              <w:right w:val="single" w:sz="2" w:space="0" w:color="auto"/>
            </w:tcBorders>
            <w:vAlign w:val="center"/>
          </w:tcPr>
          <w:p w14:paraId="422008E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5,206,118.48</w:t>
            </w:r>
          </w:p>
        </w:tc>
      </w:tr>
      <w:tr w:rsidR="00F73301" w:rsidRPr="00F73301" w14:paraId="580C7AE3"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229332A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4</w:t>
            </w:r>
          </w:p>
        </w:tc>
        <w:tc>
          <w:tcPr>
            <w:tcW w:w="2410" w:type="dxa"/>
            <w:tcBorders>
              <w:top w:val="single" w:sz="2" w:space="0" w:color="auto"/>
              <w:left w:val="single" w:sz="2" w:space="0" w:color="auto"/>
              <w:bottom w:val="single" w:sz="2" w:space="0" w:color="auto"/>
              <w:right w:val="single" w:sz="2" w:space="0" w:color="auto"/>
            </w:tcBorders>
            <w:vAlign w:val="center"/>
          </w:tcPr>
          <w:p w14:paraId="040B908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53,846,885.90</w:t>
            </w:r>
          </w:p>
        </w:tc>
        <w:tc>
          <w:tcPr>
            <w:tcW w:w="2410" w:type="dxa"/>
            <w:tcBorders>
              <w:top w:val="single" w:sz="2" w:space="0" w:color="auto"/>
              <w:left w:val="single" w:sz="2" w:space="0" w:color="auto"/>
              <w:bottom w:val="single" w:sz="2" w:space="0" w:color="auto"/>
              <w:right w:val="single" w:sz="2" w:space="0" w:color="auto"/>
            </w:tcBorders>
            <w:vAlign w:val="center"/>
          </w:tcPr>
          <w:p w14:paraId="4AB5678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3.56%</w:t>
            </w:r>
          </w:p>
        </w:tc>
        <w:tc>
          <w:tcPr>
            <w:tcW w:w="2410" w:type="dxa"/>
            <w:tcBorders>
              <w:top w:val="single" w:sz="2" w:space="0" w:color="auto"/>
              <w:left w:val="single" w:sz="2" w:space="0" w:color="auto"/>
              <w:bottom w:val="single" w:sz="2" w:space="0" w:color="auto"/>
              <w:right w:val="single" w:sz="2" w:space="0" w:color="auto"/>
            </w:tcBorders>
            <w:vAlign w:val="center"/>
          </w:tcPr>
          <w:p w14:paraId="2C51C55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2,692,344.30</w:t>
            </w:r>
          </w:p>
        </w:tc>
      </w:tr>
      <w:tr w:rsidR="00F73301" w:rsidRPr="00F73301" w14:paraId="5E845E63"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vAlign w:val="center"/>
          </w:tcPr>
          <w:p w14:paraId="71D33FF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5</w:t>
            </w:r>
          </w:p>
        </w:tc>
        <w:tc>
          <w:tcPr>
            <w:tcW w:w="2410" w:type="dxa"/>
            <w:tcBorders>
              <w:top w:val="single" w:sz="2" w:space="0" w:color="auto"/>
              <w:left w:val="single" w:sz="2" w:space="0" w:color="auto"/>
              <w:bottom w:val="single" w:sz="2" w:space="0" w:color="auto"/>
              <w:right w:val="single" w:sz="2" w:space="0" w:color="auto"/>
            </w:tcBorders>
            <w:vAlign w:val="center"/>
          </w:tcPr>
          <w:p w14:paraId="5049B6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44,695,040.81</w:t>
            </w:r>
          </w:p>
        </w:tc>
        <w:tc>
          <w:tcPr>
            <w:tcW w:w="2410" w:type="dxa"/>
            <w:tcBorders>
              <w:top w:val="single" w:sz="2" w:space="0" w:color="auto"/>
              <w:left w:val="single" w:sz="2" w:space="0" w:color="auto"/>
              <w:bottom w:val="single" w:sz="2" w:space="0" w:color="auto"/>
              <w:right w:val="single" w:sz="2" w:space="0" w:color="auto"/>
            </w:tcBorders>
            <w:vAlign w:val="center"/>
          </w:tcPr>
          <w:p w14:paraId="36FD83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2.95%</w:t>
            </w:r>
          </w:p>
        </w:tc>
        <w:tc>
          <w:tcPr>
            <w:tcW w:w="2410" w:type="dxa"/>
            <w:tcBorders>
              <w:top w:val="single" w:sz="2" w:space="0" w:color="auto"/>
              <w:left w:val="single" w:sz="2" w:space="0" w:color="auto"/>
              <w:bottom w:val="single" w:sz="2" w:space="0" w:color="auto"/>
              <w:right w:val="single" w:sz="2" w:space="0" w:color="auto"/>
            </w:tcBorders>
            <w:vAlign w:val="center"/>
          </w:tcPr>
          <w:p w14:paraId="36A477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3,529,281.33</w:t>
            </w:r>
          </w:p>
        </w:tc>
      </w:tr>
      <w:tr w:rsidR="00F73301" w:rsidRPr="00F73301" w14:paraId="6446D70B"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725E4D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2410" w:type="dxa"/>
            <w:tcBorders>
              <w:top w:val="single" w:sz="2" w:space="0" w:color="auto"/>
              <w:left w:val="single" w:sz="2" w:space="0" w:color="auto"/>
              <w:bottom w:val="single" w:sz="2" w:space="0" w:color="auto"/>
              <w:right w:val="single" w:sz="2" w:space="0" w:color="auto"/>
            </w:tcBorders>
            <w:vAlign w:val="center"/>
          </w:tcPr>
          <w:p w14:paraId="23C9D78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648,337,623.00</w:t>
            </w:r>
          </w:p>
        </w:tc>
        <w:tc>
          <w:tcPr>
            <w:tcW w:w="2410" w:type="dxa"/>
            <w:tcBorders>
              <w:top w:val="single" w:sz="2" w:space="0" w:color="auto"/>
              <w:left w:val="single" w:sz="2" w:space="0" w:color="auto"/>
              <w:bottom w:val="single" w:sz="2" w:space="0" w:color="auto"/>
              <w:right w:val="single" w:sz="2" w:space="0" w:color="auto"/>
            </w:tcBorders>
            <w:vAlign w:val="center"/>
          </w:tcPr>
          <w:p w14:paraId="115DA5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42.83%</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0A85161" w14:textId="77777777" w:rsidR="00F73301" w:rsidRPr="00F73301" w:rsidRDefault="00F73301" w:rsidP="008C49B7">
            <w:pPr>
              <w:snapToGrid w:val="0"/>
              <w:rPr>
                <w:rFonts w:ascii="Times New Roman" w:eastAsia="等线" w:hAnsi="Times New Roman" w:cs="Times New Roman"/>
                <w:sz w:val="18"/>
                <w:szCs w:val="18"/>
              </w:rPr>
            </w:pPr>
          </w:p>
        </w:tc>
      </w:tr>
    </w:tbl>
    <w:p w14:paraId="0CB4B4EA"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400" w:name="_Toc989288"/>
      <w:r w:rsidRPr="00F73301">
        <w:rPr>
          <w:rFonts w:ascii="Times New Roman" w:eastAsia="宋体" w:hAnsi="Times New Roman" w:cs="Times New Roman"/>
          <w:b/>
          <w:bCs/>
          <w:sz w:val="24"/>
          <w:szCs w:val="24"/>
        </w:rPr>
        <w:t>(5) Accounts receivable derecognized due to the transfer of financial assets</w:t>
      </w:r>
      <w:bookmarkEnd w:id="400"/>
    </w:p>
    <w:p w14:paraId="0B8D286A"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41540ED9"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401" w:name="_Toc989289"/>
      <w:r w:rsidRPr="00F73301">
        <w:rPr>
          <w:rFonts w:ascii="Times New Roman" w:eastAsia="宋体" w:hAnsi="Times New Roman" w:cs="Times New Roman"/>
          <w:b/>
          <w:bCs/>
          <w:sz w:val="24"/>
          <w:szCs w:val="24"/>
        </w:rPr>
        <w:t>(6) Amount of assets and liabilities formed due to the transfer and the continued involvement of accounts receivable</w:t>
      </w:r>
      <w:bookmarkEnd w:id="401"/>
    </w:p>
    <w:p w14:paraId="50CA7858"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027795D3" w14:textId="77777777" w:rsidR="00F73301" w:rsidRPr="00F73301" w:rsidRDefault="00F73301" w:rsidP="00FA3F5C">
      <w:pPr>
        <w:adjustRightInd w:val="0"/>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40BB6890" w14:textId="77777777" w:rsidR="00F73301" w:rsidRPr="00F73301" w:rsidRDefault="00F73301" w:rsidP="00FA3F5C">
      <w:pPr>
        <w:adjustRightInd w:val="0"/>
        <w:snapToGrid w:val="0"/>
        <w:spacing w:beforeLines="50" w:before="156" w:afterLines="50" w:after="156"/>
        <w:jc w:val="both"/>
        <w:rPr>
          <w:rFonts w:ascii="Times New Roman" w:eastAsia="等线" w:hAnsi="Times New Roman" w:cs="Times New Roman"/>
          <w:sz w:val="24"/>
          <w:szCs w:val="24"/>
        </w:rPr>
      </w:pPr>
    </w:p>
    <w:p w14:paraId="70A73CE5" w14:textId="77777777" w:rsidR="00F73301" w:rsidRPr="00F73301" w:rsidRDefault="00F73301" w:rsidP="00FA3F5C">
      <w:pPr>
        <w:keepNext/>
        <w:keepLines/>
        <w:adjustRightInd w:val="0"/>
        <w:snapToGrid w:val="0"/>
        <w:spacing w:beforeLines="50" w:before="156" w:afterLines="50" w:after="156"/>
        <w:jc w:val="both"/>
        <w:outlineLvl w:val="2"/>
        <w:rPr>
          <w:rFonts w:ascii="Times New Roman" w:eastAsia="宋体" w:hAnsi="Times New Roman" w:cs="Times New Roman"/>
          <w:b/>
          <w:bCs/>
          <w:sz w:val="24"/>
          <w:szCs w:val="24"/>
        </w:rPr>
      </w:pPr>
      <w:bookmarkStart w:id="402" w:name="_Toc989290"/>
      <w:r w:rsidRPr="00F73301">
        <w:rPr>
          <w:rFonts w:ascii="Times New Roman" w:eastAsia="宋体" w:hAnsi="Times New Roman" w:cs="Times New Roman"/>
          <w:b/>
          <w:bCs/>
          <w:sz w:val="24"/>
          <w:szCs w:val="24"/>
        </w:rPr>
        <w:t>2. Other Receivables</w:t>
      </w:r>
      <w:bookmarkEnd w:id="402"/>
    </w:p>
    <w:p w14:paraId="5AD8133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1391D72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658F0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2CD0E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5784E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3595115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F8A39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receivables</w:t>
            </w:r>
          </w:p>
        </w:tc>
        <w:tc>
          <w:tcPr>
            <w:tcW w:w="3213" w:type="dxa"/>
            <w:tcBorders>
              <w:top w:val="single" w:sz="2" w:space="0" w:color="auto"/>
              <w:left w:val="single" w:sz="2" w:space="0" w:color="auto"/>
              <w:bottom w:val="single" w:sz="2" w:space="0" w:color="auto"/>
              <w:right w:val="single" w:sz="2" w:space="0" w:color="auto"/>
            </w:tcBorders>
            <w:vAlign w:val="center"/>
          </w:tcPr>
          <w:p w14:paraId="49A9250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32,964,845.36</w:t>
            </w:r>
          </w:p>
        </w:tc>
        <w:tc>
          <w:tcPr>
            <w:tcW w:w="3213" w:type="dxa"/>
            <w:tcBorders>
              <w:top w:val="single" w:sz="2" w:space="0" w:color="auto"/>
              <w:left w:val="single" w:sz="2" w:space="0" w:color="auto"/>
              <w:bottom w:val="single" w:sz="2" w:space="0" w:color="auto"/>
              <w:right w:val="single" w:sz="2" w:space="0" w:color="auto"/>
            </w:tcBorders>
            <w:vAlign w:val="center"/>
          </w:tcPr>
          <w:p w14:paraId="78FDA44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180,771,875.41</w:t>
            </w:r>
          </w:p>
        </w:tc>
      </w:tr>
      <w:tr w:rsidR="00F73301" w:rsidRPr="00F73301" w14:paraId="04E63057"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C7EC2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3ABABBE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32,964,845.36</w:t>
            </w:r>
          </w:p>
        </w:tc>
        <w:tc>
          <w:tcPr>
            <w:tcW w:w="3213" w:type="dxa"/>
            <w:tcBorders>
              <w:top w:val="single" w:sz="2" w:space="0" w:color="auto"/>
              <w:left w:val="single" w:sz="2" w:space="0" w:color="auto"/>
              <w:bottom w:val="single" w:sz="2" w:space="0" w:color="auto"/>
              <w:right w:val="single" w:sz="2" w:space="0" w:color="auto"/>
            </w:tcBorders>
            <w:vAlign w:val="center"/>
          </w:tcPr>
          <w:p w14:paraId="28C767C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180,771,875.41</w:t>
            </w:r>
          </w:p>
        </w:tc>
      </w:tr>
    </w:tbl>
    <w:p w14:paraId="0DD93FAB" w14:textId="77777777" w:rsidR="00F73301" w:rsidRPr="00F73301" w:rsidRDefault="00F73301" w:rsidP="00FA3F5C">
      <w:pPr>
        <w:keepNext/>
        <w:keepLines/>
        <w:adjustRightInd w:val="0"/>
        <w:snapToGrid w:val="0"/>
        <w:spacing w:beforeLines="50" w:before="156" w:afterLines="50" w:after="156"/>
        <w:jc w:val="both"/>
        <w:outlineLvl w:val="3"/>
        <w:rPr>
          <w:rFonts w:ascii="Times New Roman" w:eastAsia="宋体" w:hAnsi="Times New Roman" w:cs="Times New Roman"/>
          <w:b/>
          <w:bCs/>
          <w:sz w:val="24"/>
          <w:szCs w:val="24"/>
        </w:rPr>
      </w:pPr>
      <w:bookmarkStart w:id="403" w:name="_Toc989291"/>
      <w:r w:rsidRPr="00F73301">
        <w:rPr>
          <w:rFonts w:ascii="Times New Roman" w:eastAsia="宋体" w:hAnsi="Times New Roman" w:cs="Times New Roman"/>
          <w:b/>
          <w:bCs/>
          <w:sz w:val="24"/>
          <w:szCs w:val="24"/>
        </w:rPr>
        <w:t>(1) Other receivables</w:t>
      </w:r>
      <w:bookmarkEnd w:id="403"/>
    </w:p>
    <w:p w14:paraId="626C303A" w14:textId="77777777" w:rsidR="00F73301" w:rsidRPr="00F73301" w:rsidRDefault="00F73301" w:rsidP="00FA3F5C">
      <w:pPr>
        <w:keepNext/>
        <w:keepLines/>
        <w:adjustRightInd w:val="0"/>
        <w:snapToGrid w:val="0"/>
        <w:spacing w:beforeLines="50" w:before="156" w:afterLines="50" w:after="156"/>
        <w:jc w:val="both"/>
        <w:outlineLvl w:val="4"/>
        <w:rPr>
          <w:rFonts w:ascii="Times New Roman" w:eastAsia="宋体" w:hAnsi="Times New Roman" w:cs="Times New Roman"/>
          <w:b/>
          <w:bCs/>
          <w:sz w:val="24"/>
          <w:szCs w:val="24"/>
        </w:rPr>
      </w:pPr>
      <w:bookmarkStart w:id="404" w:name="_Toc989292"/>
      <w:r w:rsidRPr="00F73301">
        <w:rPr>
          <w:rFonts w:ascii="Times New Roman" w:eastAsia="宋体" w:hAnsi="Times New Roman" w:cs="Times New Roman"/>
          <w:b/>
          <w:bCs/>
          <w:sz w:val="24"/>
          <w:szCs w:val="24"/>
        </w:rPr>
        <w:t>1) Category of other receivables by account nature</w:t>
      </w:r>
      <w:bookmarkEnd w:id="404"/>
    </w:p>
    <w:p w14:paraId="6B83083F"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EACA59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E0374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 of receivables</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B6335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carrying balance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DCEE3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carrying balance</w:t>
            </w:r>
          </w:p>
        </w:tc>
      </w:tr>
      <w:tr w:rsidR="00F73301" w:rsidRPr="00F73301" w14:paraId="71B7F0F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059E00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Call loans</w:t>
            </w:r>
          </w:p>
        </w:tc>
        <w:tc>
          <w:tcPr>
            <w:tcW w:w="3213" w:type="dxa"/>
            <w:tcBorders>
              <w:top w:val="single" w:sz="2" w:space="0" w:color="auto"/>
              <w:left w:val="single" w:sz="2" w:space="0" w:color="auto"/>
              <w:bottom w:val="single" w:sz="2" w:space="0" w:color="auto"/>
              <w:right w:val="single" w:sz="2" w:space="0" w:color="auto"/>
            </w:tcBorders>
            <w:vAlign w:val="center"/>
          </w:tcPr>
          <w:p w14:paraId="32F5747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28,117,939.19</w:t>
            </w:r>
          </w:p>
        </w:tc>
        <w:tc>
          <w:tcPr>
            <w:tcW w:w="3213" w:type="dxa"/>
            <w:tcBorders>
              <w:top w:val="single" w:sz="2" w:space="0" w:color="auto"/>
              <w:left w:val="single" w:sz="2" w:space="0" w:color="auto"/>
              <w:bottom w:val="single" w:sz="2" w:space="0" w:color="auto"/>
              <w:right w:val="single" w:sz="2" w:space="0" w:color="auto"/>
            </w:tcBorders>
            <w:vAlign w:val="center"/>
          </w:tcPr>
          <w:p w14:paraId="0D82E5D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175,119,878.84</w:t>
            </w:r>
          </w:p>
        </w:tc>
      </w:tr>
      <w:tr w:rsidR="00F73301" w:rsidRPr="00F73301" w14:paraId="4E99F69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8A45D1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3213" w:type="dxa"/>
            <w:tcBorders>
              <w:top w:val="single" w:sz="2" w:space="0" w:color="auto"/>
              <w:left w:val="single" w:sz="2" w:space="0" w:color="auto"/>
              <w:bottom w:val="single" w:sz="2" w:space="0" w:color="auto"/>
              <w:right w:val="single" w:sz="2" w:space="0" w:color="auto"/>
            </w:tcBorders>
            <w:vAlign w:val="center"/>
          </w:tcPr>
          <w:p w14:paraId="1493428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12,503,175.18</w:t>
            </w:r>
          </w:p>
        </w:tc>
        <w:tc>
          <w:tcPr>
            <w:tcW w:w="3213" w:type="dxa"/>
            <w:tcBorders>
              <w:top w:val="single" w:sz="2" w:space="0" w:color="auto"/>
              <w:left w:val="single" w:sz="2" w:space="0" w:color="auto"/>
              <w:bottom w:val="single" w:sz="2" w:space="0" w:color="auto"/>
              <w:right w:val="single" w:sz="2" w:space="0" w:color="auto"/>
            </w:tcBorders>
            <w:vAlign w:val="center"/>
          </w:tcPr>
          <w:p w14:paraId="706ADC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23,976,029.95</w:t>
            </w:r>
          </w:p>
        </w:tc>
      </w:tr>
      <w:tr w:rsidR="00F73301" w:rsidRPr="00F73301" w14:paraId="65D957FF"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0395BB7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Prepayments for taxes of agent import customs declaration</w:t>
            </w:r>
          </w:p>
        </w:tc>
        <w:tc>
          <w:tcPr>
            <w:tcW w:w="3213" w:type="dxa"/>
            <w:tcBorders>
              <w:top w:val="single" w:sz="2" w:space="0" w:color="auto"/>
              <w:left w:val="single" w:sz="2" w:space="0" w:color="auto"/>
              <w:bottom w:val="single" w:sz="2" w:space="0" w:color="auto"/>
              <w:right w:val="single" w:sz="2" w:space="0" w:color="auto"/>
            </w:tcBorders>
            <w:vAlign w:val="center"/>
          </w:tcPr>
          <w:p w14:paraId="2245E8C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69,913.19</w:t>
            </w:r>
          </w:p>
        </w:tc>
        <w:tc>
          <w:tcPr>
            <w:tcW w:w="3213" w:type="dxa"/>
            <w:tcBorders>
              <w:top w:val="single" w:sz="2" w:space="0" w:color="auto"/>
              <w:left w:val="single" w:sz="2" w:space="0" w:color="auto"/>
              <w:bottom w:val="single" w:sz="2" w:space="0" w:color="auto"/>
              <w:right w:val="single" w:sz="2" w:space="0" w:color="auto"/>
            </w:tcBorders>
            <w:vAlign w:val="center"/>
          </w:tcPr>
          <w:p w14:paraId="6EFFC94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96,389.18</w:t>
            </w:r>
          </w:p>
        </w:tc>
      </w:tr>
      <w:tr w:rsidR="00F73301" w:rsidRPr="00F73301" w14:paraId="6AD11266"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5E11BC4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Temporary payment receivable</w:t>
            </w:r>
          </w:p>
        </w:tc>
        <w:tc>
          <w:tcPr>
            <w:tcW w:w="3213" w:type="dxa"/>
            <w:tcBorders>
              <w:top w:val="single" w:sz="2" w:space="0" w:color="auto"/>
              <w:left w:val="single" w:sz="2" w:space="0" w:color="auto"/>
              <w:bottom w:val="single" w:sz="2" w:space="0" w:color="auto"/>
              <w:right w:val="single" w:sz="2" w:space="0" w:color="auto"/>
            </w:tcBorders>
            <w:vAlign w:val="center"/>
          </w:tcPr>
          <w:p w14:paraId="69701C0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2,827,888.90</w:t>
            </w:r>
          </w:p>
        </w:tc>
        <w:tc>
          <w:tcPr>
            <w:tcW w:w="3213" w:type="dxa"/>
            <w:tcBorders>
              <w:top w:val="single" w:sz="2" w:space="0" w:color="auto"/>
              <w:left w:val="single" w:sz="2" w:space="0" w:color="auto"/>
              <w:bottom w:val="single" w:sz="2" w:space="0" w:color="auto"/>
              <w:right w:val="single" w:sz="2" w:space="0" w:color="auto"/>
            </w:tcBorders>
            <w:vAlign w:val="center"/>
          </w:tcPr>
          <w:p w14:paraId="0CEFE92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2,906,486.26</w:t>
            </w:r>
          </w:p>
        </w:tc>
      </w:tr>
      <w:tr w:rsidR="00F73301" w:rsidRPr="00F73301" w14:paraId="684E7CF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1BBD5F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3213" w:type="dxa"/>
            <w:tcBorders>
              <w:top w:val="single" w:sz="2" w:space="0" w:color="auto"/>
              <w:left w:val="single" w:sz="2" w:space="0" w:color="auto"/>
              <w:bottom w:val="single" w:sz="2" w:space="0" w:color="auto"/>
              <w:right w:val="single" w:sz="2" w:space="0" w:color="auto"/>
            </w:tcBorders>
            <w:vAlign w:val="center"/>
          </w:tcPr>
          <w:p w14:paraId="4E0BD811"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6CE9B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94,388.02</w:t>
            </w:r>
          </w:p>
        </w:tc>
      </w:tr>
      <w:tr w:rsidR="00F73301" w:rsidRPr="00F73301" w14:paraId="2939341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1C58F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288D915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43,518,916.46</w:t>
            </w:r>
          </w:p>
        </w:tc>
        <w:tc>
          <w:tcPr>
            <w:tcW w:w="3213" w:type="dxa"/>
            <w:tcBorders>
              <w:top w:val="single" w:sz="2" w:space="0" w:color="auto"/>
              <w:left w:val="single" w:sz="2" w:space="0" w:color="auto"/>
              <w:bottom w:val="single" w:sz="2" w:space="0" w:color="auto"/>
              <w:right w:val="single" w:sz="2" w:space="0" w:color="auto"/>
            </w:tcBorders>
            <w:vAlign w:val="center"/>
          </w:tcPr>
          <w:p w14:paraId="5A0C698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202,193,172.25</w:t>
            </w:r>
          </w:p>
        </w:tc>
      </w:tr>
    </w:tbl>
    <w:p w14:paraId="12910EBC" w14:textId="77777777" w:rsidR="00F73301" w:rsidRPr="00F73301" w:rsidRDefault="00F73301" w:rsidP="00FA3F5C">
      <w:pPr>
        <w:keepNext/>
        <w:keepLines/>
        <w:adjustRightInd w:val="0"/>
        <w:snapToGrid w:val="0"/>
        <w:spacing w:beforeLines="50" w:before="156" w:afterLines="50" w:after="156"/>
        <w:jc w:val="both"/>
        <w:outlineLvl w:val="4"/>
        <w:rPr>
          <w:rFonts w:ascii="Times New Roman" w:eastAsia="宋体" w:hAnsi="Times New Roman" w:cs="Times New Roman"/>
          <w:b/>
          <w:bCs/>
          <w:sz w:val="24"/>
          <w:szCs w:val="24"/>
        </w:rPr>
      </w:pPr>
      <w:bookmarkStart w:id="405" w:name="_Toc989293"/>
      <w:r w:rsidRPr="00F73301">
        <w:rPr>
          <w:rFonts w:ascii="Times New Roman" w:eastAsia="宋体" w:hAnsi="Times New Roman" w:cs="Times New Roman"/>
          <w:b/>
          <w:bCs/>
          <w:sz w:val="24"/>
          <w:szCs w:val="24"/>
        </w:rPr>
        <w:t>2) Withdrawal of bad debt provision</w:t>
      </w:r>
      <w:bookmarkEnd w:id="405"/>
    </w:p>
    <w:p w14:paraId="61EEFFB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4D7FC896" w14:textId="77777777" w:rsidTr="0001208F">
        <w:trPr>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D5CD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Bad debt provision</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D35B6C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Stage 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B2637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Stage 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9D836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Stage 3</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C7A7D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r>
      <w:tr w:rsidR="00F73301" w:rsidRPr="00F73301" w14:paraId="5E618681" w14:textId="77777777" w:rsidTr="0001208F">
        <w:trPr>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3F13B6"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0E3F23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Expected credit loss in the next 12 months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CF7A7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Expected loss in the duration (credit impairment not incurred)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9B508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Expected loss in the duration (credit impairment incurred)</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6CFE38"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6AD65A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71ECB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Balance as at January 1, 2023</w:t>
            </w:r>
          </w:p>
        </w:tc>
        <w:tc>
          <w:tcPr>
            <w:tcW w:w="1928" w:type="dxa"/>
            <w:tcBorders>
              <w:top w:val="single" w:sz="2" w:space="0" w:color="auto"/>
              <w:left w:val="single" w:sz="2" w:space="0" w:color="auto"/>
              <w:bottom w:val="single" w:sz="2" w:space="0" w:color="auto"/>
              <w:right w:val="single" w:sz="2" w:space="0" w:color="auto"/>
            </w:tcBorders>
            <w:vAlign w:val="center"/>
          </w:tcPr>
          <w:p w14:paraId="5393DB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4,731,084.28</w:t>
            </w:r>
          </w:p>
        </w:tc>
        <w:tc>
          <w:tcPr>
            <w:tcW w:w="1928" w:type="dxa"/>
            <w:tcBorders>
              <w:top w:val="single" w:sz="2" w:space="0" w:color="auto"/>
              <w:left w:val="single" w:sz="2" w:space="0" w:color="auto"/>
              <w:bottom w:val="single" w:sz="2" w:space="0" w:color="auto"/>
              <w:right w:val="single" w:sz="2" w:space="0" w:color="auto"/>
            </w:tcBorders>
            <w:vAlign w:val="center"/>
          </w:tcPr>
          <w:p w14:paraId="6A543EC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9,885,226.52</w:t>
            </w:r>
          </w:p>
        </w:tc>
        <w:tc>
          <w:tcPr>
            <w:tcW w:w="1928" w:type="dxa"/>
            <w:tcBorders>
              <w:top w:val="single" w:sz="2" w:space="0" w:color="auto"/>
              <w:left w:val="single" w:sz="2" w:space="0" w:color="auto"/>
              <w:bottom w:val="single" w:sz="2" w:space="0" w:color="auto"/>
              <w:right w:val="single" w:sz="2" w:space="0" w:color="auto"/>
            </w:tcBorders>
            <w:vAlign w:val="center"/>
          </w:tcPr>
          <w:p w14:paraId="3CFA36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6,804,986.04</w:t>
            </w:r>
          </w:p>
        </w:tc>
        <w:tc>
          <w:tcPr>
            <w:tcW w:w="1928" w:type="dxa"/>
            <w:tcBorders>
              <w:top w:val="single" w:sz="2" w:space="0" w:color="auto"/>
              <w:left w:val="single" w:sz="2" w:space="0" w:color="auto"/>
              <w:bottom w:val="single" w:sz="2" w:space="0" w:color="auto"/>
              <w:right w:val="single" w:sz="2" w:space="0" w:color="auto"/>
            </w:tcBorders>
            <w:vAlign w:val="center"/>
          </w:tcPr>
          <w:p w14:paraId="6609F29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21,421,296.84</w:t>
            </w:r>
          </w:p>
        </w:tc>
      </w:tr>
      <w:tr w:rsidR="00F73301" w:rsidRPr="00F73301" w14:paraId="49E54F5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52076E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Balance as at January 1, 2022 in the current period</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7D61B8"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1A8A5D"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3AE64D"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A213FB"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82548D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21773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--Transferred to stage 2</w:t>
            </w:r>
          </w:p>
        </w:tc>
        <w:tc>
          <w:tcPr>
            <w:tcW w:w="1928" w:type="dxa"/>
            <w:tcBorders>
              <w:top w:val="single" w:sz="2" w:space="0" w:color="auto"/>
              <w:left w:val="single" w:sz="2" w:space="0" w:color="auto"/>
              <w:bottom w:val="single" w:sz="2" w:space="0" w:color="auto"/>
              <w:right w:val="single" w:sz="2" w:space="0" w:color="auto"/>
            </w:tcBorders>
            <w:vAlign w:val="center"/>
          </w:tcPr>
          <w:p w14:paraId="07E6BB0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-1,502,494.08</w:t>
            </w:r>
          </w:p>
        </w:tc>
        <w:tc>
          <w:tcPr>
            <w:tcW w:w="1928" w:type="dxa"/>
            <w:tcBorders>
              <w:top w:val="single" w:sz="2" w:space="0" w:color="auto"/>
              <w:left w:val="single" w:sz="2" w:space="0" w:color="auto"/>
              <w:bottom w:val="single" w:sz="2" w:space="0" w:color="auto"/>
              <w:right w:val="single" w:sz="2" w:space="0" w:color="auto"/>
            </w:tcBorders>
            <w:vAlign w:val="center"/>
          </w:tcPr>
          <w:p w14:paraId="39A15A0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1,502,494.08</w:t>
            </w:r>
          </w:p>
        </w:tc>
        <w:tc>
          <w:tcPr>
            <w:tcW w:w="1928" w:type="dxa"/>
            <w:tcBorders>
              <w:top w:val="single" w:sz="2" w:space="0" w:color="auto"/>
              <w:left w:val="single" w:sz="2" w:space="0" w:color="auto"/>
              <w:bottom w:val="single" w:sz="2" w:space="0" w:color="auto"/>
              <w:right w:val="single" w:sz="2" w:space="0" w:color="auto"/>
            </w:tcBorders>
            <w:vAlign w:val="center"/>
          </w:tcPr>
          <w:p w14:paraId="7E087724"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CF98C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B63BF2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68103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--Transferred to stage 3</w:t>
            </w:r>
          </w:p>
        </w:tc>
        <w:tc>
          <w:tcPr>
            <w:tcW w:w="1928" w:type="dxa"/>
            <w:tcBorders>
              <w:top w:val="single" w:sz="2" w:space="0" w:color="auto"/>
              <w:left w:val="single" w:sz="2" w:space="0" w:color="auto"/>
              <w:bottom w:val="single" w:sz="2" w:space="0" w:color="auto"/>
              <w:right w:val="single" w:sz="2" w:space="0" w:color="auto"/>
            </w:tcBorders>
            <w:vAlign w:val="center"/>
          </w:tcPr>
          <w:p w14:paraId="6842B29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1CB50C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-271,941.80</w:t>
            </w:r>
          </w:p>
        </w:tc>
        <w:tc>
          <w:tcPr>
            <w:tcW w:w="1928" w:type="dxa"/>
            <w:tcBorders>
              <w:top w:val="single" w:sz="2" w:space="0" w:color="auto"/>
              <w:left w:val="single" w:sz="2" w:space="0" w:color="auto"/>
              <w:bottom w:val="single" w:sz="2" w:space="0" w:color="auto"/>
              <w:right w:val="single" w:sz="2" w:space="0" w:color="auto"/>
            </w:tcBorders>
            <w:vAlign w:val="center"/>
          </w:tcPr>
          <w:p w14:paraId="4FE6EC6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271,941.80</w:t>
            </w:r>
          </w:p>
        </w:tc>
        <w:tc>
          <w:tcPr>
            <w:tcW w:w="1928" w:type="dxa"/>
            <w:tcBorders>
              <w:top w:val="single" w:sz="2" w:space="0" w:color="auto"/>
              <w:left w:val="single" w:sz="2" w:space="0" w:color="auto"/>
              <w:bottom w:val="single" w:sz="2" w:space="0" w:color="auto"/>
              <w:right w:val="single" w:sz="2" w:space="0" w:color="auto"/>
            </w:tcBorders>
            <w:vAlign w:val="center"/>
          </w:tcPr>
          <w:p w14:paraId="690762B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C67DB9C"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A93AD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Provision withdrawn in the current period</w:t>
            </w:r>
          </w:p>
        </w:tc>
        <w:tc>
          <w:tcPr>
            <w:tcW w:w="1928" w:type="dxa"/>
            <w:tcBorders>
              <w:top w:val="single" w:sz="2" w:space="0" w:color="auto"/>
              <w:left w:val="single" w:sz="2" w:space="0" w:color="auto"/>
              <w:bottom w:val="single" w:sz="2" w:space="0" w:color="auto"/>
              <w:right w:val="single" w:sz="2" w:space="0" w:color="auto"/>
            </w:tcBorders>
            <w:vAlign w:val="center"/>
          </w:tcPr>
          <w:p w14:paraId="23435E1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-2,988,577.42</w:t>
            </w:r>
          </w:p>
        </w:tc>
        <w:tc>
          <w:tcPr>
            <w:tcW w:w="1928" w:type="dxa"/>
            <w:tcBorders>
              <w:top w:val="single" w:sz="2" w:space="0" w:color="auto"/>
              <w:left w:val="single" w:sz="2" w:space="0" w:color="auto"/>
              <w:bottom w:val="single" w:sz="2" w:space="0" w:color="auto"/>
              <w:right w:val="single" w:sz="2" w:space="0" w:color="auto"/>
            </w:tcBorders>
            <w:vAlign w:val="center"/>
          </w:tcPr>
          <w:p w14:paraId="6A7D68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-8,110,790.64</w:t>
            </w:r>
          </w:p>
        </w:tc>
        <w:tc>
          <w:tcPr>
            <w:tcW w:w="1928" w:type="dxa"/>
            <w:tcBorders>
              <w:top w:val="single" w:sz="2" w:space="0" w:color="auto"/>
              <w:left w:val="single" w:sz="2" w:space="0" w:color="auto"/>
              <w:bottom w:val="single" w:sz="2" w:space="0" w:color="auto"/>
              <w:right w:val="single" w:sz="2" w:space="0" w:color="auto"/>
            </w:tcBorders>
            <w:vAlign w:val="center"/>
          </w:tcPr>
          <w:p w14:paraId="68146B0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232,142.32</w:t>
            </w:r>
          </w:p>
        </w:tc>
        <w:tc>
          <w:tcPr>
            <w:tcW w:w="1928" w:type="dxa"/>
            <w:tcBorders>
              <w:top w:val="single" w:sz="2" w:space="0" w:color="auto"/>
              <w:left w:val="single" w:sz="2" w:space="0" w:color="auto"/>
              <w:bottom w:val="single" w:sz="2" w:space="0" w:color="auto"/>
              <w:right w:val="single" w:sz="2" w:space="0" w:color="auto"/>
            </w:tcBorders>
            <w:vAlign w:val="center"/>
          </w:tcPr>
          <w:p w14:paraId="725B1CA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-10,867,225.74</w:t>
            </w:r>
          </w:p>
        </w:tc>
      </w:tr>
      <w:tr w:rsidR="00F73301" w:rsidRPr="00F73301" w14:paraId="0007CED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60C38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Balance as at June 30, 2023</w:t>
            </w:r>
          </w:p>
        </w:tc>
        <w:tc>
          <w:tcPr>
            <w:tcW w:w="1928" w:type="dxa"/>
            <w:tcBorders>
              <w:top w:val="single" w:sz="2" w:space="0" w:color="auto"/>
              <w:left w:val="single" w:sz="2" w:space="0" w:color="auto"/>
              <w:bottom w:val="single" w:sz="2" w:space="0" w:color="auto"/>
              <w:right w:val="single" w:sz="2" w:space="0" w:color="auto"/>
            </w:tcBorders>
            <w:vAlign w:val="center"/>
          </w:tcPr>
          <w:p w14:paraId="4639829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240,012.79</w:t>
            </w:r>
          </w:p>
        </w:tc>
        <w:tc>
          <w:tcPr>
            <w:tcW w:w="1928" w:type="dxa"/>
            <w:tcBorders>
              <w:top w:val="single" w:sz="2" w:space="0" w:color="auto"/>
              <w:left w:val="single" w:sz="2" w:space="0" w:color="auto"/>
              <w:bottom w:val="single" w:sz="2" w:space="0" w:color="auto"/>
              <w:right w:val="single" w:sz="2" w:space="0" w:color="auto"/>
            </w:tcBorders>
            <w:vAlign w:val="center"/>
          </w:tcPr>
          <w:p w14:paraId="275464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3,004,988.15</w:t>
            </w:r>
          </w:p>
        </w:tc>
        <w:tc>
          <w:tcPr>
            <w:tcW w:w="1928" w:type="dxa"/>
            <w:tcBorders>
              <w:top w:val="single" w:sz="2" w:space="0" w:color="auto"/>
              <w:left w:val="single" w:sz="2" w:space="0" w:color="auto"/>
              <w:bottom w:val="single" w:sz="2" w:space="0" w:color="auto"/>
              <w:right w:val="single" w:sz="2" w:space="0" w:color="auto"/>
            </w:tcBorders>
            <w:vAlign w:val="center"/>
          </w:tcPr>
          <w:p w14:paraId="6B9F72E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7,309,070.16</w:t>
            </w:r>
          </w:p>
        </w:tc>
        <w:tc>
          <w:tcPr>
            <w:tcW w:w="1928" w:type="dxa"/>
            <w:tcBorders>
              <w:top w:val="single" w:sz="2" w:space="0" w:color="auto"/>
              <w:left w:val="single" w:sz="2" w:space="0" w:color="auto"/>
              <w:bottom w:val="single" w:sz="2" w:space="0" w:color="auto"/>
              <w:right w:val="single" w:sz="2" w:space="0" w:color="auto"/>
            </w:tcBorders>
            <w:vAlign w:val="center"/>
          </w:tcPr>
          <w:p w14:paraId="5F093A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10,554,071.10</w:t>
            </w:r>
          </w:p>
        </w:tc>
      </w:tr>
    </w:tbl>
    <w:p w14:paraId="4696F98D"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Changes of carrying amount with significant amount changed of loss provision in the current period</w:t>
      </w:r>
    </w:p>
    <w:p w14:paraId="28F08233" w14:textId="705C4D6A"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00FA3F5C"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DBF95D3"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Disclosure by aging</w:t>
      </w:r>
    </w:p>
    <w:p w14:paraId="29E39B71"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3823D055"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BCF051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Ages</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002D7F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32E1BD59"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0FC304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 (inclusive)</w:t>
            </w:r>
          </w:p>
        </w:tc>
        <w:tc>
          <w:tcPr>
            <w:tcW w:w="4820" w:type="dxa"/>
            <w:tcBorders>
              <w:top w:val="single" w:sz="2" w:space="0" w:color="auto"/>
              <w:left w:val="single" w:sz="2" w:space="0" w:color="auto"/>
              <w:bottom w:val="single" w:sz="2" w:space="0" w:color="auto"/>
              <w:right w:val="single" w:sz="2" w:space="0" w:color="auto"/>
            </w:tcBorders>
            <w:vAlign w:val="center"/>
          </w:tcPr>
          <w:p w14:paraId="75D621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4,800,255.78</w:t>
            </w:r>
          </w:p>
        </w:tc>
      </w:tr>
      <w:tr w:rsidR="00F73301" w:rsidRPr="00F73301" w14:paraId="2DB2CB44"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929D73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4820" w:type="dxa"/>
            <w:tcBorders>
              <w:top w:val="single" w:sz="2" w:space="0" w:color="auto"/>
              <w:left w:val="single" w:sz="2" w:space="0" w:color="auto"/>
              <w:bottom w:val="single" w:sz="2" w:space="0" w:color="auto"/>
              <w:right w:val="single" w:sz="2" w:space="0" w:color="auto"/>
            </w:tcBorders>
            <w:vAlign w:val="center"/>
          </w:tcPr>
          <w:p w14:paraId="7532820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30,049,881.52</w:t>
            </w:r>
          </w:p>
        </w:tc>
      </w:tr>
      <w:tr w:rsidR="00F73301" w:rsidRPr="00F73301" w14:paraId="4061F110"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F2CB44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4820" w:type="dxa"/>
            <w:tcBorders>
              <w:top w:val="single" w:sz="2" w:space="0" w:color="auto"/>
              <w:left w:val="single" w:sz="2" w:space="0" w:color="auto"/>
              <w:bottom w:val="single" w:sz="2" w:space="0" w:color="auto"/>
              <w:right w:val="single" w:sz="2" w:space="0" w:color="auto"/>
            </w:tcBorders>
            <w:vAlign w:val="center"/>
          </w:tcPr>
          <w:p w14:paraId="310C4FE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2,719,418.00</w:t>
            </w:r>
          </w:p>
        </w:tc>
      </w:tr>
      <w:tr w:rsidR="00F73301" w:rsidRPr="00F73301" w14:paraId="33DC6543"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869C9B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4820" w:type="dxa"/>
            <w:tcBorders>
              <w:top w:val="single" w:sz="2" w:space="0" w:color="auto"/>
              <w:left w:val="single" w:sz="2" w:space="0" w:color="auto"/>
              <w:bottom w:val="single" w:sz="2" w:space="0" w:color="auto"/>
              <w:right w:val="single" w:sz="2" w:space="0" w:color="auto"/>
            </w:tcBorders>
            <w:vAlign w:val="center"/>
          </w:tcPr>
          <w:p w14:paraId="5D6CD96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5,949,361.16</w:t>
            </w:r>
          </w:p>
        </w:tc>
      </w:tr>
      <w:tr w:rsidR="00F73301" w:rsidRPr="00F73301" w14:paraId="5286DE42"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9257AF5"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Three to four years</w:t>
            </w:r>
          </w:p>
        </w:tc>
        <w:tc>
          <w:tcPr>
            <w:tcW w:w="4820" w:type="dxa"/>
            <w:tcBorders>
              <w:top w:val="single" w:sz="2" w:space="0" w:color="auto"/>
              <w:left w:val="single" w:sz="2" w:space="0" w:color="auto"/>
              <w:bottom w:val="single" w:sz="2" w:space="0" w:color="auto"/>
              <w:right w:val="single" w:sz="2" w:space="0" w:color="auto"/>
            </w:tcBorders>
            <w:vAlign w:val="center"/>
          </w:tcPr>
          <w:p w14:paraId="1DEAC4A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5,949,361.16</w:t>
            </w:r>
          </w:p>
        </w:tc>
      </w:tr>
      <w:tr w:rsidR="00F73301" w:rsidRPr="00F73301" w14:paraId="26295F57"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B096E8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4820" w:type="dxa"/>
            <w:tcBorders>
              <w:top w:val="single" w:sz="2" w:space="0" w:color="auto"/>
              <w:left w:val="single" w:sz="2" w:space="0" w:color="auto"/>
              <w:bottom w:val="single" w:sz="2" w:space="0" w:color="auto"/>
              <w:right w:val="single" w:sz="2" w:space="0" w:color="auto"/>
            </w:tcBorders>
            <w:vAlign w:val="center"/>
          </w:tcPr>
          <w:p w14:paraId="53E2281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43,518,916.46</w:t>
            </w:r>
          </w:p>
        </w:tc>
      </w:tr>
    </w:tbl>
    <w:p w14:paraId="1C3B43AE" w14:textId="77777777" w:rsidR="00F73301" w:rsidRPr="00F73301" w:rsidRDefault="00F73301" w:rsidP="00FA3F5C">
      <w:pPr>
        <w:keepNext/>
        <w:keepLines/>
        <w:snapToGrid w:val="0"/>
        <w:spacing w:beforeLines="50" w:before="156" w:afterLines="50" w:after="156"/>
        <w:jc w:val="both"/>
        <w:outlineLvl w:val="4"/>
        <w:rPr>
          <w:rFonts w:ascii="Times New Roman" w:eastAsia="宋体" w:hAnsi="Times New Roman" w:cs="Times New Roman"/>
          <w:b/>
          <w:bCs/>
          <w:sz w:val="24"/>
          <w:szCs w:val="24"/>
        </w:rPr>
      </w:pPr>
      <w:bookmarkStart w:id="406" w:name="_Toc989294"/>
      <w:r w:rsidRPr="00F73301">
        <w:rPr>
          <w:rFonts w:ascii="Times New Roman" w:eastAsia="宋体" w:hAnsi="Times New Roman" w:cs="Times New Roman"/>
          <w:b/>
          <w:bCs/>
          <w:sz w:val="24"/>
          <w:szCs w:val="24"/>
        </w:rPr>
        <w:t>3) Bad debt provision withdrawal, reversed or recovered in the current period</w:t>
      </w:r>
      <w:bookmarkEnd w:id="406"/>
    </w:p>
    <w:p w14:paraId="28A03118"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Withdrawal of bad debt provision in the current period:</w:t>
      </w:r>
    </w:p>
    <w:p w14:paraId="2488391E"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6E035683"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03EDB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Type</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C4748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9B83FF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Changes in the current period</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7A61B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r>
      <w:tr w:rsidR="00F73301" w:rsidRPr="00F73301" w14:paraId="418EBFE5"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1ABFCD" w14:textId="77777777" w:rsidR="00F73301" w:rsidRPr="00F73301" w:rsidRDefault="00F73301" w:rsidP="008C49B7">
            <w:pPr>
              <w:snapToGrid w:val="0"/>
              <w:rPr>
                <w:rFonts w:ascii="Times New Roman" w:eastAsia="等线"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3CD7A4"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2982F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Withdrawal</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916BF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Reversed or recovered</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E875D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Write-off</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3FE9EE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22511D" w14:textId="77777777" w:rsidR="00F73301" w:rsidRPr="00F73301" w:rsidRDefault="00F73301" w:rsidP="008C49B7">
            <w:pPr>
              <w:snapToGrid w:val="0"/>
              <w:rPr>
                <w:rFonts w:ascii="Times New Roman" w:eastAsia="等线" w:hAnsi="Times New Roman" w:cs="Times New Roman"/>
                <w:sz w:val="18"/>
                <w:szCs w:val="18"/>
              </w:rPr>
            </w:pPr>
          </w:p>
        </w:tc>
      </w:tr>
    </w:tbl>
    <w:p w14:paraId="1C647F6C"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567913CC"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7DF95079"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Of which the bad debt provision recovered or reversed with significant amount in the current period:</w:t>
      </w:r>
    </w:p>
    <w:p w14:paraId="60912A3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85FE442"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0D6E5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4F3B8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reversed or recovered</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AB72C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Way of recovery</w:t>
            </w:r>
          </w:p>
        </w:tc>
      </w:tr>
    </w:tbl>
    <w:p w14:paraId="71C4A465"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1FE3B087"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7CF7EC01" w14:textId="77777777" w:rsidR="00F73301" w:rsidRPr="00F73301" w:rsidRDefault="00F73301" w:rsidP="00FA3F5C">
      <w:pPr>
        <w:keepNext/>
        <w:keepLines/>
        <w:snapToGrid w:val="0"/>
        <w:spacing w:beforeLines="50" w:before="156" w:afterLines="50" w:after="156"/>
        <w:jc w:val="both"/>
        <w:outlineLvl w:val="4"/>
        <w:rPr>
          <w:rFonts w:ascii="Times New Roman" w:eastAsia="宋体" w:hAnsi="Times New Roman" w:cs="Times New Roman"/>
          <w:b/>
          <w:bCs/>
          <w:sz w:val="24"/>
          <w:szCs w:val="24"/>
        </w:rPr>
      </w:pPr>
      <w:bookmarkStart w:id="407" w:name="_Toc989295"/>
      <w:r w:rsidRPr="00F73301">
        <w:rPr>
          <w:rFonts w:ascii="Times New Roman" w:eastAsia="宋体" w:hAnsi="Times New Roman" w:cs="Times New Roman"/>
          <w:b/>
          <w:bCs/>
          <w:sz w:val="24"/>
          <w:szCs w:val="24"/>
        </w:rPr>
        <w:t>4) Other receivables with actual verification in the current period</w:t>
      </w:r>
      <w:bookmarkEnd w:id="407"/>
    </w:p>
    <w:p w14:paraId="4E25CEB6"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4820"/>
        <w:gridCol w:w="4819"/>
      </w:tblGrid>
      <w:tr w:rsidR="00F73301" w:rsidRPr="00F73301" w14:paraId="71FCBE7A" w14:textId="77777777" w:rsidTr="0001208F">
        <w:trPr>
          <w:jc w:val="center"/>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B77E8C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229A06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r>
    </w:tbl>
    <w:p w14:paraId="08244DB4"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Of which the verification of significant other receivables:</w:t>
      </w:r>
    </w:p>
    <w:p w14:paraId="73C59DC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4126B41B"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F42954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866022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C6CD2D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Written-off amount</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5E1E2B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Reason for verification</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5C45BE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Verification procedures performed</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907892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Whether occurred because of related-party transactions</w:t>
            </w:r>
          </w:p>
        </w:tc>
      </w:tr>
    </w:tbl>
    <w:p w14:paraId="04D83618"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Notes to the verification of other receivables:</w:t>
      </w:r>
    </w:p>
    <w:p w14:paraId="759FF8BA"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1515F8C0" w14:textId="77777777" w:rsidR="00F73301" w:rsidRPr="00F73301" w:rsidRDefault="00F73301" w:rsidP="00FA3F5C">
      <w:pPr>
        <w:keepNext/>
        <w:keepLines/>
        <w:snapToGrid w:val="0"/>
        <w:spacing w:beforeLines="50" w:before="156" w:afterLines="50" w:after="156"/>
        <w:jc w:val="both"/>
        <w:outlineLvl w:val="4"/>
        <w:rPr>
          <w:rFonts w:ascii="Times New Roman" w:eastAsia="宋体" w:hAnsi="Times New Roman" w:cs="Times New Roman"/>
          <w:b/>
          <w:bCs/>
          <w:sz w:val="24"/>
          <w:szCs w:val="24"/>
        </w:rPr>
      </w:pPr>
      <w:bookmarkStart w:id="408" w:name="_Toc989296"/>
      <w:r w:rsidRPr="00F73301">
        <w:rPr>
          <w:rFonts w:ascii="Times New Roman" w:eastAsia="宋体" w:hAnsi="Times New Roman" w:cs="Times New Roman"/>
          <w:b/>
          <w:bCs/>
          <w:sz w:val="24"/>
          <w:szCs w:val="24"/>
        </w:rPr>
        <w:t>5) Top five of the closing balance of other receivables collected according to the arrears party</w:t>
      </w:r>
      <w:bookmarkEnd w:id="408"/>
    </w:p>
    <w:p w14:paraId="06F496ED"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606"/>
        <w:gridCol w:w="1606"/>
        <w:gridCol w:w="1606"/>
        <w:gridCol w:w="1607"/>
        <w:gridCol w:w="1607"/>
        <w:gridCol w:w="1607"/>
      </w:tblGrid>
      <w:tr w:rsidR="00F73301" w:rsidRPr="00F73301" w14:paraId="1B192AB1"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04EA5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3FD51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Nature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FDF313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7004F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Ages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47B467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Proportion to total closing balance of other receivables</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4BB2D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of bad debt provision</w:t>
            </w:r>
          </w:p>
        </w:tc>
      </w:tr>
      <w:tr w:rsidR="00F73301" w:rsidRPr="00F73301" w14:paraId="4156ACE7"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2F87857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1</w:t>
            </w:r>
          </w:p>
        </w:tc>
        <w:tc>
          <w:tcPr>
            <w:tcW w:w="1606" w:type="dxa"/>
            <w:tcBorders>
              <w:top w:val="single" w:sz="2" w:space="0" w:color="auto"/>
              <w:left w:val="single" w:sz="2" w:space="0" w:color="auto"/>
              <w:bottom w:val="single" w:sz="2" w:space="0" w:color="auto"/>
              <w:right w:val="single" w:sz="2" w:space="0" w:color="auto"/>
            </w:tcBorders>
            <w:vAlign w:val="center"/>
          </w:tcPr>
          <w:p w14:paraId="7D17224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Call loans</w:t>
            </w:r>
          </w:p>
        </w:tc>
        <w:tc>
          <w:tcPr>
            <w:tcW w:w="1606" w:type="dxa"/>
            <w:tcBorders>
              <w:top w:val="single" w:sz="2" w:space="0" w:color="auto"/>
              <w:left w:val="single" w:sz="2" w:space="0" w:color="auto"/>
              <w:bottom w:val="single" w:sz="2" w:space="0" w:color="auto"/>
              <w:right w:val="single" w:sz="2" w:space="0" w:color="auto"/>
            </w:tcBorders>
            <w:vAlign w:val="center"/>
          </w:tcPr>
          <w:p w14:paraId="7B8B030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28,000,000.00</w:t>
            </w:r>
          </w:p>
        </w:tc>
        <w:tc>
          <w:tcPr>
            <w:tcW w:w="1606" w:type="dxa"/>
            <w:tcBorders>
              <w:top w:val="single" w:sz="2" w:space="0" w:color="auto"/>
              <w:left w:val="single" w:sz="2" w:space="0" w:color="auto"/>
              <w:bottom w:val="single" w:sz="2" w:space="0" w:color="auto"/>
              <w:right w:val="single" w:sz="2" w:space="0" w:color="auto"/>
            </w:tcBorders>
            <w:vAlign w:val="center"/>
          </w:tcPr>
          <w:p w14:paraId="1EFF88C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1606" w:type="dxa"/>
            <w:tcBorders>
              <w:top w:val="single" w:sz="2" w:space="0" w:color="auto"/>
              <w:left w:val="single" w:sz="2" w:space="0" w:color="auto"/>
              <w:bottom w:val="single" w:sz="2" w:space="0" w:color="auto"/>
              <w:right w:val="single" w:sz="2" w:space="0" w:color="auto"/>
            </w:tcBorders>
            <w:vAlign w:val="center"/>
          </w:tcPr>
          <w:p w14:paraId="4C2FB39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64.34%</w:t>
            </w:r>
          </w:p>
        </w:tc>
        <w:tc>
          <w:tcPr>
            <w:tcW w:w="1606" w:type="dxa"/>
            <w:tcBorders>
              <w:top w:val="single" w:sz="2" w:space="0" w:color="auto"/>
              <w:left w:val="single" w:sz="2" w:space="0" w:color="auto"/>
              <w:bottom w:val="single" w:sz="2" w:space="0" w:color="auto"/>
              <w:right w:val="single" w:sz="2" w:space="0" w:color="auto"/>
            </w:tcBorders>
            <w:vAlign w:val="center"/>
          </w:tcPr>
          <w:p w14:paraId="5D091AD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2,800,000.00</w:t>
            </w:r>
          </w:p>
        </w:tc>
      </w:tr>
      <w:tr w:rsidR="00F73301" w:rsidRPr="00F73301" w14:paraId="71190CF3"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3533DFC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2</w:t>
            </w:r>
          </w:p>
        </w:tc>
        <w:tc>
          <w:tcPr>
            <w:tcW w:w="1606" w:type="dxa"/>
            <w:tcBorders>
              <w:top w:val="single" w:sz="2" w:space="0" w:color="auto"/>
              <w:left w:val="single" w:sz="2" w:space="0" w:color="auto"/>
              <w:bottom w:val="single" w:sz="2" w:space="0" w:color="auto"/>
              <w:right w:val="single" w:sz="2" w:space="0" w:color="auto"/>
            </w:tcBorders>
            <w:vAlign w:val="center"/>
          </w:tcPr>
          <w:p w14:paraId="221BADA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1AE2B9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2,000,000.00</w:t>
            </w:r>
          </w:p>
        </w:tc>
        <w:tc>
          <w:tcPr>
            <w:tcW w:w="1606" w:type="dxa"/>
            <w:tcBorders>
              <w:top w:val="single" w:sz="2" w:space="0" w:color="auto"/>
              <w:left w:val="single" w:sz="2" w:space="0" w:color="auto"/>
              <w:bottom w:val="single" w:sz="2" w:space="0" w:color="auto"/>
              <w:right w:val="single" w:sz="2" w:space="0" w:color="auto"/>
            </w:tcBorders>
            <w:vAlign w:val="center"/>
          </w:tcPr>
          <w:p w14:paraId="06EEE84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1606" w:type="dxa"/>
            <w:tcBorders>
              <w:top w:val="single" w:sz="2" w:space="0" w:color="auto"/>
              <w:left w:val="single" w:sz="2" w:space="0" w:color="auto"/>
              <w:bottom w:val="single" w:sz="2" w:space="0" w:color="auto"/>
              <w:right w:val="single" w:sz="2" w:space="0" w:color="auto"/>
            </w:tcBorders>
            <w:vAlign w:val="center"/>
          </w:tcPr>
          <w:p w14:paraId="1650BE9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4.60%</w:t>
            </w:r>
          </w:p>
        </w:tc>
        <w:tc>
          <w:tcPr>
            <w:tcW w:w="1606" w:type="dxa"/>
            <w:tcBorders>
              <w:top w:val="single" w:sz="2" w:space="0" w:color="auto"/>
              <w:left w:val="single" w:sz="2" w:space="0" w:color="auto"/>
              <w:bottom w:val="single" w:sz="2" w:space="0" w:color="auto"/>
              <w:right w:val="single" w:sz="2" w:space="0" w:color="auto"/>
            </w:tcBorders>
            <w:vAlign w:val="center"/>
          </w:tcPr>
          <w:p w14:paraId="32AB4F9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2,000,000.00</w:t>
            </w:r>
          </w:p>
        </w:tc>
      </w:tr>
      <w:tr w:rsidR="00F73301" w:rsidRPr="00F73301" w14:paraId="67C4AE42"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6912AFD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3</w:t>
            </w:r>
          </w:p>
        </w:tc>
        <w:tc>
          <w:tcPr>
            <w:tcW w:w="1606" w:type="dxa"/>
            <w:tcBorders>
              <w:top w:val="single" w:sz="2" w:space="0" w:color="auto"/>
              <w:left w:val="single" w:sz="2" w:space="0" w:color="auto"/>
              <w:bottom w:val="single" w:sz="2" w:space="0" w:color="auto"/>
              <w:right w:val="single" w:sz="2" w:space="0" w:color="auto"/>
            </w:tcBorders>
            <w:vAlign w:val="center"/>
          </w:tcPr>
          <w:p w14:paraId="0CF1157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17D227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2,000,000.00</w:t>
            </w:r>
          </w:p>
        </w:tc>
        <w:tc>
          <w:tcPr>
            <w:tcW w:w="1606" w:type="dxa"/>
            <w:tcBorders>
              <w:top w:val="single" w:sz="2" w:space="0" w:color="auto"/>
              <w:left w:val="single" w:sz="2" w:space="0" w:color="auto"/>
              <w:bottom w:val="single" w:sz="2" w:space="0" w:color="auto"/>
              <w:right w:val="single" w:sz="2" w:space="0" w:color="auto"/>
            </w:tcBorders>
            <w:vAlign w:val="center"/>
          </w:tcPr>
          <w:p w14:paraId="743C00A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1606" w:type="dxa"/>
            <w:tcBorders>
              <w:top w:val="single" w:sz="2" w:space="0" w:color="auto"/>
              <w:left w:val="single" w:sz="2" w:space="0" w:color="auto"/>
              <w:bottom w:val="single" w:sz="2" w:space="0" w:color="auto"/>
              <w:right w:val="single" w:sz="2" w:space="0" w:color="auto"/>
            </w:tcBorders>
            <w:vAlign w:val="center"/>
          </w:tcPr>
          <w:p w14:paraId="3CF214E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4.60%</w:t>
            </w:r>
          </w:p>
        </w:tc>
        <w:tc>
          <w:tcPr>
            <w:tcW w:w="1606" w:type="dxa"/>
            <w:tcBorders>
              <w:top w:val="single" w:sz="2" w:space="0" w:color="auto"/>
              <w:left w:val="single" w:sz="2" w:space="0" w:color="auto"/>
              <w:bottom w:val="single" w:sz="2" w:space="0" w:color="auto"/>
              <w:right w:val="single" w:sz="2" w:space="0" w:color="auto"/>
            </w:tcBorders>
            <w:vAlign w:val="center"/>
          </w:tcPr>
          <w:p w14:paraId="2E17F2A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2,000,000.00</w:t>
            </w:r>
          </w:p>
        </w:tc>
      </w:tr>
      <w:tr w:rsidR="00F73301" w:rsidRPr="00F73301" w14:paraId="207D4010"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7F5DFFA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4</w:t>
            </w:r>
          </w:p>
        </w:tc>
        <w:tc>
          <w:tcPr>
            <w:tcW w:w="1606" w:type="dxa"/>
            <w:tcBorders>
              <w:top w:val="single" w:sz="2" w:space="0" w:color="auto"/>
              <w:left w:val="single" w:sz="2" w:space="0" w:color="auto"/>
              <w:bottom w:val="single" w:sz="2" w:space="0" w:color="auto"/>
              <w:right w:val="single" w:sz="2" w:space="0" w:color="auto"/>
            </w:tcBorders>
            <w:vAlign w:val="center"/>
          </w:tcPr>
          <w:p w14:paraId="5425962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40FEA3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130,000.00</w:t>
            </w:r>
          </w:p>
        </w:tc>
        <w:tc>
          <w:tcPr>
            <w:tcW w:w="1606" w:type="dxa"/>
            <w:tcBorders>
              <w:top w:val="single" w:sz="2" w:space="0" w:color="auto"/>
              <w:left w:val="single" w:sz="2" w:space="0" w:color="auto"/>
              <w:bottom w:val="single" w:sz="2" w:space="0" w:color="auto"/>
              <w:right w:val="single" w:sz="2" w:space="0" w:color="auto"/>
            </w:tcBorders>
            <w:vAlign w:val="center"/>
          </w:tcPr>
          <w:p w14:paraId="03DAC6B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1606" w:type="dxa"/>
            <w:tcBorders>
              <w:top w:val="single" w:sz="2" w:space="0" w:color="auto"/>
              <w:left w:val="single" w:sz="2" w:space="0" w:color="auto"/>
              <w:bottom w:val="single" w:sz="2" w:space="0" w:color="auto"/>
              <w:right w:val="single" w:sz="2" w:space="0" w:color="auto"/>
            </w:tcBorders>
            <w:vAlign w:val="center"/>
          </w:tcPr>
          <w:p w14:paraId="7B065FA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0.30%</w:t>
            </w:r>
          </w:p>
        </w:tc>
        <w:tc>
          <w:tcPr>
            <w:tcW w:w="1606" w:type="dxa"/>
            <w:tcBorders>
              <w:top w:val="single" w:sz="2" w:space="0" w:color="auto"/>
              <w:left w:val="single" w:sz="2" w:space="0" w:color="auto"/>
              <w:bottom w:val="single" w:sz="2" w:space="0" w:color="auto"/>
              <w:right w:val="single" w:sz="2" w:space="0" w:color="auto"/>
            </w:tcBorders>
            <w:vAlign w:val="center"/>
          </w:tcPr>
          <w:p w14:paraId="3E8F74B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13,000.00</w:t>
            </w:r>
          </w:p>
        </w:tc>
      </w:tr>
      <w:tr w:rsidR="00F73301" w:rsidRPr="00F73301" w14:paraId="7CC14067"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000F666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4</w:t>
            </w:r>
          </w:p>
        </w:tc>
        <w:tc>
          <w:tcPr>
            <w:tcW w:w="1606" w:type="dxa"/>
            <w:tcBorders>
              <w:top w:val="single" w:sz="2" w:space="0" w:color="auto"/>
              <w:left w:val="single" w:sz="2" w:space="0" w:color="auto"/>
              <w:bottom w:val="single" w:sz="2" w:space="0" w:color="auto"/>
              <w:right w:val="single" w:sz="2" w:space="0" w:color="auto"/>
            </w:tcBorders>
            <w:vAlign w:val="center"/>
          </w:tcPr>
          <w:p w14:paraId="69D846E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2925ACD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1,200,000.00</w:t>
            </w:r>
          </w:p>
        </w:tc>
        <w:tc>
          <w:tcPr>
            <w:tcW w:w="1606" w:type="dxa"/>
            <w:tcBorders>
              <w:top w:val="single" w:sz="2" w:space="0" w:color="auto"/>
              <w:left w:val="single" w:sz="2" w:space="0" w:color="auto"/>
              <w:bottom w:val="single" w:sz="2" w:space="0" w:color="auto"/>
              <w:right w:val="single" w:sz="2" w:space="0" w:color="auto"/>
            </w:tcBorders>
            <w:vAlign w:val="center"/>
          </w:tcPr>
          <w:p w14:paraId="2564AB2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Two to three years</w:t>
            </w:r>
          </w:p>
        </w:tc>
        <w:tc>
          <w:tcPr>
            <w:tcW w:w="1606" w:type="dxa"/>
            <w:tcBorders>
              <w:top w:val="single" w:sz="2" w:space="0" w:color="auto"/>
              <w:left w:val="single" w:sz="2" w:space="0" w:color="auto"/>
              <w:bottom w:val="single" w:sz="2" w:space="0" w:color="auto"/>
              <w:right w:val="single" w:sz="2" w:space="0" w:color="auto"/>
            </w:tcBorders>
            <w:vAlign w:val="center"/>
          </w:tcPr>
          <w:p w14:paraId="22075C2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2.76%</w:t>
            </w:r>
          </w:p>
        </w:tc>
        <w:tc>
          <w:tcPr>
            <w:tcW w:w="1606" w:type="dxa"/>
            <w:tcBorders>
              <w:top w:val="single" w:sz="2" w:space="0" w:color="auto"/>
              <w:left w:val="single" w:sz="2" w:space="0" w:color="auto"/>
              <w:bottom w:val="single" w:sz="2" w:space="0" w:color="auto"/>
              <w:right w:val="single" w:sz="2" w:space="0" w:color="auto"/>
            </w:tcBorders>
            <w:vAlign w:val="center"/>
          </w:tcPr>
          <w:p w14:paraId="0F66FB3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600,000.00</w:t>
            </w:r>
          </w:p>
        </w:tc>
      </w:tr>
      <w:tr w:rsidR="00F73301" w:rsidRPr="00F73301" w14:paraId="6BF3D423"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1CD0A92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4</w:t>
            </w:r>
          </w:p>
        </w:tc>
        <w:tc>
          <w:tcPr>
            <w:tcW w:w="1606" w:type="dxa"/>
            <w:tcBorders>
              <w:top w:val="single" w:sz="2" w:space="0" w:color="auto"/>
              <w:left w:val="single" w:sz="2" w:space="0" w:color="auto"/>
              <w:bottom w:val="single" w:sz="2" w:space="0" w:color="auto"/>
              <w:right w:val="single" w:sz="2" w:space="0" w:color="auto"/>
            </w:tcBorders>
            <w:vAlign w:val="center"/>
          </w:tcPr>
          <w:p w14:paraId="0BF703A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1E5320F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600,000.00</w:t>
            </w:r>
          </w:p>
        </w:tc>
        <w:tc>
          <w:tcPr>
            <w:tcW w:w="1606" w:type="dxa"/>
            <w:tcBorders>
              <w:top w:val="single" w:sz="2" w:space="0" w:color="auto"/>
              <w:left w:val="single" w:sz="2" w:space="0" w:color="auto"/>
              <w:bottom w:val="single" w:sz="2" w:space="0" w:color="auto"/>
              <w:right w:val="single" w:sz="2" w:space="0" w:color="auto"/>
            </w:tcBorders>
            <w:vAlign w:val="center"/>
          </w:tcPr>
          <w:p w14:paraId="76255A2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Above three years</w:t>
            </w:r>
          </w:p>
        </w:tc>
        <w:tc>
          <w:tcPr>
            <w:tcW w:w="1606" w:type="dxa"/>
            <w:tcBorders>
              <w:top w:val="single" w:sz="2" w:space="0" w:color="auto"/>
              <w:left w:val="single" w:sz="2" w:space="0" w:color="auto"/>
              <w:bottom w:val="single" w:sz="2" w:space="0" w:color="auto"/>
              <w:right w:val="single" w:sz="2" w:space="0" w:color="auto"/>
            </w:tcBorders>
            <w:vAlign w:val="center"/>
          </w:tcPr>
          <w:p w14:paraId="12009EF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w:t>
            </w:r>
          </w:p>
        </w:tc>
        <w:tc>
          <w:tcPr>
            <w:tcW w:w="1606" w:type="dxa"/>
            <w:tcBorders>
              <w:top w:val="single" w:sz="2" w:space="0" w:color="auto"/>
              <w:left w:val="single" w:sz="2" w:space="0" w:color="auto"/>
              <w:bottom w:val="single" w:sz="2" w:space="0" w:color="auto"/>
              <w:right w:val="single" w:sz="2" w:space="0" w:color="auto"/>
            </w:tcBorders>
            <w:vAlign w:val="center"/>
          </w:tcPr>
          <w:p w14:paraId="3CDFACC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600,000.00</w:t>
            </w:r>
          </w:p>
        </w:tc>
      </w:tr>
      <w:tr w:rsidR="00F73301" w:rsidRPr="00F73301" w14:paraId="17626C32"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041E230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5</w:t>
            </w:r>
          </w:p>
        </w:tc>
        <w:tc>
          <w:tcPr>
            <w:tcW w:w="1606" w:type="dxa"/>
            <w:tcBorders>
              <w:top w:val="single" w:sz="2" w:space="0" w:color="auto"/>
              <w:left w:val="single" w:sz="2" w:space="0" w:color="auto"/>
              <w:bottom w:val="single" w:sz="2" w:space="0" w:color="auto"/>
              <w:right w:val="single" w:sz="2" w:space="0" w:color="auto"/>
            </w:tcBorders>
            <w:vAlign w:val="center"/>
          </w:tcPr>
          <w:p w14:paraId="13317A3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6C2A40D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570,000.00</w:t>
            </w:r>
          </w:p>
        </w:tc>
        <w:tc>
          <w:tcPr>
            <w:tcW w:w="1606" w:type="dxa"/>
            <w:tcBorders>
              <w:top w:val="single" w:sz="2" w:space="0" w:color="auto"/>
              <w:left w:val="single" w:sz="2" w:space="0" w:color="auto"/>
              <w:bottom w:val="single" w:sz="2" w:space="0" w:color="auto"/>
              <w:right w:val="single" w:sz="2" w:space="0" w:color="auto"/>
            </w:tcBorders>
            <w:vAlign w:val="center"/>
          </w:tcPr>
          <w:p w14:paraId="2C0615B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Within one year</w:t>
            </w:r>
          </w:p>
        </w:tc>
        <w:tc>
          <w:tcPr>
            <w:tcW w:w="1606" w:type="dxa"/>
            <w:tcBorders>
              <w:top w:val="single" w:sz="2" w:space="0" w:color="auto"/>
              <w:left w:val="single" w:sz="2" w:space="0" w:color="auto"/>
              <w:bottom w:val="single" w:sz="2" w:space="0" w:color="auto"/>
              <w:right w:val="single" w:sz="2" w:space="0" w:color="auto"/>
            </w:tcBorders>
            <w:vAlign w:val="center"/>
          </w:tcPr>
          <w:p w14:paraId="007B6A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1.31%</w:t>
            </w:r>
          </w:p>
        </w:tc>
        <w:tc>
          <w:tcPr>
            <w:tcW w:w="1606" w:type="dxa"/>
            <w:tcBorders>
              <w:top w:val="single" w:sz="2" w:space="0" w:color="auto"/>
              <w:left w:val="single" w:sz="2" w:space="0" w:color="auto"/>
              <w:bottom w:val="single" w:sz="2" w:space="0" w:color="auto"/>
              <w:right w:val="single" w:sz="2" w:space="0" w:color="auto"/>
            </w:tcBorders>
            <w:vAlign w:val="center"/>
          </w:tcPr>
          <w:p w14:paraId="19B6DDA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28,500.00</w:t>
            </w:r>
          </w:p>
        </w:tc>
      </w:tr>
      <w:tr w:rsidR="00F73301" w:rsidRPr="00F73301" w14:paraId="678D8406"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vAlign w:val="center"/>
          </w:tcPr>
          <w:p w14:paraId="35DD8A4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No. 5</w:t>
            </w:r>
          </w:p>
        </w:tc>
        <w:tc>
          <w:tcPr>
            <w:tcW w:w="1606" w:type="dxa"/>
            <w:tcBorders>
              <w:top w:val="single" w:sz="2" w:space="0" w:color="auto"/>
              <w:left w:val="single" w:sz="2" w:space="0" w:color="auto"/>
              <w:bottom w:val="single" w:sz="2" w:space="0" w:color="auto"/>
              <w:right w:val="single" w:sz="2" w:space="0" w:color="auto"/>
            </w:tcBorders>
            <w:vAlign w:val="center"/>
          </w:tcPr>
          <w:p w14:paraId="0F0F7CC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Guarantee deposits</w:t>
            </w:r>
          </w:p>
        </w:tc>
        <w:tc>
          <w:tcPr>
            <w:tcW w:w="1606" w:type="dxa"/>
            <w:tcBorders>
              <w:top w:val="single" w:sz="2" w:space="0" w:color="auto"/>
              <w:left w:val="single" w:sz="2" w:space="0" w:color="auto"/>
              <w:bottom w:val="single" w:sz="2" w:space="0" w:color="auto"/>
              <w:right w:val="single" w:sz="2" w:space="0" w:color="auto"/>
            </w:tcBorders>
            <w:vAlign w:val="center"/>
          </w:tcPr>
          <w:p w14:paraId="6032EDD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930,000.00</w:t>
            </w:r>
          </w:p>
        </w:tc>
        <w:tc>
          <w:tcPr>
            <w:tcW w:w="1606" w:type="dxa"/>
            <w:tcBorders>
              <w:top w:val="single" w:sz="2" w:space="0" w:color="auto"/>
              <w:left w:val="single" w:sz="2" w:space="0" w:color="auto"/>
              <w:bottom w:val="single" w:sz="2" w:space="0" w:color="auto"/>
              <w:right w:val="single" w:sz="2" w:space="0" w:color="auto"/>
            </w:tcBorders>
            <w:vAlign w:val="center"/>
          </w:tcPr>
          <w:p w14:paraId="1CDBC54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One to two years</w:t>
            </w:r>
          </w:p>
        </w:tc>
        <w:tc>
          <w:tcPr>
            <w:tcW w:w="1606" w:type="dxa"/>
            <w:tcBorders>
              <w:top w:val="single" w:sz="2" w:space="0" w:color="auto"/>
              <w:left w:val="single" w:sz="2" w:space="0" w:color="auto"/>
              <w:bottom w:val="single" w:sz="2" w:space="0" w:color="auto"/>
              <w:right w:val="single" w:sz="2" w:space="0" w:color="auto"/>
            </w:tcBorders>
            <w:vAlign w:val="center"/>
          </w:tcPr>
          <w:p w14:paraId="362CCD2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2.14%</w:t>
            </w:r>
          </w:p>
        </w:tc>
        <w:tc>
          <w:tcPr>
            <w:tcW w:w="1606" w:type="dxa"/>
            <w:tcBorders>
              <w:top w:val="single" w:sz="2" w:space="0" w:color="auto"/>
              <w:left w:val="single" w:sz="2" w:space="0" w:color="auto"/>
              <w:bottom w:val="single" w:sz="2" w:space="0" w:color="auto"/>
              <w:right w:val="single" w:sz="2" w:space="0" w:color="auto"/>
            </w:tcBorders>
            <w:vAlign w:val="center"/>
          </w:tcPr>
          <w:p w14:paraId="6FC805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93,000.00</w:t>
            </w:r>
          </w:p>
        </w:tc>
      </w:tr>
      <w:tr w:rsidR="00F73301" w:rsidRPr="00F73301" w14:paraId="2B2BD6BF" w14:textId="77777777" w:rsidTr="0001208F">
        <w:trPr>
          <w:jc w:val="center"/>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B0EC86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12AD250" w14:textId="77777777" w:rsidR="00F73301" w:rsidRPr="00F73301" w:rsidRDefault="00F73301" w:rsidP="008C49B7">
            <w:pPr>
              <w:snapToGrid w:val="0"/>
              <w:rPr>
                <w:rFonts w:ascii="Times New Roman" w:eastAsia="等线"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2D3181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35,430,000.00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74EDEDA" w14:textId="77777777" w:rsidR="00F73301" w:rsidRPr="00F73301" w:rsidRDefault="00F73301" w:rsidP="008C49B7">
            <w:pPr>
              <w:snapToGrid w:val="0"/>
              <w:rPr>
                <w:rFonts w:ascii="Times New Roman" w:eastAsia="等线"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7C81E2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81.43%</w:t>
            </w:r>
          </w:p>
        </w:tc>
        <w:tc>
          <w:tcPr>
            <w:tcW w:w="1606" w:type="dxa"/>
            <w:tcBorders>
              <w:top w:val="single" w:sz="2" w:space="0" w:color="auto"/>
              <w:left w:val="single" w:sz="2" w:space="0" w:color="auto"/>
              <w:bottom w:val="single" w:sz="2" w:space="0" w:color="auto"/>
              <w:right w:val="single" w:sz="2" w:space="0" w:color="auto"/>
            </w:tcBorders>
            <w:vAlign w:val="center"/>
          </w:tcPr>
          <w:p w14:paraId="6339602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8,134,500.00</w:t>
            </w:r>
          </w:p>
        </w:tc>
      </w:tr>
    </w:tbl>
    <w:p w14:paraId="4BDA37E6" w14:textId="77777777" w:rsidR="00F73301" w:rsidRPr="00F73301" w:rsidRDefault="00F73301" w:rsidP="00FA3F5C">
      <w:pPr>
        <w:keepNext/>
        <w:keepLines/>
        <w:snapToGrid w:val="0"/>
        <w:spacing w:beforeLines="50" w:before="156" w:afterLines="50" w:after="156"/>
        <w:jc w:val="both"/>
        <w:outlineLvl w:val="4"/>
        <w:rPr>
          <w:rFonts w:ascii="Times New Roman" w:eastAsia="宋体" w:hAnsi="Times New Roman" w:cs="Times New Roman"/>
          <w:b/>
          <w:bCs/>
          <w:sz w:val="24"/>
          <w:szCs w:val="24"/>
        </w:rPr>
      </w:pPr>
      <w:bookmarkStart w:id="409" w:name="_Toc989297"/>
      <w:r w:rsidRPr="00F73301">
        <w:rPr>
          <w:rFonts w:ascii="Times New Roman" w:eastAsia="宋体" w:hAnsi="Times New Roman" w:cs="Times New Roman"/>
          <w:b/>
          <w:bCs/>
          <w:sz w:val="24"/>
          <w:szCs w:val="24"/>
        </w:rPr>
        <w:t>6) Receivables involving government grants</w:t>
      </w:r>
      <w:bookmarkEnd w:id="409"/>
    </w:p>
    <w:p w14:paraId="0D9F5C95"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746EAF7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AF746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Entity</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12718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Project of government grants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9B4D6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F407DC"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aging</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DE4E4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Estimated recovering time, amount and basis</w:t>
            </w:r>
          </w:p>
        </w:tc>
      </w:tr>
    </w:tbl>
    <w:p w14:paraId="554E8415"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402DEC46"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3CCE20AE" w14:textId="77777777" w:rsidR="00F73301" w:rsidRPr="00F73301" w:rsidRDefault="00F73301" w:rsidP="00FA3F5C">
      <w:pPr>
        <w:keepNext/>
        <w:keepLines/>
        <w:snapToGrid w:val="0"/>
        <w:spacing w:beforeLines="50" w:before="156" w:afterLines="50" w:after="156"/>
        <w:jc w:val="both"/>
        <w:outlineLvl w:val="4"/>
        <w:rPr>
          <w:rFonts w:ascii="Times New Roman" w:eastAsia="宋体" w:hAnsi="Times New Roman" w:cs="Times New Roman"/>
          <w:b/>
          <w:bCs/>
          <w:sz w:val="24"/>
          <w:szCs w:val="24"/>
        </w:rPr>
      </w:pPr>
      <w:bookmarkStart w:id="410" w:name="_Toc989298"/>
      <w:r w:rsidRPr="00F73301">
        <w:rPr>
          <w:rFonts w:ascii="Times New Roman" w:eastAsia="宋体" w:hAnsi="Times New Roman" w:cs="Times New Roman"/>
          <w:b/>
          <w:bCs/>
          <w:sz w:val="24"/>
          <w:szCs w:val="24"/>
        </w:rPr>
        <w:t>7) Derecognition of other receivables due to the transfer of financial assets</w:t>
      </w:r>
      <w:bookmarkEnd w:id="410"/>
    </w:p>
    <w:p w14:paraId="4AC89897"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0C92A97B" w14:textId="77777777" w:rsidR="00F73301" w:rsidRPr="00F73301" w:rsidRDefault="00F73301" w:rsidP="00FA3F5C">
      <w:pPr>
        <w:keepNext/>
        <w:keepLines/>
        <w:snapToGrid w:val="0"/>
        <w:spacing w:beforeLines="50" w:before="156" w:afterLines="50" w:after="156"/>
        <w:jc w:val="both"/>
        <w:outlineLvl w:val="4"/>
        <w:rPr>
          <w:rFonts w:ascii="Times New Roman" w:eastAsia="宋体" w:hAnsi="Times New Roman" w:cs="Times New Roman"/>
          <w:b/>
          <w:bCs/>
          <w:sz w:val="24"/>
          <w:szCs w:val="24"/>
        </w:rPr>
      </w:pPr>
      <w:bookmarkStart w:id="411" w:name="_Toc989299"/>
      <w:r w:rsidRPr="00F73301">
        <w:rPr>
          <w:rFonts w:ascii="Times New Roman" w:eastAsia="宋体" w:hAnsi="Times New Roman" w:cs="Times New Roman"/>
          <w:b/>
          <w:bCs/>
          <w:sz w:val="24"/>
          <w:szCs w:val="24"/>
        </w:rPr>
        <w:lastRenderedPageBreak/>
        <w:t>8) The amount of the assets and liabilities formed due to the transfer and the continued involvement of other receivables</w:t>
      </w:r>
      <w:bookmarkEnd w:id="411"/>
    </w:p>
    <w:p w14:paraId="717C983E"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53E96414"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3BB14049"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19FC1560"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412" w:name="_Toc989300"/>
      <w:r w:rsidRPr="00F73301">
        <w:rPr>
          <w:rFonts w:ascii="Times New Roman" w:eastAsia="宋体" w:hAnsi="Times New Roman" w:cs="Times New Roman"/>
          <w:b/>
          <w:bCs/>
          <w:sz w:val="24"/>
          <w:szCs w:val="24"/>
        </w:rPr>
        <w:t>3. Long-term equity investment</w:t>
      </w:r>
      <w:bookmarkEnd w:id="412"/>
    </w:p>
    <w:p w14:paraId="76CCCA1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F73301" w:rsidRPr="00F73301" w14:paraId="7C8D8792" w14:textId="77777777" w:rsidTr="0001208F">
        <w:trPr>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71690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ED75D3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71F730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w:t>
            </w:r>
          </w:p>
        </w:tc>
      </w:tr>
      <w:tr w:rsidR="00F73301" w:rsidRPr="00F73301" w14:paraId="30BFF2A5" w14:textId="77777777" w:rsidTr="0001208F">
        <w:trPr>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96E1AD" w14:textId="77777777" w:rsidR="00F73301" w:rsidRPr="00F73301" w:rsidRDefault="00F73301" w:rsidP="008C49B7">
            <w:pPr>
              <w:snapToGrid w:val="0"/>
              <w:rPr>
                <w:rFonts w:ascii="Times New Roman" w:eastAsia="等线"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35C8A9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03D3CB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4EF00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75A20B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balance</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A5075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1172A5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Carrying amount</w:t>
            </w:r>
          </w:p>
        </w:tc>
      </w:tr>
      <w:tr w:rsidR="00F73301" w:rsidRPr="00F73301" w14:paraId="0313E632"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CC6FC5"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Investments in subsidiaries</w:t>
            </w:r>
          </w:p>
        </w:tc>
        <w:tc>
          <w:tcPr>
            <w:tcW w:w="1377" w:type="dxa"/>
            <w:tcBorders>
              <w:top w:val="single" w:sz="2" w:space="0" w:color="auto"/>
              <w:left w:val="single" w:sz="2" w:space="0" w:color="auto"/>
              <w:bottom w:val="single" w:sz="2" w:space="0" w:color="auto"/>
              <w:right w:val="single" w:sz="2" w:space="0" w:color="auto"/>
            </w:tcBorders>
            <w:vAlign w:val="center"/>
          </w:tcPr>
          <w:p w14:paraId="13E8AB8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1,181,622,408.56</w:t>
            </w:r>
          </w:p>
        </w:tc>
        <w:tc>
          <w:tcPr>
            <w:tcW w:w="1377" w:type="dxa"/>
            <w:tcBorders>
              <w:top w:val="single" w:sz="2" w:space="0" w:color="auto"/>
              <w:left w:val="single" w:sz="2" w:space="0" w:color="auto"/>
              <w:bottom w:val="single" w:sz="2" w:space="0" w:color="auto"/>
              <w:right w:val="single" w:sz="2" w:space="0" w:color="auto"/>
            </w:tcBorders>
            <w:vAlign w:val="center"/>
          </w:tcPr>
          <w:p w14:paraId="60089D5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10,559,705.89</w:t>
            </w:r>
          </w:p>
        </w:tc>
        <w:tc>
          <w:tcPr>
            <w:tcW w:w="1377" w:type="dxa"/>
            <w:tcBorders>
              <w:top w:val="single" w:sz="2" w:space="0" w:color="auto"/>
              <w:left w:val="single" w:sz="2" w:space="0" w:color="auto"/>
              <w:bottom w:val="single" w:sz="2" w:space="0" w:color="auto"/>
              <w:right w:val="single" w:sz="2" w:space="0" w:color="auto"/>
            </w:tcBorders>
            <w:vAlign w:val="center"/>
          </w:tcPr>
          <w:p w14:paraId="45895A9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1,171,062,702.67</w:t>
            </w:r>
          </w:p>
        </w:tc>
        <w:tc>
          <w:tcPr>
            <w:tcW w:w="1377" w:type="dxa"/>
            <w:tcBorders>
              <w:top w:val="single" w:sz="2" w:space="0" w:color="auto"/>
              <w:left w:val="single" w:sz="2" w:space="0" w:color="auto"/>
              <w:bottom w:val="single" w:sz="2" w:space="0" w:color="auto"/>
              <w:right w:val="single" w:sz="2" w:space="0" w:color="auto"/>
            </w:tcBorders>
            <w:vAlign w:val="center"/>
          </w:tcPr>
          <w:p w14:paraId="416524F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472,591,973.78</w:t>
            </w:r>
          </w:p>
        </w:tc>
        <w:tc>
          <w:tcPr>
            <w:tcW w:w="1377" w:type="dxa"/>
            <w:tcBorders>
              <w:top w:val="single" w:sz="2" w:space="0" w:color="auto"/>
              <w:left w:val="single" w:sz="2" w:space="0" w:color="auto"/>
              <w:bottom w:val="single" w:sz="2" w:space="0" w:color="auto"/>
              <w:right w:val="single" w:sz="2" w:space="0" w:color="auto"/>
            </w:tcBorders>
            <w:vAlign w:val="center"/>
          </w:tcPr>
          <w:p w14:paraId="604867A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10,559,705.89</w:t>
            </w:r>
          </w:p>
        </w:tc>
        <w:tc>
          <w:tcPr>
            <w:tcW w:w="1377" w:type="dxa"/>
            <w:tcBorders>
              <w:top w:val="single" w:sz="2" w:space="0" w:color="auto"/>
              <w:left w:val="single" w:sz="2" w:space="0" w:color="auto"/>
              <w:bottom w:val="single" w:sz="2" w:space="0" w:color="auto"/>
              <w:right w:val="single" w:sz="2" w:space="0" w:color="auto"/>
            </w:tcBorders>
            <w:vAlign w:val="center"/>
          </w:tcPr>
          <w:p w14:paraId="54BD73E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462,032,267.89</w:t>
            </w:r>
          </w:p>
        </w:tc>
      </w:tr>
      <w:tr w:rsidR="00F73301" w:rsidRPr="00F73301" w14:paraId="17E6E36C"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D72C30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Investments in associates and joint ventures</w:t>
            </w:r>
          </w:p>
        </w:tc>
        <w:tc>
          <w:tcPr>
            <w:tcW w:w="1377" w:type="dxa"/>
            <w:tcBorders>
              <w:top w:val="single" w:sz="2" w:space="0" w:color="auto"/>
              <w:left w:val="single" w:sz="2" w:space="0" w:color="auto"/>
              <w:bottom w:val="single" w:sz="2" w:space="0" w:color="auto"/>
              <w:right w:val="single" w:sz="2" w:space="0" w:color="auto"/>
            </w:tcBorders>
            <w:vAlign w:val="center"/>
          </w:tcPr>
          <w:p w14:paraId="26B0226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60,747,681.56</w:t>
            </w:r>
          </w:p>
        </w:tc>
        <w:tc>
          <w:tcPr>
            <w:tcW w:w="1377" w:type="dxa"/>
            <w:tcBorders>
              <w:top w:val="single" w:sz="2" w:space="0" w:color="auto"/>
              <w:left w:val="single" w:sz="2" w:space="0" w:color="auto"/>
              <w:bottom w:val="single" w:sz="2" w:space="0" w:color="auto"/>
              <w:right w:val="single" w:sz="2" w:space="0" w:color="auto"/>
            </w:tcBorders>
            <w:vAlign w:val="center"/>
          </w:tcPr>
          <w:p w14:paraId="4E25CCB9"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2BAB3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60,747,681.56</w:t>
            </w:r>
          </w:p>
        </w:tc>
        <w:tc>
          <w:tcPr>
            <w:tcW w:w="1377" w:type="dxa"/>
            <w:tcBorders>
              <w:top w:val="single" w:sz="2" w:space="0" w:color="auto"/>
              <w:left w:val="single" w:sz="2" w:space="0" w:color="auto"/>
              <w:bottom w:val="single" w:sz="2" w:space="0" w:color="auto"/>
              <w:right w:val="single" w:sz="2" w:space="0" w:color="auto"/>
            </w:tcBorders>
            <w:vAlign w:val="center"/>
          </w:tcPr>
          <w:p w14:paraId="755497A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466,606,774.74</w:t>
            </w:r>
          </w:p>
        </w:tc>
        <w:tc>
          <w:tcPr>
            <w:tcW w:w="1377" w:type="dxa"/>
            <w:tcBorders>
              <w:top w:val="single" w:sz="2" w:space="0" w:color="auto"/>
              <w:left w:val="single" w:sz="2" w:space="0" w:color="auto"/>
              <w:bottom w:val="single" w:sz="2" w:space="0" w:color="auto"/>
              <w:right w:val="single" w:sz="2" w:space="0" w:color="auto"/>
            </w:tcBorders>
            <w:vAlign w:val="center"/>
          </w:tcPr>
          <w:p w14:paraId="4949C0DF" w14:textId="77777777" w:rsidR="00F73301" w:rsidRPr="00F73301" w:rsidRDefault="00F73301" w:rsidP="008C49B7">
            <w:pPr>
              <w:snapToGrid w:val="0"/>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790CA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466,606,774.74</w:t>
            </w:r>
          </w:p>
        </w:tc>
      </w:tr>
      <w:tr w:rsidR="00F73301" w:rsidRPr="00F73301" w14:paraId="31403491" w14:textId="77777777" w:rsidTr="0001208F">
        <w:trPr>
          <w:jc w:val="center"/>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FAF52A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377" w:type="dxa"/>
            <w:tcBorders>
              <w:top w:val="single" w:sz="2" w:space="0" w:color="auto"/>
              <w:left w:val="single" w:sz="2" w:space="0" w:color="auto"/>
              <w:bottom w:val="single" w:sz="2" w:space="0" w:color="auto"/>
              <w:right w:val="single" w:sz="2" w:space="0" w:color="auto"/>
            </w:tcBorders>
            <w:vAlign w:val="center"/>
          </w:tcPr>
          <w:p w14:paraId="540338F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1,242,370,090.12</w:t>
            </w:r>
          </w:p>
        </w:tc>
        <w:tc>
          <w:tcPr>
            <w:tcW w:w="1377" w:type="dxa"/>
            <w:tcBorders>
              <w:top w:val="single" w:sz="2" w:space="0" w:color="auto"/>
              <w:left w:val="single" w:sz="2" w:space="0" w:color="auto"/>
              <w:bottom w:val="single" w:sz="2" w:space="0" w:color="auto"/>
              <w:right w:val="single" w:sz="2" w:space="0" w:color="auto"/>
            </w:tcBorders>
            <w:vAlign w:val="center"/>
          </w:tcPr>
          <w:p w14:paraId="1AAC790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10,559,705.89</w:t>
            </w:r>
          </w:p>
        </w:tc>
        <w:tc>
          <w:tcPr>
            <w:tcW w:w="1377" w:type="dxa"/>
            <w:tcBorders>
              <w:top w:val="single" w:sz="2" w:space="0" w:color="auto"/>
              <w:left w:val="single" w:sz="2" w:space="0" w:color="auto"/>
              <w:bottom w:val="single" w:sz="2" w:space="0" w:color="auto"/>
              <w:right w:val="single" w:sz="2" w:space="0" w:color="auto"/>
            </w:tcBorders>
            <w:vAlign w:val="center"/>
          </w:tcPr>
          <w:p w14:paraId="65ACB91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1,231,810,384.23</w:t>
            </w:r>
          </w:p>
        </w:tc>
        <w:tc>
          <w:tcPr>
            <w:tcW w:w="1377" w:type="dxa"/>
            <w:tcBorders>
              <w:top w:val="single" w:sz="2" w:space="0" w:color="auto"/>
              <w:left w:val="single" w:sz="2" w:space="0" w:color="auto"/>
              <w:bottom w:val="single" w:sz="2" w:space="0" w:color="auto"/>
              <w:right w:val="single" w:sz="2" w:space="0" w:color="auto"/>
            </w:tcBorders>
            <w:vAlign w:val="center"/>
          </w:tcPr>
          <w:p w14:paraId="2E45B19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939,198,748.52</w:t>
            </w:r>
          </w:p>
        </w:tc>
        <w:tc>
          <w:tcPr>
            <w:tcW w:w="1377" w:type="dxa"/>
            <w:tcBorders>
              <w:top w:val="single" w:sz="2" w:space="0" w:color="auto"/>
              <w:left w:val="single" w:sz="2" w:space="0" w:color="auto"/>
              <w:bottom w:val="single" w:sz="2" w:space="0" w:color="auto"/>
              <w:right w:val="single" w:sz="2" w:space="0" w:color="auto"/>
            </w:tcBorders>
            <w:vAlign w:val="center"/>
          </w:tcPr>
          <w:p w14:paraId="42BB19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10,559,705.89</w:t>
            </w:r>
          </w:p>
        </w:tc>
        <w:tc>
          <w:tcPr>
            <w:tcW w:w="1377" w:type="dxa"/>
            <w:tcBorders>
              <w:top w:val="single" w:sz="2" w:space="0" w:color="auto"/>
              <w:left w:val="single" w:sz="2" w:space="0" w:color="auto"/>
              <w:bottom w:val="single" w:sz="2" w:space="0" w:color="auto"/>
              <w:right w:val="single" w:sz="2" w:space="0" w:color="auto"/>
            </w:tcBorders>
            <w:vAlign w:val="center"/>
          </w:tcPr>
          <w:p w14:paraId="1EC61C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928,639,042.63</w:t>
            </w:r>
          </w:p>
        </w:tc>
      </w:tr>
    </w:tbl>
    <w:p w14:paraId="072D5EE5"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413" w:name="_Toc989301"/>
      <w:r w:rsidRPr="00F73301">
        <w:rPr>
          <w:rFonts w:ascii="Times New Roman" w:eastAsia="宋体" w:hAnsi="Times New Roman" w:cs="Times New Roman"/>
          <w:b/>
          <w:bCs/>
          <w:sz w:val="24"/>
          <w:szCs w:val="24"/>
        </w:rPr>
        <w:t>(1) Investment to subsidiaries</w:t>
      </w:r>
      <w:bookmarkEnd w:id="413"/>
    </w:p>
    <w:p w14:paraId="729E1DDA"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204"/>
        <w:gridCol w:w="1205"/>
        <w:gridCol w:w="1205"/>
        <w:gridCol w:w="1205"/>
        <w:gridCol w:w="1205"/>
        <w:gridCol w:w="1205"/>
        <w:gridCol w:w="1205"/>
        <w:gridCol w:w="1205"/>
      </w:tblGrid>
      <w:tr w:rsidR="00F73301" w:rsidRPr="00F73301" w14:paraId="1E8B9FE7" w14:textId="77777777" w:rsidTr="0001208F">
        <w:trPr>
          <w:jc w:val="center"/>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6EC29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Investees</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D1090E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Opening balance (carrying amount)</w:t>
            </w:r>
          </w:p>
        </w:tc>
        <w:tc>
          <w:tcPr>
            <w:tcW w:w="482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F93F62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Increase/decrease for the current period</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A567F1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(carrying amount)</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56A88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Closing balance of allowance for impairment</w:t>
            </w:r>
          </w:p>
        </w:tc>
      </w:tr>
      <w:tr w:rsidR="00F73301" w:rsidRPr="00F73301" w14:paraId="5D256666" w14:textId="77777777" w:rsidTr="0001208F">
        <w:trPr>
          <w:jc w:val="center"/>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D82337D" w14:textId="77777777" w:rsidR="00F73301" w:rsidRPr="00F73301" w:rsidRDefault="00F73301" w:rsidP="008C49B7">
            <w:pPr>
              <w:snapToGrid w:val="0"/>
              <w:rPr>
                <w:rFonts w:ascii="Times New Roman" w:eastAsia="等线" w:hAnsi="Times New Roman" w:cs="Times New Roman"/>
                <w:sz w:val="18"/>
                <w:szCs w:val="18"/>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6FE22B2" w14:textId="77777777" w:rsidR="00F73301" w:rsidRPr="00F73301" w:rsidRDefault="00F73301" w:rsidP="008C49B7">
            <w:pPr>
              <w:snapToGrid w:val="0"/>
              <w:rPr>
                <w:rFonts w:ascii="Times New Roman" w:eastAsia="等线"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E85C9E0"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Investments increased</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D9E6D9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Investments decreased</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1DF242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Allowance for impairment</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87BC8F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Others</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D94D73" w14:textId="77777777" w:rsidR="00F73301" w:rsidRPr="00F73301" w:rsidRDefault="00F73301" w:rsidP="008C49B7">
            <w:pPr>
              <w:snapToGrid w:val="0"/>
              <w:rPr>
                <w:rFonts w:ascii="Times New Roman" w:eastAsia="等线" w:hAnsi="Times New Roman" w:cs="Times New Roman"/>
                <w:sz w:val="18"/>
                <w:szCs w:val="18"/>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E7D0494"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2EE4768"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7ED63F9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J&amp;V Semiconductor</w:t>
            </w:r>
          </w:p>
        </w:tc>
        <w:tc>
          <w:tcPr>
            <w:tcW w:w="1205" w:type="dxa"/>
            <w:tcBorders>
              <w:top w:val="single" w:sz="2" w:space="0" w:color="auto"/>
              <w:left w:val="single" w:sz="2" w:space="0" w:color="auto"/>
              <w:bottom w:val="single" w:sz="2" w:space="0" w:color="auto"/>
              <w:right w:val="single" w:sz="2" w:space="0" w:color="auto"/>
            </w:tcBorders>
            <w:vAlign w:val="center"/>
          </w:tcPr>
          <w:p w14:paraId="7C51F98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24,763,812.52</w:t>
            </w:r>
          </w:p>
        </w:tc>
        <w:tc>
          <w:tcPr>
            <w:tcW w:w="1205" w:type="dxa"/>
            <w:tcBorders>
              <w:top w:val="single" w:sz="2" w:space="0" w:color="auto"/>
              <w:left w:val="single" w:sz="2" w:space="0" w:color="auto"/>
              <w:bottom w:val="single" w:sz="2" w:space="0" w:color="auto"/>
              <w:right w:val="single" w:sz="2" w:space="0" w:color="auto"/>
            </w:tcBorders>
            <w:vAlign w:val="center"/>
          </w:tcPr>
          <w:p w14:paraId="6FDE14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1,112,100.00</w:t>
            </w:r>
          </w:p>
        </w:tc>
        <w:tc>
          <w:tcPr>
            <w:tcW w:w="1205" w:type="dxa"/>
            <w:tcBorders>
              <w:top w:val="single" w:sz="2" w:space="0" w:color="auto"/>
              <w:left w:val="single" w:sz="2" w:space="0" w:color="auto"/>
              <w:bottom w:val="single" w:sz="2" w:space="0" w:color="auto"/>
              <w:right w:val="single" w:sz="2" w:space="0" w:color="auto"/>
            </w:tcBorders>
            <w:vAlign w:val="center"/>
          </w:tcPr>
          <w:p w14:paraId="35C13FA2"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1B2F4B4"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96288D6"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42865B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25,875,912.52</w:t>
            </w:r>
          </w:p>
        </w:tc>
        <w:tc>
          <w:tcPr>
            <w:tcW w:w="1205" w:type="dxa"/>
            <w:tcBorders>
              <w:top w:val="single" w:sz="2" w:space="0" w:color="auto"/>
              <w:left w:val="single" w:sz="2" w:space="0" w:color="auto"/>
              <w:bottom w:val="single" w:sz="2" w:space="0" w:color="auto"/>
              <w:right w:val="single" w:sz="2" w:space="0" w:color="auto"/>
            </w:tcBorders>
            <w:vAlign w:val="center"/>
          </w:tcPr>
          <w:p w14:paraId="0CD2ED82"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475705BD"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5A361694" w14:textId="1E6DA5EF" w:rsidR="00F73301" w:rsidRPr="00F73301" w:rsidRDefault="00A91E52" w:rsidP="00A91E52">
            <w:pPr>
              <w:snapToGrid w:val="0"/>
              <w:rPr>
                <w:rFonts w:ascii="Times New Roman" w:eastAsia="宋体" w:hAnsi="Times New Roman" w:cs="Times New Roman"/>
                <w:sz w:val="18"/>
                <w:szCs w:val="18"/>
              </w:rPr>
            </w:pPr>
            <w:proofErr w:type="spellStart"/>
            <w:r>
              <w:rPr>
                <w:rFonts w:ascii="Times New Roman" w:eastAsia="宋体" w:hAnsi="Times New Roman" w:cs="Times New Roman"/>
                <w:sz w:val="18"/>
                <w:szCs w:val="18"/>
              </w:rPr>
              <w:t>Yangjie</w:t>
            </w:r>
            <w:proofErr w:type="spellEnd"/>
            <w:r>
              <w:rPr>
                <w:rFonts w:ascii="Times New Roman" w:eastAsia="宋体" w:hAnsi="Times New Roman" w:cs="Times New Roman"/>
                <w:sz w:val="18"/>
                <w:szCs w:val="18"/>
              </w:rPr>
              <w:t xml:space="preserve"> Semiconductor</w:t>
            </w:r>
          </w:p>
        </w:tc>
        <w:tc>
          <w:tcPr>
            <w:tcW w:w="1205" w:type="dxa"/>
            <w:tcBorders>
              <w:top w:val="single" w:sz="2" w:space="0" w:color="auto"/>
              <w:left w:val="single" w:sz="2" w:space="0" w:color="auto"/>
              <w:bottom w:val="single" w:sz="2" w:space="0" w:color="auto"/>
              <w:right w:val="single" w:sz="2" w:space="0" w:color="auto"/>
            </w:tcBorders>
            <w:vAlign w:val="center"/>
          </w:tcPr>
          <w:p w14:paraId="680D15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50,488,634.94</w:t>
            </w:r>
          </w:p>
        </w:tc>
        <w:tc>
          <w:tcPr>
            <w:tcW w:w="1205" w:type="dxa"/>
            <w:tcBorders>
              <w:top w:val="single" w:sz="2" w:space="0" w:color="auto"/>
              <w:left w:val="single" w:sz="2" w:space="0" w:color="auto"/>
              <w:bottom w:val="single" w:sz="2" w:space="0" w:color="auto"/>
              <w:right w:val="single" w:sz="2" w:space="0" w:color="auto"/>
            </w:tcBorders>
            <w:vAlign w:val="center"/>
          </w:tcPr>
          <w:p w14:paraId="5904014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55,605.00</w:t>
            </w:r>
          </w:p>
        </w:tc>
        <w:tc>
          <w:tcPr>
            <w:tcW w:w="1205" w:type="dxa"/>
            <w:tcBorders>
              <w:top w:val="single" w:sz="2" w:space="0" w:color="auto"/>
              <w:left w:val="single" w:sz="2" w:space="0" w:color="auto"/>
              <w:bottom w:val="single" w:sz="2" w:space="0" w:color="auto"/>
              <w:right w:val="single" w:sz="2" w:space="0" w:color="auto"/>
            </w:tcBorders>
            <w:vAlign w:val="center"/>
          </w:tcPr>
          <w:p w14:paraId="09B2E72E"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F5B7B05"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38B4834"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15DE7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50,544,239.94</w:t>
            </w:r>
          </w:p>
        </w:tc>
        <w:tc>
          <w:tcPr>
            <w:tcW w:w="1205" w:type="dxa"/>
            <w:tcBorders>
              <w:top w:val="single" w:sz="2" w:space="0" w:color="auto"/>
              <w:left w:val="single" w:sz="2" w:space="0" w:color="auto"/>
              <w:bottom w:val="single" w:sz="2" w:space="0" w:color="auto"/>
              <w:right w:val="single" w:sz="2" w:space="0" w:color="auto"/>
            </w:tcBorders>
            <w:vAlign w:val="center"/>
          </w:tcPr>
          <w:p w14:paraId="3A86257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D71165F"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70840B82" w14:textId="5DCC17F0" w:rsidR="00F73301" w:rsidRPr="00F73301" w:rsidRDefault="00F73301" w:rsidP="00A91E52">
            <w:pPr>
              <w:snapToGrid w:val="0"/>
              <w:rPr>
                <w:rFonts w:ascii="Times New Roman" w:eastAsia="宋体" w:hAnsi="Times New Roman" w:cs="Times New Roman"/>
                <w:sz w:val="18"/>
                <w:szCs w:val="18"/>
              </w:rPr>
            </w:pPr>
            <w:proofErr w:type="spellStart"/>
            <w:r w:rsidRPr="00F73301">
              <w:rPr>
                <w:rFonts w:ascii="Times New Roman" w:eastAsia="宋体" w:hAnsi="Times New Roman" w:cs="Times New Roman"/>
                <w:sz w:val="18"/>
                <w:szCs w:val="18"/>
              </w:rPr>
              <w:t>Jaywin</w:t>
            </w:r>
            <w:proofErr w:type="spellEnd"/>
            <w:r w:rsidRPr="00F73301">
              <w:rPr>
                <w:rFonts w:ascii="Times New Roman" w:eastAsia="宋体" w:hAnsi="Times New Roman" w:cs="Times New Roman"/>
                <w:sz w:val="18"/>
                <w:szCs w:val="18"/>
              </w:rPr>
              <w:t xml:space="preserve"> Chip</w:t>
            </w:r>
          </w:p>
        </w:tc>
        <w:tc>
          <w:tcPr>
            <w:tcW w:w="1205" w:type="dxa"/>
            <w:tcBorders>
              <w:top w:val="single" w:sz="2" w:space="0" w:color="auto"/>
              <w:left w:val="single" w:sz="2" w:space="0" w:color="auto"/>
              <w:bottom w:val="single" w:sz="2" w:space="0" w:color="auto"/>
              <w:right w:val="single" w:sz="2" w:space="0" w:color="auto"/>
            </w:tcBorders>
            <w:vAlign w:val="center"/>
          </w:tcPr>
          <w:p w14:paraId="14BA70F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35,384.97</w:t>
            </w:r>
          </w:p>
        </w:tc>
        <w:tc>
          <w:tcPr>
            <w:tcW w:w="1205" w:type="dxa"/>
            <w:tcBorders>
              <w:top w:val="single" w:sz="2" w:space="0" w:color="auto"/>
              <w:left w:val="single" w:sz="2" w:space="0" w:color="auto"/>
              <w:bottom w:val="single" w:sz="2" w:space="0" w:color="auto"/>
              <w:right w:val="single" w:sz="2" w:space="0" w:color="auto"/>
            </w:tcBorders>
            <w:vAlign w:val="center"/>
          </w:tcPr>
          <w:p w14:paraId="4F8D7001"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00EA4E4"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CD88017"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8B6D437"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8F80B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35,384.97</w:t>
            </w:r>
          </w:p>
        </w:tc>
        <w:tc>
          <w:tcPr>
            <w:tcW w:w="1205" w:type="dxa"/>
            <w:tcBorders>
              <w:top w:val="single" w:sz="2" w:space="0" w:color="auto"/>
              <w:left w:val="single" w:sz="2" w:space="0" w:color="auto"/>
              <w:bottom w:val="single" w:sz="2" w:space="0" w:color="auto"/>
              <w:right w:val="single" w:sz="2" w:space="0" w:color="auto"/>
            </w:tcBorders>
            <w:vAlign w:val="center"/>
          </w:tcPr>
          <w:p w14:paraId="2EE334E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8,515,196.25</w:t>
            </w:r>
          </w:p>
        </w:tc>
      </w:tr>
      <w:tr w:rsidR="00F73301" w:rsidRPr="00F73301" w14:paraId="5CC171FD"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56742AE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MCC Jiangsu</w:t>
            </w:r>
          </w:p>
        </w:tc>
        <w:tc>
          <w:tcPr>
            <w:tcW w:w="1205" w:type="dxa"/>
            <w:tcBorders>
              <w:top w:val="single" w:sz="2" w:space="0" w:color="auto"/>
              <w:left w:val="single" w:sz="2" w:space="0" w:color="auto"/>
              <w:bottom w:val="single" w:sz="2" w:space="0" w:color="auto"/>
              <w:right w:val="single" w:sz="2" w:space="0" w:color="auto"/>
            </w:tcBorders>
            <w:vAlign w:val="center"/>
          </w:tcPr>
          <w:p w14:paraId="419ECB7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2,732,779.98</w:t>
            </w:r>
          </w:p>
        </w:tc>
        <w:tc>
          <w:tcPr>
            <w:tcW w:w="1205" w:type="dxa"/>
            <w:tcBorders>
              <w:top w:val="single" w:sz="2" w:space="0" w:color="auto"/>
              <w:left w:val="single" w:sz="2" w:space="0" w:color="auto"/>
              <w:bottom w:val="single" w:sz="2" w:space="0" w:color="auto"/>
              <w:right w:val="single" w:sz="2" w:space="0" w:color="auto"/>
            </w:tcBorders>
            <w:vAlign w:val="center"/>
          </w:tcPr>
          <w:p w14:paraId="03EF7AA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136,485.00</w:t>
            </w:r>
          </w:p>
        </w:tc>
        <w:tc>
          <w:tcPr>
            <w:tcW w:w="1205" w:type="dxa"/>
            <w:tcBorders>
              <w:top w:val="single" w:sz="2" w:space="0" w:color="auto"/>
              <w:left w:val="single" w:sz="2" w:space="0" w:color="auto"/>
              <w:bottom w:val="single" w:sz="2" w:space="0" w:color="auto"/>
              <w:right w:val="single" w:sz="2" w:space="0" w:color="auto"/>
            </w:tcBorders>
            <w:vAlign w:val="center"/>
          </w:tcPr>
          <w:p w14:paraId="15403E65"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CA65C3E"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52D8F29"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FDA138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2,869,264.98</w:t>
            </w:r>
          </w:p>
        </w:tc>
        <w:tc>
          <w:tcPr>
            <w:tcW w:w="1205" w:type="dxa"/>
            <w:tcBorders>
              <w:top w:val="single" w:sz="2" w:space="0" w:color="auto"/>
              <w:left w:val="single" w:sz="2" w:space="0" w:color="auto"/>
              <w:bottom w:val="single" w:sz="2" w:space="0" w:color="auto"/>
              <w:right w:val="single" w:sz="2" w:space="0" w:color="auto"/>
            </w:tcBorders>
            <w:vAlign w:val="center"/>
          </w:tcPr>
          <w:p w14:paraId="1C2BF0CC"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5F0E31A"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043ED36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MCC Shenzhen</w:t>
            </w:r>
          </w:p>
        </w:tc>
        <w:tc>
          <w:tcPr>
            <w:tcW w:w="1205" w:type="dxa"/>
            <w:tcBorders>
              <w:top w:val="single" w:sz="2" w:space="0" w:color="auto"/>
              <w:left w:val="single" w:sz="2" w:space="0" w:color="auto"/>
              <w:bottom w:val="single" w:sz="2" w:space="0" w:color="auto"/>
              <w:right w:val="single" w:sz="2" w:space="0" w:color="auto"/>
            </w:tcBorders>
            <w:vAlign w:val="center"/>
          </w:tcPr>
          <w:p w14:paraId="793FC2E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8,972,597.81</w:t>
            </w:r>
          </w:p>
        </w:tc>
        <w:tc>
          <w:tcPr>
            <w:tcW w:w="1205" w:type="dxa"/>
            <w:tcBorders>
              <w:top w:val="single" w:sz="2" w:space="0" w:color="auto"/>
              <w:left w:val="single" w:sz="2" w:space="0" w:color="auto"/>
              <w:bottom w:val="single" w:sz="2" w:space="0" w:color="auto"/>
              <w:right w:val="single" w:sz="2" w:space="0" w:color="auto"/>
            </w:tcBorders>
            <w:vAlign w:val="center"/>
          </w:tcPr>
          <w:p w14:paraId="1E24ADC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631,875.00</w:t>
            </w:r>
          </w:p>
        </w:tc>
        <w:tc>
          <w:tcPr>
            <w:tcW w:w="1205" w:type="dxa"/>
            <w:tcBorders>
              <w:top w:val="single" w:sz="2" w:space="0" w:color="auto"/>
              <w:left w:val="single" w:sz="2" w:space="0" w:color="auto"/>
              <w:bottom w:val="single" w:sz="2" w:space="0" w:color="auto"/>
              <w:right w:val="single" w:sz="2" w:space="0" w:color="auto"/>
            </w:tcBorders>
            <w:vAlign w:val="center"/>
          </w:tcPr>
          <w:p w14:paraId="002C4674"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D976D5D"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54B5C7B"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727BEC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9,604,472.81</w:t>
            </w:r>
          </w:p>
        </w:tc>
        <w:tc>
          <w:tcPr>
            <w:tcW w:w="1205" w:type="dxa"/>
            <w:tcBorders>
              <w:top w:val="single" w:sz="2" w:space="0" w:color="auto"/>
              <w:left w:val="single" w:sz="2" w:space="0" w:color="auto"/>
              <w:bottom w:val="single" w:sz="2" w:space="0" w:color="auto"/>
              <w:right w:val="single" w:sz="2" w:space="0" w:color="auto"/>
            </w:tcBorders>
            <w:vAlign w:val="center"/>
          </w:tcPr>
          <w:p w14:paraId="7ACF18A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6E37971"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35455E2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MCC Hong Kong</w:t>
            </w:r>
          </w:p>
        </w:tc>
        <w:tc>
          <w:tcPr>
            <w:tcW w:w="1205" w:type="dxa"/>
            <w:tcBorders>
              <w:top w:val="single" w:sz="2" w:space="0" w:color="auto"/>
              <w:left w:val="single" w:sz="2" w:space="0" w:color="auto"/>
              <w:bottom w:val="single" w:sz="2" w:space="0" w:color="auto"/>
              <w:right w:val="single" w:sz="2" w:space="0" w:color="auto"/>
            </w:tcBorders>
            <w:vAlign w:val="center"/>
          </w:tcPr>
          <w:p w14:paraId="41399B7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60,785,900.00</w:t>
            </w:r>
          </w:p>
        </w:tc>
        <w:tc>
          <w:tcPr>
            <w:tcW w:w="1205" w:type="dxa"/>
            <w:tcBorders>
              <w:top w:val="single" w:sz="2" w:space="0" w:color="auto"/>
              <w:left w:val="single" w:sz="2" w:space="0" w:color="auto"/>
              <w:bottom w:val="single" w:sz="2" w:space="0" w:color="auto"/>
              <w:right w:val="single" w:sz="2" w:space="0" w:color="auto"/>
            </w:tcBorders>
            <w:vAlign w:val="center"/>
          </w:tcPr>
          <w:p w14:paraId="5A0DFEE4"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5F868C9"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5D8DFCF"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C0EB42E"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B233A7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60,785,900.00</w:t>
            </w:r>
          </w:p>
        </w:tc>
        <w:tc>
          <w:tcPr>
            <w:tcW w:w="1205" w:type="dxa"/>
            <w:tcBorders>
              <w:top w:val="single" w:sz="2" w:space="0" w:color="auto"/>
              <w:left w:val="single" w:sz="2" w:space="0" w:color="auto"/>
              <w:bottom w:val="single" w:sz="2" w:space="0" w:color="auto"/>
              <w:right w:val="single" w:sz="2" w:space="0" w:color="auto"/>
            </w:tcBorders>
            <w:vAlign w:val="center"/>
          </w:tcPr>
          <w:p w14:paraId="618643C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F6DF651"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0FB6D4D2" w14:textId="1E18B438" w:rsidR="00F73301" w:rsidRPr="00F73301" w:rsidRDefault="00A91E52" w:rsidP="00A91E52">
            <w:pPr>
              <w:snapToGrid w:val="0"/>
              <w:rPr>
                <w:rFonts w:ascii="Times New Roman" w:eastAsia="宋体" w:hAnsi="Times New Roman" w:cs="Times New Roman"/>
                <w:sz w:val="18"/>
                <w:szCs w:val="18"/>
              </w:rPr>
            </w:pPr>
            <w:proofErr w:type="spellStart"/>
            <w:r>
              <w:rPr>
                <w:rFonts w:ascii="Times New Roman" w:eastAsia="宋体" w:hAnsi="Times New Roman" w:cs="Times New Roman"/>
                <w:sz w:val="18"/>
                <w:szCs w:val="18"/>
              </w:rPr>
              <w:t>Yangjie</w:t>
            </w:r>
            <w:proofErr w:type="spellEnd"/>
            <w:r>
              <w:rPr>
                <w:rFonts w:ascii="Times New Roman" w:eastAsia="宋体" w:hAnsi="Times New Roman" w:cs="Times New Roman"/>
                <w:sz w:val="18"/>
                <w:szCs w:val="18"/>
              </w:rPr>
              <w:t xml:space="preserve"> Korea</w:t>
            </w:r>
          </w:p>
        </w:tc>
        <w:tc>
          <w:tcPr>
            <w:tcW w:w="1205" w:type="dxa"/>
            <w:tcBorders>
              <w:top w:val="single" w:sz="2" w:space="0" w:color="auto"/>
              <w:left w:val="single" w:sz="2" w:space="0" w:color="auto"/>
              <w:bottom w:val="single" w:sz="2" w:space="0" w:color="auto"/>
              <w:right w:val="single" w:sz="2" w:space="0" w:color="auto"/>
            </w:tcBorders>
            <w:vAlign w:val="center"/>
          </w:tcPr>
          <w:p w14:paraId="740F3E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4,383,377.26</w:t>
            </w:r>
          </w:p>
        </w:tc>
        <w:tc>
          <w:tcPr>
            <w:tcW w:w="1205" w:type="dxa"/>
            <w:tcBorders>
              <w:top w:val="single" w:sz="2" w:space="0" w:color="auto"/>
              <w:left w:val="single" w:sz="2" w:space="0" w:color="auto"/>
              <w:bottom w:val="single" w:sz="2" w:space="0" w:color="auto"/>
              <w:right w:val="single" w:sz="2" w:space="0" w:color="auto"/>
            </w:tcBorders>
            <w:vAlign w:val="center"/>
          </w:tcPr>
          <w:p w14:paraId="07CA6B4F"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B8358FD"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8F9D0F3"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2D201F9"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DA285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4,383,377.26</w:t>
            </w:r>
          </w:p>
        </w:tc>
        <w:tc>
          <w:tcPr>
            <w:tcW w:w="1205" w:type="dxa"/>
            <w:tcBorders>
              <w:top w:val="single" w:sz="2" w:space="0" w:color="auto"/>
              <w:left w:val="single" w:sz="2" w:space="0" w:color="auto"/>
              <w:bottom w:val="single" w:sz="2" w:space="0" w:color="auto"/>
              <w:right w:val="single" w:sz="2" w:space="0" w:color="auto"/>
            </w:tcBorders>
            <w:vAlign w:val="center"/>
          </w:tcPr>
          <w:p w14:paraId="0EE84363"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4441E54"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388F7AF6" w14:textId="3583CECE" w:rsidR="00F73301" w:rsidRPr="00F73301" w:rsidRDefault="006C7D34" w:rsidP="006C7D34">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Shanghai </w:t>
            </w:r>
            <w:proofErr w:type="spellStart"/>
            <w:r>
              <w:rPr>
                <w:rFonts w:ascii="Times New Roman" w:eastAsia="宋体" w:hAnsi="Times New Roman" w:cs="Times New Roman"/>
                <w:sz w:val="18"/>
                <w:szCs w:val="18"/>
              </w:rPr>
              <w:t>Paiqi</w:t>
            </w:r>
            <w:proofErr w:type="spellEnd"/>
          </w:p>
        </w:tc>
        <w:tc>
          <w:tcPr>
            <w:tcW w:w="1205" w:type="dxa"/>
            <w:tcBorders>
              <w:top w:val="single" w:sz="2" w:space="0" w:color="auto"/>
              <w:left w:val="single" w:sz="2" w:space="0" w:color="auto"/>
              <w:bottom w:val="single" w:sz="2" w:space="0" w:color="auto"/>
              <w:right w:val="single" w:sz="2" w:space="0" w:color="auto"/>
            </w:tcBorders>
            <w:vAlign w:val="center"/>
          </w:tcPr>
          <w:p w14:paraId="736CFAD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474,890.36</w:t>
            </w:r>
          </w:p>
        </w:tc>
        <w:tc>
          <w:tcPr>
            <w:tcW w:w="1205" w:type="dxa"/>
            <w:tcBorders>
              <w:top w:val="single" w:sz="2" w:space="0" w:color="auto"/>
              <w:left w:val="single" w:sz="2" w:space="0" w:color="auto"/>
              <w:bottom w:val="single" w:sz="2" w:space="0" w:color="auto"/>
              <w:right w:val="single" w:sz="2" w:space="0" w:color="auto"/>
            </w:tcBorders>
            <w:vAlign w:val="center"/>
          </w:tcPr>
          <w:p w14:paraId="36DF20C2"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8F87DA2"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FF86A72"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81872E6"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CFCD97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474,890.36</w:t>
            </w:r>
          </w:p>
        </w:tc>
        <w:tc>
          <w:tcPr>
            <w:tcW w:w="1205" w:type="dxa"/>
            <w:tcBorders>
              <w:top w:val="single" w:sz="2" w:space="0" w:color="auto"/>
              <w:left w:val="single" w:sz="2" w:space="0" w:color="auto"/>
              <w:bottom w:val="single" w:sz="2" w:space="0" w:color="auto"/>
              <w:right w:val="single" w:sz="2" w:space="0" w:color="auto"/>
            </w:tcBorders>
            <w:vAlign w:val="center"/>
          </w:tcPr>
          <w:p w14:paraId="4B2E8F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2,044,509.64</w:t>
            </w:r>
          </w:p>
        </w:tc>
      </w:tr>
      <w:tr w:rsidR="00F73301" w:rsidRPr="00F73301" w14:paraId="477EB82C"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544C6DE2" w14:textId="1B18E76B" w:rsidR="00F73301" w:rsidRPr="00F73301" w:rsidRDefault="00F73301" w:rsidP="006C7D34">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Hangzhou E-Giant </w:t>
            </w:r>
          </w:p>
        </w:tc>
        <w:tc>
          <w:tcPr>
            <w:tcW w:w="1205" w:type="dxa"/>
            <w:tcBorders>
              <w:top w:val="single" w:sz="2" w:space="0" w:color="auto"/>
              <w:left w:val="single" w:sz="2" w:space="0" w:color="auto"/>
              <w:bottom w:val="single" w:sz="2" w:space="0" w:color="auto"/>
              <w:right w:val="single" w:sz="2" w:space="0" w:color="auto"/>
            </w:tcBorders>
            <w:vAlign w:val="center"/>
          </w:tcPr>
          <w:p w14:paraId="13204A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3,000,000.00</w:t>
            </w:r>
          </w:p>
        </w:tc>
        <w:tc>
          <w:tcPr>
            <w:tcW w:w="1205" w:type="dxa"/>
            <w:tcBorders>
              <w:top w:val="single" w:sz="2" w:space="0" w:color="auto"/>
              <w:left w:val="single" w:sz="2" w:space="0" w:color="auto"/>
              <w:bottom w:val="single" w:sz="2" w:space="0" w:color="auto"/>
              <w:right w:val="single" w:sz="2" w:space="0" w:color="auto"/>
            </w:tcBorders>
            <w:vAlign w:val="center"/>
          </w:tcPr>
          <w:p w14:paraId="58C86AFD"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BBD630C"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B8D95DB"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1BACBE0"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62C17A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3,000,000.00</w:t>
            </w:r>
          </w:p>
        </w:tc>
        <w:tc>
          <w:tcPr>
            <w:tcW w:w="1205" w:type="dxa"/>
            <w:tcBorders>
              <w:top w:val="single" w:sz="2" w:space="0" w:color="auto"/>
              <w:left w:val="single" w:sz="2" w:space="0" w:color="auto"/>
              <w:bottom w:val="single" w:sz="2" w:space="0" w:color="auto"/>
              <w:right w:val="single" w:sz="2" w:space="0" w:color="auto"/>
            </w:tcBorders>
            <w:vAlign w:val="center"/>
          </w:tcPr>
          <w:p w14:paraId="249371B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43B3582"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636C5463" w14:textId="743F2ECF" w:rsidR="00F73301" w:rsidRPr="00F73301" w:rsidRDefault="006C7D34" w:rsidP="006C7D34">
            <w:pPr>
              <w:snapToGrid w:val="0"/>
              <w:rPr>
                <w:rFonts w:ascii="Times New Roman" w:eastAsia="宋体" w:hAnsi="Times New Roman" w:cs="Times New Roman"/>
                <w:sz w:val="18"/>
                <w:szCs w:val="18"/>
              </w:rPr>
            </w:pPr>
            <w:proofErr w:type="spellStart"/>
            <w:r>
              <w:rPr>
                <w:rFonts w:ascii="Times New Roman" w:eastAsia="宋体" w:hAnsi="Times New Roman" w:cs="Times New Roman"/>
                <w:sz w:val="18"/>
                <w:szCs w:val="18"/>
              </w:rPr>
              <w:t>Yixing</w:t>
            </w:r>
            <w:proofErr w:type="spellEnd"/>
            <w:r>
              <w:rPr>
                <w:rFonts w:ascii="Times New Roman" w:eastAsia="宋体" w:hAnsi="Times New Roman" w:cs="Times New Roman"/>
                <w:sz w:val="18"/>
                <w:szCs w:val="18"/>
              </w:rPr>
              <w:t xml:space="preserve"> </w:t>
            </w:r>
            <w:proofErr w:type="spellStart"/>
            <w:r>
              <w:rPr>
                <w:rFonts w:ascii="Times New Roman" w:eastAsia="宋体" w:hAnsi="Times New Roman" w:cs="Times New Roman"/>
                <w:sz w:val="18"/>
                <w:szCs w:val="18"/>
              </w:rPr>
              <w:t>Jiexin</w:t>
            </w:r>
            <w:proofErr w:type="spellEnd"/>
          </w:p>
        </w:tc>
        <w:tc>
          <w:tcPr>
            <w:tcW w:w="1205" w:type="dxa"/>
            <w:tcBorders>
              <w:top w:val="single" w:sz="2" w:space="0" w:color="auto"/>
              <w:left w:val="single" w:sz="2" w:space="0" w:color="auto"/>
              <w:bottom w:val="single" w:sz="2" w:space="0" w:color="auto"/>
              <w:right w:val="single" w:sz="2" w:space="0" w:color="auto"/>
            </w:tcBorders>
            <w:vAlign w:val="center"/>
          </w:tcPr>
          <w:p w14:paraId="4DEE431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36,447,005.00</w:t>
            </w:r>
          </w:p>
        </w:tc>
        <w:tc>
          <w:tcPr>
            <w:tcW w:w="1205" w:type="dxa"/>
            <w:tcBorders>
              <w:top w:val="single" w:sz="2" w:space="0" w:color="auto"/>
              <w:left w:val="single" w:sz="2" w:space="0" w:color="auto"/>
              <w:bottom w:val="single" w:sz="2" w:space="0" w:color="auto"/>
              <w:right w:val="single" w:sz="2" w:space="0" w:color="auto"/>
            </w:tcBorders>
            <w:vAlign w:val="center"/>
          </w:tcPr>
          <w:p w14:paraId="48909D2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30,330.00</w:t>
            </w:r>
          </w:p>
        </w:tc>
        <w:tc>
          <w:tcPr>
            <w:tcW w:w="1205" w:type="dxa"/>
            <w:tcBorders>
              <w:top w:val="single" w:sz="2" w:space="0" w:color="auto"/>
              <w:left w:val="single" w:sz="2" w:space="0" w:color="auto"/>
              <w:bottom w:val="single" w:sz="2" w:space="0" w:color="auto"/>
              <w:right w:val="single" w:sz="2" w:space="0" w:color="auto"/>
            </w:tcBorders>
            <w:vAlign w:val="center"/>
          </w:tcPr>
          <w:p w14:paraId="6EE8B14F"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FE717FC"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F901B28"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66E83B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36,477,335.00</w:t>
            </w:r>
          </w:p>
        </w:tc>
        <w:tc>
          <w:tcPr>
            <w:tcW w:w="1205" w:type="dxa"/>
            <w:tcBorders>
              <w:top w:val="single" w:sz="2" w:space="0" w:color="auto"/>
              <w:left w:val="single" w:sz="2" w:space="0" w:color="auto"/>
              <w:bottom w:val="single" w:sz="2" w:space="0" w:color="auto"/>
              <w:right w:val="single" w:sz="2" w:space="0" w:color="auto"/>
            </w:tcBorders>
            <w:vAlign w:val="center"/>
          </w:tcPr>
          <w:p w14:paraId="78BF76B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3524C29"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4E809803" w14:textId="48827651" w:rsidR="00F73301" w:rsidRPr="00F73301" w:rsidRDefault="00F73301" w:rsidP="0066314B">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Chengdu Qingyang</w:t>
            </w:r>
          </w:p>
        </w:tc>
        <w:tc>
          <w:tcPr>
            <w:tcW w:w="1205" w:type="dxa"/>
            <w:tcBorders>
              <w:top w:val="single" w:sz="2" w:space="0" w:color="auto"/>
              <w:left w:val="single" w:sz="2" w:space="0" w:color="auto"/>
              <w:bottom w:val="single" w:sz="2" w:space="0" w:color="auto"/>
              <w:right w:val="single" w:sz="2" w:space="0" w:color="auto"/>
            </w:tcBorders>
            <w:vAlign w:val="center"/>
          </w:tcPr>
          <w:p w14:paraId="3654987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101,259,720.00</w:t>
            </w:r>
          </w:p>
        </w:tc>
        <w:tc>
          <w:tcPr>
            <w:tcW w:w="1205" w:type="dxa"/>
            <w:tcBorders>
              <w:top w:val="single" w:sz="2" w:space="0" w:color="auto"/>
              <w:left w:val="single" w:sz="2" w:space="0" w:color="auto"/>
              <w:bottom w:val="single" w:sz="2" w:space="0" w:color="auto"/>
              <w:right w:val="single" w:sz="2" w:space="0" w:color="auto"/>
            </w:tcBorders>
            <w:vAlign w:val="center"/>
          </w:tcPr>
          <w:p w14:paraId="666AAE60"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5B09735"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2A5892D"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38C2A50"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34003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101,259,720.00</w:t>
            </w:r>
          </w:p>
        </w:tc>
        <w:tc>
          <w:tcPr>
            <w:tcW w:w="1205" w:type="dxa"/>
            <w:tcBorders>
              <w:top w:val="single" w:sz="2" w:space="0" w:color="auto"/>
              <w:left w:val="single" w:sz="2" w:space="0" w:color="auto"/>
              <w:bottom w:val="single" w:sz="2" w:space="0" w:color="auto"/>
              <w:right w:val="single" w:sz="2" w:space="0" w:color="auto"/>
            </w:tcBorders>
            <w:vAlign w:val="center"/>
          </w:tcPr>
          <w:p w14:paraId="59E362C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23D6C18"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074073C6" w14:textId="1EFBA6E9" w:rsidR="00F73301" w:rsidRPr="00F73301" w:rsidRDefault="0066314B" w:rsidP="0066314B">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Shanghai </w:t>
            </w:r>
            <w:proofErr w:type="spellStart"/>
            <w:r>
              <w:rPr>
                <w:rFonts w:ascii="Times New Roman" w:eastAsia="宋体" w:hAnsi="Times New Roman" w:cs="Times New Roman"/>
                <w:sz w:val="18"/>
                <w:szCs w:val="18"/>
              </w:rPr>
              <w:t>Lingxin</w:t>
            </w:r>
            <w:proofErr w:type="spellEnd"/>
          </w:p>
        </w:tc>
        <w:tc>
          <w:tcPr>
            <w:tcW w:w="1205" w:type="dxa"/>
            <w:tcBorders>
              <w:top w:val="single" w:sz="2" w:space="0" w:color="auto"/>
              <w:left w:val="single" w:sz="2" w:space="0" w:color="auto"/>
              <w:bottom w:val="single" w:sz="2" w:space="0" w:color="auto"/>
              <w:right w:val="single" w:sz="2" w:space="0" w:color="auto"/>
            </w:tcBorders>
            <w:vAlign w:val="center"/>
          </w:tcPr>
          <w:p w14:paraId="4EA6333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5,093,240.00</w:t>
            </w:r>
          </w:p>
        </w:tc>
        <w:tc>
          <w:tcPr>
            <w:tcW w:w="1205" w:type="dxa"/>
            <w:tcBorders>
              <w:top w:val="single" w:sz="2" w:space="0" w:color="auto"/>
              <w:left w:val="single" w:sz="2" w:space="0" w:color="auto"/>
              <w:bottom w:val="single" w:sz="2" w:space="0" w:color="auto"/>
              <w:right w:val="single" w:sz="2" w:space="0" w:color="auto"/>
            </w:tcBorders>
            <w:vAlign w:val="center"/>
          </w:tcPr>
          <w:p w14:paraId="5907D655"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CB6541F"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9C5E98E"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89D9A37"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132219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5,093,240.00</w:t>
            </w:r>
          </w:p>
        </w:tc>
        <w:tc>
          <w:tcPr>
            <w:tcW w:w="1205" w:type="dxa"/>
            <w:tcBorders>
              <w:top w:val="single" w:sz="2" w:space="0" w:color="auto"/>
              <w:left w:val="single" w:sz="2" w:space="0" w:color="auto"/>
              <w:bottom w:val="single" w:sz="2" w:space="0" w:color="auto"/>
              <w:right w:val="single" w:sz="2" w:space="0" w:color="auto"/>
            </w:tcBorders>
            <w:vAlign w:val="center"/>
          </w:tcPr>
          <w:p w14:paraId="6B3EC5F6"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7C5B136"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6968CD20" w14:textId="6A023F2A" w:rsidR="00F73301" w:rsidRPr="00F73301" w:rsidRDefault="0066314B" w:rsidP="0066314B">
            <w:pPr>
              <w:snapToGrid w:val="0"/>
              <w:rPr>
                <w:rFonts w:ascii="Times New Roman" w:eastAsia="宋体" w:hAnsi="Times New Roman" w:cs="Times New Roman"/>
                <w:sz w:val="18"/>
                <w:szCs w:val="18"/>
              </w:rPr>
            </w:pPr>
            <w:proofErr w:type="spellStart"/>
            <w:r>
              <w:rPr>
                <w:rFonts w:ascii="Times New Roman" w:eastAsia="宋体" w:hAnsi="Times New Roman" w:cs="Times New Roman"/>
                <w:sz w:val="18"/>
                <w:szCs w:val="18"/>
              </w:rPr>
              <w:t>Sihong</w:t>
            </w:r>
            <w:proofErr w:type="spellEnd"/>
            <w:r>
              <w:rPr>
                <w:rFonts w:ascii="Times New Roman" w:eastAsia="宋体" w:hAnsi="Times New Roman" w:cs="Times New Roman"/>
                <w:sz w:val="18"/>
                <w:szCs w:val="18"/>
              </w:rPr>
              <w:t xml:space="preserve"> </w:t>
            </w:r>
            <w:proofErr w:type="spellStart"/>
            <w:r>
              <w:rPr>
                <w:rFonts w:ascii="Times New Roman" w:eastAsia="宋体" w:hAnsi="Times New Roman" w:cs="Times New Roman"/>
                <w:sz w:val="18"/>
                <w:szCs w:val="18"/>
              </w:rPr>
              <w:t>Hongxin</w:t>
            </w:r>
            <w:proofErr w:type="spellEnd"/>
          </w:p>
        </w:tc>
        <w:tc>
          <w:tcPr>
            <w:tcW w:w="1205" w:type="dxa"/>
            <w:tcBorders>
              <w:top w:val="single" w:sz="2" w:space="0" w:color="auto"/>
              <w:left w:val="single" w:sz="2" w:space="0" w:color="auto"/>
              <w:bottom w:val="single" w:sz="2" w:space="0" w:color="auto"/>
              <w:right w:val="single" w:sz="2" w:space="0" w:color="auto"/>
            </w:tcBorders>
            <w:vAlign w:val="center"/>
          </w:tcPr>
          <w:p w14:paraId="749240D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101,516,989.96</w:t>
            </w:r>
          </w:p>
        </w:tc>
        <w:tc>
          <w:tcPr>
            <w:tcW w:w="1205" w:type="dxa"/>
            <w:tcBorders>
              <w:top w:val="single" w:sz="2" w:space="0" w:color="auto"/>
              <w:left w:val="single" w:sz="2" w:space="0" w:color="auto"/>
              <w:bottom w:val="single" w:sz="2" w:space="0" w:color="auto"/>
              <w:right w:val="single" w:sz="2" w:space="0" w:color="auto"/>
            </w:tcBorders>
            <w:vAlign w:val="center"/>
          </w:tcPr>
          <w:p w14:paraId="29CEF18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187,035.00</w:t>
            </w:r>
          </w:p>
        </w:tc>
        <w:tc>
          <w:tcPr>
            <w:tcW w:w="1205" w:type="dxa"/>
            <w:tcBorders>
              <w:top w:val="single" w:sz="2" w:space="0" w:color="auto"/>
              <w:left w:val="single" w:sz="2" w:space="0" w:color="auto"/>
              <w:bottom w:val="single" w:sz="2" w:space="0" w:color="auto"/>
              <w:right w:val="single" w:sz="2" w:space="0" w:color="auto"/>
            </w:tcBorders>
            <w:vAlign w:val="center"/>
          </w:tcPr>
          <w:p w14:paraId="03152F33"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EC078DD"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8E99F1D"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589EA6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101,704,024.96</w:t>
            </w:r>
          </w:p>
        </w:tc>
        <w:tc>
          <w:tcPr>
            <w:tcW w:w="1205" w:type="dxa"/>
            <w:tcBorders>
              <w:top w:val="single" w:sz="2" w:space="0" w:color="auto"/>
              <w:left w:val="single" w:sz="2" w:space="0" w:color="auto"/>
              <w:bottom w:val="single" w:sz="2" w:space="0" w:color="auto"/>
              <w:right w:val="single" w:sz="2" w:space="0" w:color="auto"/>
            </w:tcBorders>
            <w:vAlign w:val="center"/>
          </w:tcPr>
          <w:p w14:paraId="26F3886E"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0AE89E7"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262C48E0" w14:textId="18A8FF3C" w:rsidR="00F73301" w:rsidRPr="00F73301" w:rsidRDefault="0066314B" w:rsidP="0066314B">
            <w:pPr>
              <w:snapToGrid w:val="0"/>
              <w:rPr>
                <w:rFonts w:ascii="Times New Roman" w:eastAsia="宋体" w:hAnsi="Times New Roman" w:cs="Times New Roman"/>
                <w:sz w:val="18"/>
                <w:szCs w:val="18"/>
              </w:rPr>
            </w:pPr>
            <w:proofErr w:type="spellStart"/>
            <w:r>
              <w:rPr>
                <w:rFonts w:ascii="Times New Roman" w:eastAsia="宋体" w:hAnsi="Times New Roman" w:cs="Times New Roman"/>
                <w:sz w:val="18"/>
                <w:szCs w:val="18"/>
              </w:rPr>
              <w:t>Yangjie</w:t>
            </w:r>
            <w:proofErr w:type="spellEnd"/>
            <w:r>
              <w:rPr>
                <w:rFonts w:ascii="Times New Roman" w:eastAsia="宋体" w:hAnsi="Times New Roman" w:cs="Times New Roman"/>
                <w:sz w:val="18"/>
                <w:szCs w:val="18"/>
              </w:rPr>
              <w:t xml:space="preserve"> Wuxi</w:t>
            </w:r>
          </w:p>
        </w:tc>
        <w:tc>
          <w:tcPr>
            <w:tcW w:w="1205" w:type="dxa"/>
            <w:tcBorders>
              <w:top w:val="single" w:sz="2" w:space="0" w:color="auto"/>
              <w:left w:val="single" w:sz="2" w:space="0" w:color="auto"/>
              <w:bottom w:val="single" w:sz="2" w:space="0" w:color="auto"/>
              <w:right w:val="single" w:sz="2" w:space="0" w:color="auto"/>
            </w:tcBorders>
            <w:vAlign w:val="center"/>
          </w:tcPr>
          <w:p w14:paraId="0BF46E3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52,077,935.09</w:t>
            </w:r>
          </w:p>
        </w:tc>
        <w:tc>
          <w:tcPr>
            <w:tcW w:w="1205" w:type="dxa"/>
            <w:tcBorders>
              <w:top w:val="single" w:sz="2" w:space="0" w:color="auto"/>
              <w:left w:val="single" w:sz="2" w:space="0" w:color="auto"/>
              <w:bottom w:val="single" w:sz="2" w:space="0" w:color="auto"/>
              <w:right w:val="single" w:sz="2" w:space="0" w:color="auto"/>
            </w:tcBorders>
            <w:vAlign w:val="center"/>
          </w:tcPr>
          <w:p w14:paraId="3B34768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288,135.00</w:t>
            </w:r>
          </w:p>
        </w:tc>
        <w:tc>
          <w:tcPr>
            <w:tcW w:w="1205" w:type="dxa"/>
            <w:tcBorders>
              <w:top w:val="single" w:sz="2" w:space="0" w:color="auto"/>
              <w:left w:val="single" w:sz="2" w:space="0" w:color="auto"/>
              <w:bottom w:val="single" w:sz="2" w:space="0" w:color="auto"/>
              <w:right w:val="single" w:sz="2" w:space="0" w:color="auto"/>
            </w:tcBorders>
            <w:vAlign w:val="center"/>
          </w:tcPr>
          <w:p w14:paraId="66B46811"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2094F82"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A3C0751"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BF1872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52,366,070.09</w:t>
            </w:r>
          </w:p>
        </w:tc>
        <w:tc>
          <w:tcPr>
            <w:tcW w:w="1205" w:type="dxa"/>
            <w:tcBorders>
              <w:top w:val="single" w:sz="2" w:space="0" w:color="auto"/>
              <w:left w:val="single" w:sz="2" w:space="0" w:color="auto"/>
              <w:bottom w:val="single" w:sz="2" w:space="0" w:color="auto"/>
              <w:right w:val="single" w:sz="2" w:space="0" w:color="auto"/>
            </w:tcBorders>
            <w:vAlign w:val="center"/>
          </w:tcPr>
          <w:p w14:paraId="5BDA4C5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7D84F459"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22ED51E4" w14:textId="546C90D4" w:rsidR="00F73301" w:rsidRPr="00F73301" w:rsidRDefault="0066314B" w:rsidP="0066314B">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Wuxi </w:t>
            </w:r>
            <w:proofErr w:type="spellStart"/>
            <w:r>
              <w:rPr>
                <w:rFonts w:ascii="Times New Roman" w:eastAsia="宋体" w:hAnsi="Times New Roman" w:cs="Times New Roman"/>
                <w:sz w:val="18"/>
                <w:szCs w:val="18"/>
              </w:rPr>
              <w:t>Jiexiwei</w:t>
            </w:r>
            <w:proofErr w:type="spellEnd"/>
          </w:p>
        </w:tc>
        <w:tc>
          <w:tcPr>
            <w:tcW w:w="1205" w:type="dxa"/>
            <w:tcBorders>
              <w:top w:val="single" w:sz="2" w:space="0" w:color="auto"/>
              <w:left w:val="single" w:sz="2" w:space="0" w:color="auto"/>
              <w:bottom w:val="single" w:sz="2" w:space="0" w:color="auto"/>
              <w:right w:val="single" w:sz="2" w:space="0" w:color="auto"/>
            </w:tcBorders>
            <w:vAlign w:val="center"/>
          </w:tcPr>
          <w:p w14:paraId="056B4BA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0043205E"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A3D5492"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DE23524"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A1D6E9C"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62929EC"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4439EEA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845BA21"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709EF450" w14:textId="2F8FEFB4" w:rsidR="00F73301" w:rsidRPr="00F73301" w:rsidRDefault="0066314B" w:rsidP="0066314B">
            <w:pPr>
              <w:snapToGrid w:val="0"/>
              <w:rPr>
                <w:rFonts w:ascii="Times New Roman" w:eastAsia="宋体" w:hAnsi="Times New Roman" w:cs="Times New Roman"/>
                <w:sz w:val="18"/>
                <w:szCs w:val="18"/>
              </w:rPr>
            </w:pPr>
            <w:r>
              <w:rPr>
                <w:rFonts w:ascii="Times New Roman" w:eastAsia="宋体" w:hAnsi="Times New Roman" w:cs="Times New Roman"/>
                <w:sz w:val="18"/>
                <w:szCs w:val="18"/>
              </w:rPr>
              <w:t xml:space="preserve">Yangzhou </w:t>
            </w:r>
            <w:proofErr w:type="spellStart"/>
            <w:r>
              <w:rPr>
                <w:rFonts w:ascii="Times New Roman" w:eastAsia="宋体" w:hAnsi="Times New Roman" w:cs="Times New Roman"/>
                <w:sz w:val="18"/>
                <w:szCs w:val="18"/>
              </w:rPr>
              <w:t>Jieguan</w:t>
            </w:r>
            <w:proofErr w:type="spellEnd"/>
          </w:p>
        </w:tc>
        <w:tc>
          <w:tcPr>
            <w:tcW w:w="1205" w:type="dxa"/>
            <w:tcBorders>
              <w:top w:val="single" w:sz="2" w:space="0" w:color="auto"/>
              <w:left w:val="single" w:sz="2" w:space="0" w:color="auto"/>
              <w:bottom w:val="single" w:sz="2" w:space="0" w:color="auto"/>
              <w:right w:val="single" w:sz="2" w:space="0" w:color="auto"/>
            </w:tcBorders>
            <w:vAlign w:val="center"/>
          </w:tcPr>
          <w:p w14:paraId="1D0F962E"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A01129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32,100,000.00</w:t>
            </w:r>
          </w:p>
        </w:tc>
        <w:tc>
          <w:tcPr>
            <w:tcW w:w="1205" w:type="dxa"/>
            <w:tcBorders>
              <w:top w:val="single" w:sz="2" w:space="0" w:color="auto"/>
              <w:left w:val="single" w:sz="2" w:space="0" w:color="auto"/>
              <w:bottom w:val="single" w:sz="2" w:space="0" w:color="auto"/>
              <w:right w:val="single" w:sz="2" w:space="0" w:color="auto"/>
            </w:tcBorders>
            <w:vAlign w:val="center"/>
          </w:tcPr>
          <w:p w14:paraId="16330752"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EAC8DF6"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CCEE08B"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7892DF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32,100,000.00</w:t>
            </w:r>
          </w:p>
        </w:tc>
        <w:tc>
          <w:tcPr>
            <w:tcW w:w="1205" w:type="dxa"/>
            <w:tcBorders>
              <w:top w:val="single" w:sz="2" w:space="0" w:color="auto"/>
              <w:left w:val="single" w:sz="2" w:space="0" w:color="auto"/>
              <w:bottom w:val="single" w:sz="2" w:space="0" w:color="auto"/>
              <w:right w:val="single" w:sz="2" w:space="0" w:color="auto"/>
            </w:tcBorders>
            <w:vAlign w:val="center"/>
          </w:tcPr>
          <w:p w14:paraId="54B4D46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C9412F5"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vAlign w:val="center"/>
          </w:tcPr>
          <w:p w14:paraId="660252B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Hunan </w:t>
            </w:r>
            <w:proofErr w:type="spellStart"/>
            <w:r w:rsidRPr="00F73301">
              <w:rPr>
                <w:rFonts w:ascii="Times New Roman" w:eastAsia="宋体" w:hAnsi="Times New Roman" w:cs="Times New Roman"/>
                <w:sz w:val="18"/>
                <w:szCs w:val="18"/>
              </w:rPr>
              <w:t>Chuwei</w:t>
            </w:r>
            <w:proofErr w:type="spellEnd"/>
          </w:p>
        </w:tc>
        <w:tc>
          <w:tcPr>
            <w:tcW w:w="1205" w:type="dxa"/>
            <w:tcBorders>
              <w:top w:val="single" w:sz="2" w:space="0" w:color="auto"/>
              <w:left w:val="single" w:sz="2" w:space="0" w:color="auto"/>
              <w:bottom w:val="single" w:sz="2" w:space="0" w:color="auto"/>
              <w:right w:val="single" w:sz="2" w:space="0" w:color="auto"/>
            </w:tcBorders>
            <w:vAlign w:val="center"/>
          </w:tcPr>
          <w:p w14:paraId="022CF2D5"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16C848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293,760,000.00</w:t>
            </w:r>
          </w:p>
        </w:tc>
        <w:tc>
          <w:tcPr>
            <w:tcW w:w="1205" w:type="dxa"/>
            <w:tcBorders>
              <w:top w:val="single" w:sz="2" w:space="0" w:color="auto"/>
              <w:left w:val="single" w:sz="2" w:space="0" w:color="auto"/>
              <w:bottom w:val="single" w:sz="2" w:space="0" w:color="auto"/>
              <w:right w:val="single" w:sz="2" w:space="0" w:color="auto"/>
            </w:tcBorders>
            <w:vAlign w:val="center"/>
          </w:tcPr>
          <w:p w14:paraId="0B2452BD"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B86C92C"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CE04C6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380,728,869.78</w:t>
            </w:r>
          </w:p>
        </w:tc>
        <w:tc>
          <w:tcPr>
            <w:tcW w:w="1205" w:type="dxa"/>
            <w:tcBorders>
              <w:top w:val="single" w:sz="2" w:space="0" w:color="auto"/>
              <w:left w:val="single" w:sz="2" w:space="0" w:color="auto"/>
              <w:bottom w:val="single" w:sz="2" w:space="0" w:color="auto"/>
              <w:right w:val="single" w:sz="2" w:space="0" w:color="auto"/>
            </w:tcBorders>
            <w:vAlign w:val="center"/>
          </w:tcPr>
          <w:p w14:paraId="53E0578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674,488,869.78</w:t>
            </w:r>
          </w:p>
        </w:tc>
        <w:tc>
          <w:tcPr>
            <w:tcW w:w="1205" w:type="dxa"/>
            <w:tcBorders>
              <w:top w:val="single" w:sz="2" w:space="0" w:color="auto"/>
              <w:left w:val="single" w:sz="2" w:space="0" w:color="auto"/>
              <w:bottom w:val="single" w:sz="2" w:space="0" w:color="auto"/>
              <w:right w:val="single" w:sz="2" w:space="0" w:color="auto"/>
            </w:tcBorders>
            <w:vAlign w:val="center"/>
          </w:tcPr>
          <w:p w14:paraId="608A816D"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264D64BA" w14:textId="77777777" w:rsidTr="0001208F">
        <w:trPr>
          <w:jc w:val="center"/>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7A80B1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205" w:type="dxa"/>
            <w:tcBorders>
              <w:top w:val="single" w:sz="2" w:space="0" w:color="auto"/>
              <w:left w:val="single" w:sz="2" w:space="0" w:color="auto"/>
              <w:bottom w:val="single" w:sz="2" w:space="0" w:color="auto"/>
              <w:right w:val="single" w:sz="2" w:space="0" w:color="auto"/>
            </w:tcBorders>
            <w:vAlign w:val="center"/>
          </w:tcPr>
          <w:p w14:paraId="24BEFD4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462,032,267.89</w:t>
            </w:r>
          </w:p>
        </w:tc>
        <w:tc>
          <w:tcPr>
            <w:tcW w:w="1205" w:type="dxa"/>
            <w:tcBorders>
              <w:top w:val="single" w:sz="2" w:space="0" w:color="auto"/>
              <w:left w:val="single" w:sz="2" w:space="0" w:color="auto"/>
              <w:bottom w:val="single" w:sz="2" w:space="0" w:color="auto"/>
              <w:right w:val="single" w:sz="2" w:space="0" w:color="auto"/>
            </w:tcBorders>
            <w:vAlign w:val="center"/>
          </w:tcPr>
          <w:p w14:paraId="4E083B6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328,301,565.00</w:t>
            </w:r>
          </w:p>
        </w:tc>
        <w:tc>
          <w:tcPr>
            <w:tcW w:w="1205" w:type="dxa"/>
            <w:tcBorders>
              <w:top w:val="single" w:sz="2" w:space="0" w:color="auto"/>
              <w:left w:val="single" w:sz="2" w:space="0" w:color="auto"/>
              <w:bottom w:val="single" w:sz="2" w:space="0" w:color="auto"/>
              <w:right w:val="single" w:sz="2" w:space="0" w:color="auto"/>
            </w:tcBorders>
            <w:vAlign w:val="center"/>
          </w:tcPr>
          <w:p w14:paraId="2CDCB73D"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A6E758E" w14:textId="77777777" w:rsidR="00F73301" w:rsidRPr="00F73301" w:rsidRDefault="00F73301" w:rsidP="008C49B7">
            <w:pPr>
              <w:snapToGrid w:val="0"/>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AA08C9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380,728,869.78</w:t>
            </w:r>
          </w:p>
        </w:tc>
        <w:tc>
          <w:tcPr>
            <w:tcW w:w="1205" w:type="dxa"/>
            <w:tcBorders>
              <w:top w:val="single" w:sz="2" w:space="0" w:color="auto"/>
              <w:left w:val="single" w:sz="2" w:space="0" w:color="auto"/>
              <w:bottom w:val="single" w:sz="2" w:space="0" w:color="auto"/>
              <w:right w:val="single" w:sz="2" w:space="0" w:color="auto"/>
            </w:tcBorders>
            <w:vAlign w:val="center"/>
          </w:tcPr>
          <w:p w14:paraId="2C3F86E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1,171,062,702.67</w:t>
            </w:r>
          </w:p>
        </w:tc>
        <w:tc>
          <w:tcPr>
            <w:tcW w:w="1205" w:type="dxa"/>
            <w:tcBorders>
              <w:top w:val="single" w:sz="2" w:space="0" w:color="auto"/>
              <w:left w:val="single" w:sz="2" w:space="0" w:color="auto"/>
              <w:bottom w:val="single" w:sz="2" w:space="0" w:color="auto"/>
              <w:right w:val="single" w:sz="2" w:space="0" w:color="auto"/>
            </w:tcBorders>
            <w:vAlign w:val="center"/>
          </w:tcPr>
          <w:p w14:paraId="1C272F4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10,559,705.89</w:t>
            </w:r>
          </w:p>
        </w:tc>
      </w:tr>
    </w:tbl>
    <w:p w14:paraId="021DF450"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414" w:name="_Toc989302"/>
      <w:r w:rsidRPr="00F73301">
        <w:rPr>
          <w:rFonts w:ascii="Times New Roman" w:eastAsia="宋体" w:hAnsi="Times New Roman" w:cs="Times New Roman"/>
          <w:b/>
          <w:bCs/>
          <w:sz w:val="24"/>
          <w:szCs w:val="24"/>
        </w:rPr>
        <w:t>(2) Investment to joint ventures and associated enterprises</w:t>
      </w:r>
      <w:bookmarkEnd w:id="414"/>
    </w:p>
    <w:p w14:paraId="52325224"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784"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948"/>
        <w:gridCol w:w="803"/>
        <w:gridCol w:w="803"/>
        <w:gridCol w:w="803"/>
        <w:gridCol w:w="803"/>
        <w:gridCol w:w="803"/>
        <w:gridCol w:w="803"/>
        <w:gridCol w:w="803"/>
        <w:gridCol w:w="803"/>
        <w:gridCol w:w="805"/>
        <w:gridCol w:w="803"/>
        <w:gridCol w:w="804"/>
      </w:tblGrid>
      <w:tr w:rsidR="00F73301" w:rsidRPr="00FA3F5C" w14:paraId="0B69C211" w14:textId="77777777" w:rsidTr="00FA3F5C">
        <w:trPr>
          <w:jc w:val="center"/>
        </w:trPr>
        <w:tc>
          <w:tcPr>
            <w:tcW w:w="94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8607F1"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Investee</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3EBA9BB"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 xml:space="preserve">Opening </w:t>
            </w:r>
            <w:r w:rsidRPr="00FA3F5C">
              <w:rPr>
                <w:rFonts w:ascii="Times New Roman" w:eastAsia="宋体" w:hAnsi="Times New Roman" w:cs="Times New Roman"/>
                <w:sz w:val="16"/>
                <w:szCs w:val="16"/>
              </w:rPr>
              <w:lastRenderedPageBreak/>
              <w:t>balance (carrying amount)</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02DB241C"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lastRenderedPageBreak/>
              <w:t>Increase/decrease for the current period</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04E9FD"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 xml:space="preserve">Closing </w:t>
            </w:r>
            <w:r w:rsidRPr="00FA3F5C">
              <w:rPr>
                <w:rFonts w:ascii="Times New Roman" w:eastAsia="宋体" w:hAnsi="Times New Roman" w:cs="Times New Roman"/>
                <w:sz w:val="16"/>
                <w:szCs w:val="16"/>
              </w:rPr>
              <w:lastRenderedPageBreak/>
              <w:t>balance (carrying amount)</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3916202"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lastRenderedPageBreak/>
              <w:t xml:space="preserve">Closing </w:t>
            </w:r>
            <w:r w:rsidRPr="00FA3F5C">
              <w:rPr>
                <w:rFonts w:ascii="Times New Roman" w:eastAsia="宋体" w:hAnsi="Times New Roman" w:cs="Times New Roman"/>
                <w:sz w:val="16"/>
                <w:szCs w:val="16"/>
              </w:rPr>
              <w:lastRenderedPageBreak/>
              <w:t>balance of allowance for impairment</w:t>
            </w:r>
          </w:p>
        </w:tc>
      </w:tr>
      <w:tr w:rsidR="008C49B7" w:rsidRPr="00FA3F5C" w14:paraId="1150162B" w14:textId="77777777" w:rsidTr="00FA3F5C">
        <w:trPr>
          <w:jc w:val="center"/>
        </w:trPr>
        <w:tc>
          <w:tcPr>
            <w:tcW w:w="94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46C9C2" w14:textId="77777777" w:rsidR="00F73301" w:rsidRPr="00FA3F5C" w:rsidRDefault="00F73301" w:rsidP="008C49B7">
            <w:pPr>
              <w:snapToGrid w:val="0"/>
              <w:rPr>
                <w:rFonts w:ascii="Times New Roman" w:eastAsia="等线" w:hAnsi="Times New Roman" w:cs="Times New Roman"/>
                <w:sz w:val="16"/>
                <w:szCs w:val="16"/>
              </w:rPr>
            </w:pP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B71188" w14:textId="77777777" w:rsidR="00F73301" w:rsidRPr="00FA3F5C" w:rsidRDefault="00F73301" w:rsidP="008C49B7">
            <w:pPr>
              <w:snapToGrid w:val="0"/>
              <w:rPr>
                <w:rFonts w:ascii="Times New Roman" w:eastAsia="等线"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3288A8F"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Investments increased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5588F66"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Investments decreased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1823B35"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Investment gains and losses recognized under equity method</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C264388"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Adjustment of other comprehensive income</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2F9AC18"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Other equity changes</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F4BFFF0"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Cash dividend/ profit declared for distribution</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1A6979F"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Allowance for impairment</w:t>
            </w:r>
          </w:p>
        </w:tc>
        <w:tc>
          <w:tcPr>
            <w:tcW w:w="805" w:type="dxa"/>
            <w:tcBorders>
              <w:top w:val="single" w:sz="2" w:space="0" w:color="auto"/>
              <w:left w:val="single" w:sz="2" w:space="0" w:color="auto"/>
              <w:bottom w:val="single" w:sz="2" w:space="0" w:color="auto"/>
              <w:right w:val="single" w:sz="2" w:space="0" w:color="auto"/>
            </w:tcBorders>
            <w:shd w:val="clear" w:color="auto" w:fill="D3D3D3"/>
            <w:vAlign w:val="center"/>
          </w:tcPr>
          <w:p w14:paraId="0F1364F0" w14:textId="77777777" w:rsidR="00F73301" w:rsidRPr="00FA3F5C" w:rsidRDefault="00F73301" w:rsidP="008C49B7">
            <w:pPr>
              <w:snapToGrid w:val="0"/>
              <w:jc w:val="center"/>
              <w:rPr>
                <w:rFonts w:ascii="Times New Roman" w:eastAsia="宋体" w:hAnsi="Times New Roman" w:cs="Times New Roman"/>
                <w:sz w:val="16"/>
                <w:szCs w:val="16"/>
              </w:rPr>
            </w:pPr>
            <w:r w:rsidRPr="00FA3F5C">
              <w:rPr>
                <w:rFonts w:ascii="Times New Roman" w:eastAsia="宋体" w:hAnsi="Times New Roman" w:cs="Times New Roman"/>
                <w:sz w:val="16"/>
                <w:szCs w:val="16"/>
              </w:rPr>
              <w:t>Others</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6140B2C" w14:textId="77777777" w:rsidR="00F73301" w:rsidRPr="00FA3F5C" w:rsidRDefault="00F73301" w:rsidP="008C49B7">
            <w:pPr>
              <w:snapToGrid w:val="0"/>
              <w:rPr>
                <w:rFonts w:ascii="Times New Roman" w:eastAsia="等线" w:hAnsi="Times New Roman" w:cs="Times New Roman"/>
                <w:sz w:val="16"/>
                <w:szCs w:val="16"/>
              </w:rPr>
            </w:pPr>
          </w:p>
        </w:tc>
        <w:tc>
          <w:tcPr>
            <w:tcW w:w="80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9FD9BD4" w14:textId="77777777" w:rsidR="00F73301" w:rsidRPr="00FA3F5C" w:rsidRDefault="00F73301" w:rsidP="008C49B7">
            <w:pPr>
              <w:snapToGrid w:val="0"/>
              <w:rPr>
                <w:rFonts w:ascii="Times New Roman" w:eastAsia="等线" w:hAnsi="Times New Roman" w:cs="Times New Roman"/>
                <w:sz w:val="16"/>
                <w:szCs w:val="16"/>
              </w:rPr>
            </w:pPr>
          </w:p>
        </w:tc>
      </w:tr>
      <w:tr w:rsidR="00F73301" w:rsidRPr="00FA3F5C" w14:paraId="6D9365DE" w14:textId="77777777" w:rsidTr="00FA3F5C">
        <w:trPr>
          <w:jc w:val="center"/>
        </w:trPr>
        <w:tc>
          <w:tcPr>
            <w:tcW w:w="9784"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486F36BA" w14:textId="77777777" w:rsidR="00F73301" w:rsidRPr="00FA3F5C" w:rsidRDefault="00F73301" w:rsidP="008C49B7">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rPr>
              <w:t>I. Joint Ventures</w:t>
            </w:r>
          </w:p>
        </w:tc>
      </w:tr>
      <w:tr w:rsidR="00F73301" w:rsidRPr="00FA3F5C" w14:paraId="0D79884B" w14:textId="77777777" w:rsidTr="00FA3F5C">
        <w:trPr>
          <w:jc w:val="center"/>
        </w:trPr>
        <w:tc>
          <w:tcPr>
            <w:tcW w:w="9784"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4AB7EFDB" w14:textId="77777777" w:rsidR="00F73301" w:rsidRPr="00FA3F5C" w:rsidRDefault="00F73301" w:rsidP="008C49B7">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rPr>
              <w:t>II. Associated Enterprises</w:t>
            </w:r>
          </w:p>
        </w:tc>
      </w:tr>
      <w:tr w:rsidR="00F73301" w:rsidRPr="00FA3F5C" w14:paraId="6F1EC613" w14:textId="77777777" w:rsidTr="00FA3F5C">
        <w:trPr>
          <w:jc w:val="center"/>
        </w:trPr>
        <w:tc>
          <w:tcPr>
            <w:tcW w:w="948" w:type="dxa"/>
            <w:tcBorders>
              <w:top w:val="single" w:sz="2" w:space="0" w:color="auto"/>
              <w:left w:val="single" w:sz="2" w:space="0" w:color="auto"/>
              <w:bottom w:val="single" w:sz="2" w:space="0" w:color="auto"/>
              <w:right w:val="single" w:sz="2" w:space="0" w:color="auto"/>
            </w:tcBorders>
            <w:vAlign w:val="center"/>
          </w:tcPr>
          <w:p w14:paraId="0A6E4FA9" w14:textId="77777777" w:rsidR="00F73301" w:rsidRPr="00FA3F5C" w:rsidRDefault="00F73301" w:rsidP="008C49B7">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rPr>
              <w:t>Yangzhou Guoyu Electronics Co., Ltd. [Note 1]</w:t>
            </w:r>
          </w:p>
        </w:tc>
        <w:tc>
          <w:tcPr>
            <w:tcW w:w="803" w:type="dxa"/>
            <w:tcBorders>
              <w:top w:val="single" w:sz="2" w:space="0" w:color="auto"/>
              <w:left w:val="single" w:sz="2" w:space="0" w:color="auto"/>
              <w:bottom w:val="single" w:sz="2" w:space="0" w:color="auto"/>
              <w:right w:val="single" w:sz="2" w:space="0" w:color="auto"/>
            </w:tcBorders>
            <w:vAlign w:val="center"/>
          </w:tcPr>
          <w:p w14:paraId="44F2B287"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36,790,996.72</w:t>
            </w:r>
          </w:p>
        </w:tc>
        <w:tc>
          <w:tcPr>
            <w:tcW w:w="803" w:type="dxa"/>
            <w:tcBorders>
              <w:top w:val="single" w:sz="2" w:space="0" w:color="auto"/>
              <w:left w:val="single" w:sz="2" w:space="0" w:color="auto"/>
              <w:bottom w:val="single" w:sz="2" w:space="0" w:color="auto"/>
              <w:right w:val="single" w:sz="2" w:space="0" w:color="auto"/>
            </w:tcBorders>
            <w:vAlign w:val="center"/>
          </w:tcPr>
          <w:p w14:paraId="2DB7BE5C"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7D0E96AD"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33B76116"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5,702,460.48</w:t>
            </w:r>
          </w:p>
        </w:tc>
        <w:tc>
          <w:tcPr>
            <w:tcW w:w="803" w:type="dxa"/>
            <w:tcBorders>
              <w:top w:val="single" w:sz="2" w:space="0" w:color="auto"/>
              <w:left w:val="single" w:sz="2" w:space="0" w:color="auto"/>
              <w:bottom w:val="single" w:sz="2" w:space="0" w:color="auto"/>
              <w:right w:val="single" w:sz="2" w:space="0" w:color="auto"/>
            </w:tcBorders>
            <w:vAlign w:val="center"/>
          </w:tcPr>
          <w:p w14:paraId="1D1454BF"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3003EF5E"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2202A3AB"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-1,683,572.42</w:t>
            </w:r>
          </w:p>
        </w:tc>
        <w:tc>
          <w:tcPr>
            <w:tcW w:w="803" w:type="dxa"/>
            <w:tcBorders>
              <w:top w:val="single" w:sz="2" w:space="0" w:color="auto"/>
              <w:left w:val="single" w:sz="2" w:space="0" w:color="auto"/>
              <w:bottom w:val="single" w:sz="2" w:space="0" w:color="auto"/>
              <w:right w:val="single" w:sz="2" w:space="0" w:color="auto"/>
            </w:tcBorders>
            <w:vAlign w:val="center"/>
          </w:tcPr>
          <w:p w14:paraId="5A4DABA4" w14:textId="77777777" w:rsidR="00F73301" w:rsidRPr="00FA3F5C" w:rsidRDefault="00F73301" w:rsidP="008C49B7">
            <w:pPr>
              <w:snapToGrid w:val="0"/>
              <w:jc w:val="right"/>
              <w:rPr>
                <w:rFonts w:ascii="Times New Roman" w:eastAsia="宋体" w:hAnsi="Times New Roman" w:cs="Times New Roman"/>
                <w:sz w:val="16"/>
                <w:szCs w:val="16"/>
              </w:rPr>
            </w:pPr>
          </w:p>
        </w:tc>
        <w:tc>
          <w:tcPr>
            <w:tcW w:w="805" w:type="dxa"/>
            <w:tcBorders>
              <w:top w:val="single" w:sz="2" w:space="0" w:color="auto"/>
              <w:left w:val="single" w:sz="2" w:space="0" w:color="auto"/>
              <w:bottom w:val="single" w:sz="2" w:space="0" w:color="auto"/>
              <w:right w:val="single" w:sz="2" w:space="0" w:color="auto"/>
            </w:tcBorders>
            <w:vAlign w:val="center"/>
          </w:tcPr>
          <w:p w14:paraId="70BE8838"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587CBDC9"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40,809,884.78</w:t>
            </w:r>
          </w:p>
        </w:tc>
        <w:tc>
          <w:tcPr>
            <w:tcW w:w="804" w:type="dxa"/>
            <w:tcBorders>
              <w:top w:val="single" w:sz="2" w:space="0" w:color="auto"/>
              <w:left w:val="single" w:sz="2" w:space="0" w:color="auto"/>
              <w:bottom w:val="single" w:sz="2" w:space="0" w:color="auto"/>
              <w:right w:val="single" w:sz="2" w:space="0" w:color="auto"/>
            </w:tcBorders>
            <w:vAlign w:val="center"/>
          </w:tcPr>
          <w:p w14:paraId="4489A229" w14:textId="77777777" w:rsidR="00F73301" w:rsidRPr="00FA3F5C" w:rsidRDefault="00F73301" w:rsidP="008C49B7">
            <w:pPr>
              <w:snapToGrid w:val="0"/>
              <w:jc w:val="right"/>
              <w:rPr>
                <w:rFonts w:ascii="Times New Roman" w:eastAsia="宋体" w:hAnsi="Times New Roman" w:cs="Times New Roman"/>
                <w:sz w:val="16"/>
                <w:szCs w:val="16"/>
              </w:rPr>
            </w:pPr>
          </w:p>
        </w:tc>
      </w:tr>
      <w:tr w:rsidR="00F73301" w:rsidRPr="00FA3F5C" w14:paraId="70E90555" w14:textId="77777777" w:rsidTr="00FA3F5C">
        <w:trPr>
          <w:jc w:val="center"/>
        </w:trPr>
        <w:tc>
          <w:tcPr>
            <w:tcW w:w="948" w:type="dxa"/>
            <w:tcBorders>
              <w:top w:val="single" w:sz="2" w:space="0" w:color="auto"/>
              <w:left w:val="single" w:sz="2" w:space="0" w:color="auto"/>
              <w:bottom w:val="single" w:sz="2" w:space="0" w:color="auto"/>
              <w:right w:val="single" w:sz="2" w:space="0" w:color="auto"/>
            </w:tcBorders>
            <w:vAlign w:val="center"/>
          </w:tcPr>
          <w:p w14:paraId="0AA1B62D" w14:textId="77777777" w:rsidR="00F73301" w:rsidRPr="00FA3F5C" w:rsidRDefault="00F73301" w:rsidP="008C49B7">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rPr>
              <w:t>Jiangsu Intelligent Microsystem Industrial Technology Co., Ltd. [Note 2]</w:t>
            </w:r>
          </w:p>
        </w:tc>
        <w:tc>
          <w:tcPr>
            <w:tcW w:w="803" w:type="dxa"/>
            <w:tcBorders>
              <w:top w:val="single" w:sz="2" w:space="0" w:color="auto"/>
              <w:left w:val="single" w:sz="2" w:space="0" w:color="auto"/>
              <w:bottom w:val="single" w:sz="2" w:space="0" w:color="auto"/>
              <w:right w:val="single" w:sz="2" w:space="0" w:color="auto"/>
            </w:tcBorders>
            <w:vAlign w:val="center"/>
          </w:tcPr>
          <w:p w14:paraId="78D685C8"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19,937,796.78</w:t>
            </w:r>
          </w:p>
        </w:tc>
        <w:tc>
          <w:tcPr>
            <w:tcW w:w="803" w:type="dxa"/>
            <w:tcBorders>
              <w:top w:val="single" w:sz="2" w:space="0" w:color="auto"/>
              <w:left w:val="single" w:sz="2" w:space="0" w:color="auto"/>
              <w:bottom w:val="single" w:sz="2" w:space="0" w:color="auto"/>
              <w:right w:val="single" w:sz="2" w:space="0" w:color="auto"/>
            </w:tcBorders>
            <w:vAlign w:val="center"/>
          </w:tcPr>
          <w:p w14:paraId="58D734A7"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530BD331"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07B1E78E"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4F0CE383"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3C8109E2"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3D64EF27"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64379304" w14:textId="77777777" w:rsidR="00F73301" w:rsidRPr="00FA3F5C" w:rsidRDefault="00F73301" w:rsidP="008C49B7">
            <w:pPr>
              <w:snapToGrid w:val="0"/>
              <w:jc w:val="right"/>
              <w:rPr>
                <w:rFonts w:ascii="Times New Roman" w:eastAsia="宋体" w:hAnsi="Times New Roman" w:cs="Times New Roman"/>
                <w:sz w:val="16"/>
                <w:szCs w:val="16"/>
              </w:rPr>
            </w:pPr>
          </w:p>
        </w:tc>
        <w:tc>
          <w:tcPr>
            <w:tcW w:w="805" w:type="dxa"/>
            <w:tcBorders>
              <w:top w:val="single" w:sz="2" w:space="0" w:color="auto"/>
              <w:left w:val="single" w:sz="2" w:space="0" w:color="auto"/>
              <w:bottom w:val="single" w:sz="2" w:space="0" w:color="auto"/>
              <w:right w:val="single" w:sz="2" w:space="0" w:color="auto"/>
            </w:tcBorders>
            <w:vAlign w:val="center"/>
          </w:tcPr>
          <w:p w14:paraId="430FF737"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568BCEFF"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19,937,796.78</w:t>
            </w:r>
          </w:p>
        </w:tc>
        <w:tc>
          <w:tcPr>
            <w:tcW w:w="804" w:type="dxa"/>
            <w:tcBorders>
              <w:top w:val="single" w:sz="2" w:space="0" w:color="auto"/>
              <w:left w:val="single" w:sz="2" w:space="0" w:color="auto"/>
              <w:bottom w:val="single" w:sz="2" w:space="0" w:color="auto"/>
              <w:right w:val="single" w:sz="2" w:space="0" w:color="auto"/>
            </w:tcBorders>
            <w:vAlign w:val="center"/>
          </w:tcPr>
          <w:p w14:paraId="4C90FA8E" w14:textId="77777777" w:rsidR="00F73301" w:rsidRPr="00FA3F5C" w:rsidRDefault="00F73301" w:rsidP="008C49B7">
            <w:pPr>
              <w:snapToGrid w:val="0"/>
              <w:jc w:val="right"/>
              <w:rPr>
                <w:rFonts w:ascii="Times New Roman" w:eastAsia="宋体" w:hAnsi="Times New Roman" w:cs="Times New Roman"/>
                <w:sz w:val="16"/>
                <w:szCs w:val="16"/>
              </w:rPr>
            </w:pPr>
          </w:p>
        </w:tc>
      </w:tr>
      <w:tr w:rsidR="00F73301" w:rsidRPr="00FA3F5C" w14:paraId="1CF998DA" w14:textId="77777777" w:rsidTr="00FA3F5C">
        <w:trPr>
          <w:jc w:val="center"/>
        </w:trPr>
        <w:tc>
          <w:tcPr>
            <w:tcW w:w="948" w:type="dxa"/>
            <w:tcBorders>
              <w:top w:val="single" w:sz="2" w:space="0" w:color="auto"/>
              <w:left w:val="single" w:sz="2" w:space="0" w:color="auto"/>
              <w:bottom w:val="single" w:sz="2" w:space="0" w:color="auto"/>
              <w:right w:val="single" w:sz="2" w:space="0" w:color="auto"/>
            </w:tcBorders>
            <w:vAlign w:val="center"/>
          </w:tcPr>
          <w:p w14:paraId="367E6F5D" w14:textId="77777777" w:rsidR="00F73301" w:rsidRPr="00FA3F5C" w:rsidRDefault="00F73301" w:rsidP="008C49B7">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lang w:val="es-ES"/>
              </w:rPr>
              <w:t xml:space="preserve">Jiangsu Huanxin Semiconductor Co., Ltd. </w:t>
            </w:r>
            <w:r w:rsidRPr="00FA3F5C">
              <w:rPr>
                <w:rFonts w:ascii="Times New Roman" w:eastAsia="宋体" w:hAnsi="Times New Roman" w:cs="Times New Roman"/>
                <w:sz w:val="16"/>
                <w:szCs w:val="16"/>
              </w:rPr>
              <w:t>[Note 3]</w:t>
            </w:r>
          </w:p>
        </w:tc>
        <w:tc>
          <w:tcPr>
            <w:tcW w:w="803" w:type="dxa"/>
            <w:tcBorders>
              <w:top w:val="single" w:sz="2" w:space="0" w:color="auto"/>
              <w:left w:val="single" w:sz="2" w:space="0" w:color="auto"/>
              <w:bottom w:val="single" w:sz="2" w:space="0" w:color="auto"/>
              <w:right w:val="single" w:sz="2" w:space="0" w:color="auto"/>
            </w:tcBorders>
            <w:vAlign w:val="center"/>
          </w:tcPr>
          <w:p w14:paraId="2B830267"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51,253,013.42</w:t>
            </w:r>
          </w:p>
        </w:tc>
        <w:tc>
          <w:tcPr>
            <w:tcW w:w="803" w:type="dxa"/>
            <w:tcBorders>
              <w:top w:val="single" w:sz="2" w:space="0" w:color="auto"/>
              <w:left w:val="single" w:sz="2" w:space="0" w:color="auto"/>
              <w:bottom w:val="single" w:sz="2" w:space="0" w:color="auto"/>
              <w:right w:val="single" w:sz="2" w:space="0" w:color="auto"/>
            </w:tcBorders>
            <w:vAlign w:val="center"/>
          </w:tcPr>
          <w:p w14:paraId="5BFFE50F"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030360C5"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60,000,000.00</w:t>
            </w:r>
          </w:p>
        </w:tc>
        <w:tc>
          <w:tcPr>
            <w:tcW w:w="803" w:type="dxa"/>
            <w:tcBorders>
              <w:top w:val="single" w:sz="2" w:space="0" w:color="auto"/>
              <w:left w:val="single" w:sz="2" w:space="0" w:color="auto"/>
              <w:bottom w:val="single" w:sz="2" w:space="0" w:color="auto"/>
              <w:right w:val="single" w:sz="2" w:space="0" w:color="auto"/>
            </w:tcBorders>
            <w:vAlign w:val="center"/>
          </w:tcPr>
          <w:p w14:paraId="33A423C2"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8,746,986.58</w:t>
            </w:r>
          </w:p>
        </w:tc>
        <w:tc>
          <w:tcPr>
            <w:tcW w:w="803" w:type="dxa"/>
            <w:tcBorders>
              <w:top w:val="single" w:sz="2" w:space="0" w:color="auto"/>
              <w:left w:val="single" w:sz="2" w:space="0" w:color="auto"/>
              <w:bottom w:val="single" w:sz="2" w:space="0" w:color="auto"/>
              <w:right w:val="single" w:sz="2" w:space="0" w:color="auto"/>
            </w:tcBorders>
            <w:vAlign w:val="center"/>
          </w:tcPr>
          <w:p w14:paraId="3AFC9A2D"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07B392E2"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0F16961C"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708977E0" w14:textId="77777777" w:rsidR="00F73301" w:rsidRPr="00FA3F5C" w:rsidRDefault="00F73301" w:rsidP="008C49B7">
            <w:pPr>
              <w:snapToGrid w:val="0"/>
              <w:jc w:val="right"/>
              <w:rPr>
                <w:rFonts w:ascii="Times New Roman" w:eastAsia="宋体" w:hAnsi="Times New Roman" w:cs="Times New Roman"/>
                <w:sz w:val="16"/>
                <w:szCs w:val="16"/>
              </w:rPr>
            </w:pPr>
          </w:p>
        </w:tc>
        <w:tc>
          <w:tcPr>
            <w:tcW w:w="805" w:type="dxa"/>
            <w:tcBorders>
              <w:top w:val="single" w:sz="2" w:space="0" w:color="auto"/>
              <w:left w:val="single" w:sz="2" w:space="0" w:color="auto"/>
              <w:bottom w:val="single" w:sz="2" w:space="0" w:color="auto"/>
              <w:right w:val="single" w:sz="2" w:space="0" w:color="auto"/>
            </w:tcBorders>
            <w:vAlign w:val="center"/>
          </w:tcPr>
          <w:p w14:paraId="64C8C60E"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056306B1"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0.00</w:t>
            </w:r>
          </w:p>
        </w:tc>
        <w:tc>
          <w:tcPr>
            <w:tcW w:w="804" w:type="dxa"/>
            <w:tcBorders>
              <w:top w:val="single" w:sz="2" w:space="0" w:color="auto"/>
              <w:left w:val="single" w:sz="2" w:space="0" w:color="auto"/>
              <w:bottom w:val="single" w:sz="2" w:space="0" w:color="auto"/>
              <w:right w:val="single" w:sz="2" w:space="0" w:color="auto"/>
            </w:tcBorders>
            <w:vAlign w:val="center"/>
          </w:tcPr>
          <w:p w14:paraId="43047497" w14:textId="77777777" w:rsidR="00F73301" w:rsidRPr="00FA3F5C" w:rsidRDefault="00F73301" w:rsidP="008C49B7">
            <w:pPr>
              <w:snapToGrid w:val="0"/>
              <w:jc w:val="right"/>
              <w:rPr>
                <w:rFonts w:ascii="Times New Roman" w:eastAsia="宋体" w:hAnsi="Times New Roman" w:cs="Times New Roman"/>
                <w:sz w:val="16"/>
                <w:szCs w:val="16"/>
              </w:rPr>
            </w:pPr>
          </w:p>
        </w:tc>
      </w:tr>
      <w:tr w:rsidR="00F73301" w:rsidRPr="00FA3F5C" w14:paraId="3B186B91" w14:textId="77777777" w:rsidTr="00FA3F5C">
        <w:trPr>
          <w:jc w:val="center"/>
        </w:trPr>
        <w:tc>
          <w:tcPr>
            <w:tcW w:w="948" w:type="dxa"/>
            <w:tcBorders>
              <w:top w:val="single" w:sz="2" w:space="0" w:color="auto"/>
              <w:left w:val="single" w:sz="2" w:space="0" w:color="auto"/>
              <w:bottom w:val="single" w:sz="2" w:space="0" w:color="auto"/>
              <w:right w:val="single" w:sz="2" w:space="0" w:color="auto"/>
            </w:tcBorders>
            <w:vAlign w:val="center"/>
          </w:tcPr>
          <w:p w14:paraId="2E69AE6D" w14:textId="7DFB5504" w:rsidR="00F73301" w:rsidRPr="00FA3F5C" w:rsidRDefault="00F73301" w:rsidP="00E26865">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rPr>
              <w:t xml:space="preserve">Hunan </w:t>
            </w:r>
            <w:proofErr w:type="spellStart"/>
            <w:r w:rsidR="00E26865">
              <w:rPr>
                <w:rFonts w:ascii="Times New Roman" w:eastAsia="宋体" w:hAnsi="Times New Roman" w:cs="Times New Roman"/>
                <w:sz w:val="16"/>
                <w:szCs w:val="16"/>
              </w:rPr>
              <w:t>Jiec</w:t>
            </w:r>
            <w:r w:rsidRPr="00FA3F5C">
              <w:rPr>
                <w:rFonts w:ascii="Times New Roman" w:eastAsia="宋体" w:hAnsi="Times New Roman" w:cs="Times New Roman"/>
                <w:sz w:val="16"/>
                <w:szCs w:val="16"/>
              </w:rPr>
              <w:t>huwei</w:t>
            </w:r>
            <w:proofErr w:type="spellEnd"/>
            <w:r w:rsidRPr="00FA3F5C">
              <w:rPr>
                <w:rFonts w:ascii="Times New Roman" w:eastAsia="宋体" w:hAnsi="Times New Roman" w:cs="Times New Roman"/>
                <w:sz w:val="16"/>
                <w:szCs w:val="16"/>
              </w:rPr>
              <w:t xml:space="preserve"> Semiconductor Technology Co., Ltd. [Note 4]</w:t>
            </w:r>
          </w:p>
        </w:tc>
        <w:tc>
          <w:tcPr>
            <w:tcW w:w="803" w:type="dxa"/>
            <w:tcBorders>
              <w:top w:val="single" w:sz="2" w:space="0" w:color="auto"/>
              <w:left w:val="single" w:sz="2" w:space="0" w:color="auto"/>
              <w:bottom w:val="single" w:sz="2" w:space="0" w:color="auto"/>
              <w:right w:val="single" w:sz="2" w:space="0" w:color="auto"/>
            </w:tcBorders>
            <w:vAlign w:val="center"/>
          </w:tcPr>
          <w:p w14:paraId="27554D29"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358,624,967.82</w:t>
            </w:r>
          </w:p>
        </w:tc>
        <w:tc>
          <w:tcPr>
            <w:tcW w:w="803" w:type="dxa"/>
            <w:tcBorders>
              <w:top w:val="single" w:sz="2" w:space="0" w:color="auto"/>
              <w:left w:val="single" w:sz="2" w:space="0" w:color="auto"/>
              <w:bottom w:val="single" w:sz="2" w:space="0" w:color="auto"/>
              <w:right w:val="single" w:sz="2" w:space="0" w:color="auto"/>
            </w:tcBorders>
            <w:vAlign w:val="center"/>
          </w:tcPr>
          <w:p w14:paraId="0E7DF544"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293,760,000.00</w:t>
            </w:r>
          </w:p>
        </w:tc>
        <w:tc>
          <w:tcPr>
            <w:tcW w:w="803" w:type="dxa"/>
            <w:tcBorders>
              <w:top w:val="single" w:sz="2" w:space="0" w:color="auto"/>
              <w:left w:val="single" w:sz="2" w:space="0" w:color="auto"/>
              <w:bottom w:val="single" w:sz="2" w:space="0" w:color="auto"/>
              <w:right w:val="single" w:sz="2" w:space="0" w:color="auto"/>
            </w:tcBorders>
            <w:vAlign w:val="center"/>
          </w:tcPr>
          <w:p w14:paraId="1136DD3D"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00D23518"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22,103,901.96</w:t>
            </w:r>
          </w:p>
        </w:tc>
        <w:tc>
          <w:tcPr>
            <w:tcW w:w="803" w:type="dxa"/>
            <w:tcBorders>
              <w:top w:val="single" w:sz="2" w:space="0" w:color="auto"/>
              <w:left w:val="single" w:sz="2" w:space="0" w:color="auto"/>
              <w:bottom w:val="single" w:sz="2" w:space="0" w:color="auto"/>
              <w:right w:val="single" w:sz="2" w:space="0" w:color="auto"/>
            </w:tcBorders>
            <w:vAlign w:val="center"/>
          </w:tcPr>
          <w:p w14:paraId="1B4B9B95"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3E9C7002"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1281C9A5" w14:textId="77777777" w:rsidR="00F73301" w:rsidRPr="00FA3F5C" w:rsidRDefault="00F73301" w:rsidP="008C49B7">
            <w:pPr>
              <w:snapToGrid w:val="0"/>
              <w:jc w:val="right"/>
              <w:rPr>
                <w:rFonts w:ascii="Times New Roman" w:eastAsia="宋体" w:hAnsi="Times New Roman" w:cs="Times New Roman"/>
                <w:sz w:val="16"/>
                <w:szCs w:val="16"/>
              </w:rPr>
            </w:pPr>
          </w:p>
        </w:tc>
        <w:tc>
          <w:tcPr>
            <w:tcW w:w="803" w:type="dxa"/>
            <w:tcBorders>
              <w:top w:val="single" w:sz="2" w:space="0" w:color="auto"/>
              <w:left w:val="single" w:sz="2" w:space="0" w:color="auto"/>
              <w:bottom w:val="single" w:sz="2" w:space="0" w:color="auto"/>
              <w:right w:val="single" w:sz="2" w:space="0" w:color="auto"/>
            </w:tcBorders>
            <w:vAlign w:val="center"/>
          </w:tcPr>
          <w:p w14:paraId="182170B2" w14:textId="77777777" w:rsidR="00F73301" w:rsidRPr="00FA3F5C" w:rsidRDefault="00F73301" w:rsidP="008C49B7">
            <w:pPr>
              <w:snapToGrid w:val="0"/>
              <w:jc w:val="right"/>
              <w:rPr>
                <w:rFonts w:ascii="Times New Roman" w:eastAsia="宋体" w:hAnsi="Times New Roman" w:cs="Times New Roman"/>
                <w:sz w:val="16"/>
                <w:szCs w:val="16"/>
              </w:rPr>
            </w:pPr>
          </w:p>
        </w:tc>
        <w:tc>
          <w:tcPr>
            <w:tcW w:w="805" w:type="dxa"/>
            <w:tcBorders>
              <w:top w:val="single" w:sz="2" w:space="0" w:color="auto"/>
              <w:left w:val="single" w:sz="2" w:space="0" w:color="auto"/>
              <w:bottom w:val="single" w:sz="2" w:space="0" w:color="auto"/>
              <w:right w:val="single" w:sz="2" w:space="0" w:color="auto"/>
            </w:tcBorders>
            <w:vAlign w:val="center"/>
          </w:tcPr>
          <w:p w14:paraId="55ED2784"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-674,488,869.78</w:t>
            </w:r>
          </w:p>
        </w:tc>
        <w:tc>
          <w:tcPr>
            <w:tcW w:w="803" w:type="dxa"/>
            <w:tcBorders>
              <w:top w:val="single" w:sz="2" w:space="0" w:color="auto"/>
              <w:left w:val="single" w:sz="2" w:space="0" w:color="auto"/>
              <w:bottom w:val="single" w:sz="2" w:space="0" w:color="auto"/>
              <w:right w:val="single" w:sz="2" w:space="0" w:color="auto"/>
            </w:tcBorders>
            <w:vAlign w:val="center"/>
          </w:tcPr>
          <w:p w14:paraId="0611DE67"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0.00</w:t>
            </w:r>
          </w:p>
        </w:tc>
        <w:tc>
          <w:tcPr>
            <w:tcW w:w="804" w:type="dxa"/>
            <w:tcBorders>
              <w:top w:val="single" w:sz="2" w:space="0" w:color="auto"/>
              <w:left w:val="single" w:sz="2" w:space="0" w:color="auto"/>
              <w:bottom w:val="single" w:sz="2" w:space="0" w:color="auto"/>
              <w:right w:val="single" w:sz="2" w:space="0" w:color="auto"/>
            </w:tcBorders>
            <w:vAlign w:val="center"/>
          </w:tcPr>
          <w:p w14:paraId="768DDB06" w14:textId="77777777" w:rsidR="00F73301" w:rsidRPr="00FA3F5C" w:rsidRDefault="00F73301" w:rsidP="008C49B7">
            <w:pPr>
              <w:snapToGrid w:val="0"/>
              <w:jc w:val="right"/>
              <w:rPr>
                <w:rFonts w:ascii="Times New Roman" w:eastAsia="宋体" w:hAnsi="Times New Roman" w:cs="Times New Roman"/>
                <w:sz w:val="16"/>
                <w:szCs w:val="16"/>
              </w:rPr>
            </w:pPr>
          </w:p>
        </w:tc>
      </w:tr>
      <w:tr w:rsidR="00F73301" w:rsidRPr="00FA3F5C" w14:paraId="521F7DBE" w14:textId="77777777" w:rsidTr="00FA3F5C">
        <w:trPr>
          <w:jc w:val="center"/>
        </w:trPr>
        <w:tc>
          <w:tcPr>
            <w:tcW w:w="948" w:type="dxa"/>
            <w:tcBorders>
              <w:top w:val="single" w:sz="2" w:space="0" w:color="auto"/>
              <w:left w:val="single" w:sz="2" w:space="0" w:color="auto"/>
              <w:bottom w:val="single" w:sz="2" w:space="0" w:color="auto"/>
              <w:right w:val="single" w:sz="2" w:space="0" w:color="auto"/>
            </w:tcBorders>
            <w:shd w:val="clear" w:color="auto" w:fill="D3D3D3"/>
            <w:vAlign w:val="center"/>
          </w:tcPr>
          <w:p w14:paraId="32E37337" w14:textId="77777777" w:rsidR="00F73301" w:rsidRPr="00FA3F5C" w:rsidRDefault="00F73301" w:rsidP="008C49B7">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rPr>
              <w:t>Subtotal</w:t>
            </w:r>
          </w:p>
        </w:tc>
        <w:tc>
          <w:tcPr>
            <w:tcW w:w="803" w:type="dxa"/>
            <w:tcBorders>
              <w:top w:val="single" w:sz="2" w:space="0" w:color="auto"/>
              <w:left w:val="single" w:sz="2" w:space="0" w:color="auto"/>
              <w:bottom w:val="single" w:sz="2" w:space="0" w:color="auto"/>
              <w:right w:val="single" w:sz="2" w:space="0" w:color="auto"/>
            </w:tcBorders>
            <w:vAlign w:val="center"/>
          </w:tcPr>
          <w:p w14:paraId="5AC7E124"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466,606,774.74</w:t>
            </w:r>
          </w:p>
        </w:tc>
        <w:tc>
          <w:tcPr>
            <w:tcW w:w="803" w:type="dxa"/>
            <w:tcBorders>
              <w:top w:val="single" w:sz="2" w:space="0" w:color="auto"/>
              <w:left w:val="single" w:sz="2" w:space="0" w:color="auto"/>
              <w:bottom w:val="single" w:sz="2" w:space="0" w:color="auto"/>
              <w:right w:val="single" w:sz="2" w:space="0" w:color="auto"/>
            </w:tcBorders>
            <w:vAlign w:val="center"/>
          </w:tcPr>
          <w:p w14:paraId="41150BF4"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293,760,000.00</w:t>
            </w:r>
          </w:p>
        </w:tc>
        <w:tc>
          <w:tcPr>
            <w:tcW w:w="803" w:type="dxa"/>
            <w:tcBorders>
              <w:top w:val="single" w:sz="2" w:space="0" w:color="auto"/>
              <w:left w:val="single" w:sz="2" w:space="0" w:color="auto"/>
              <w:bottom w:val="single" w:sz="2" w:space="0" w:color="auto"/>
              <w:right w:val="single" w:sz="2" w:space="0" w:color="auto"/>
            </w:tcBorders>
            <w:vAlign w:val="center"/>
          </w:tcPr>
          <w:p w14:paraId="5F785C5E"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60,000,000.00</w:t>
            </w:r>
          </w:p>
        </w:tc>
        <w:tc>
          <w:tcPr>
            <w:tcW w:w="803" w:type="dxa"/>
            <w:tcBorders>
              <w:top w:val="single" w:sz="2" w:space="0" w:color="auto"/>
              <w:left w:val="single" w:sz="2" w:space="0" w:color="auto"/>
              <w:bottom w:val="single" w:sz="2" w:space="0" w:color="auto"/>
              <w:right w:val="single" w:sz="2" w:space="0" w:color="auto"/>
            </w:tcBorders>
            <w:vAlign w:val="center"/>
          </w:tcPr>
          <w:p w14:paraId="277C5BFD"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36,553,349.02</w:t>
            </w:r>
          </w:p>
        </w:tc>
        <w:tc>
          <w:tcPr>
            <w:tcW w:w="803" w:type="dxa"/>
            <w:tcBorders>
              <w:top w:val="single" w:sz="2" w:space="0" w:color="auto"/>
              <w:left w:val="single" w:sz="2" w:space="0" w:color="auto"/>
              <w:bottom w:val="single" w:sz="2" w:space="0" w:color="auto"/>
              <w:right w:val="single" w:sz="2" w:space="0" w:color="auto"/>
            </w:tcBorders>
            <w:vAlign w:val="center"/>
          </w:tcPr>
          <w:p w14:paraId="68E1CA94"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0.00</w:t>
            </w:r>
          </w:p>
        </w:tc>
        <w:tc>
          <w:tcPr>
            <w:tcW w:w="803" w:type="dxa"/>
            <w:tcBorders>
              <w:top w:val="single" w:sz="2" w:space="0" w:color="auto"/>
              <w:left w:val="single" w:sz="2" w:space="0" w:color="auto"/>
              <w:bottom w:val="single" w:sz="2" w:space="0" w:color="auto"/>
              <w:right w:val="single" w:sz="2" w:space="0" w:color="auto"/>
            </w:tcBorders>
            <w:vAlign w:val="center"/>
          </w:tcPr>
          <w:p w14:paraId="39258F85"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0.00</w:t>
            </w:r>
          </w:p>
        </w:tc>
        <w:tc>
          <w:tcPr>
            <w:tcW w:w="803" w:type="dxa"/>
            <w:tcBorders>
              <w:top w:val="single" w:sz="2" w:space="0" w:color="auto"/>
              <w:left w:val="single" w:sz="2" w:space="0" w:color="auto"/>
              <w:bottom w:val="single" w:sz="2" w:space="0" w:color="auto"/>
              <w:right w:val="single" w:sz="2" w:space="0" w:color="auto"/>
            </w:tcBorders>
            <w:vAlign w:val="center"/>
          </w:tcPr>
          <w:p w14:paraId="70FFAF8A"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-1,683,572.42</w:t>
            </w:r>
          </w:p>
        </w:tc>
        <w:tc>
          <w:tcPr>
            <w:tcW w:w="803" w:type="dxa"/>
            <w:tcBorders>
              <w:top w:val="single" w:sz="2" w:space="0" w:color="auto"/>
              <w:left w:val="single" w:sz="2" w:space="0" w:color="auto"/>
              <w:bottom w:val="single" w:sz="2" w:space="0" w:color="auto"/>
              <w:right w:val="single" w:sz="2" w:space="0" w:color="auto"/>
            </w:tcBorders>
            <w:vAlign w:val="center"/>
          </w:tcPr>
          <w:p w14:paraId="1BFE3340"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0.00</w:t>
            </w:r>
          </w:p>
        </w:tc>
        <w:tc>
          <w:tcPr>
            <w:tcW w:w="805" w:type="dxa"/>
            <w:tcBorders>
              <w:top w:val="single" w:sz="2" w:space="0" w:color="auto"/>
              <w:left w:val="single" w:sz="2" w:space="0" w:color="auto"/>
              <w:bottom w:val="single" w:sz="2" w:space="0" w:color="auto"/>
              <w:right w:val="single" w:sz="2" w:space="0" w:color="auto"/>
            </w:tcBorders>
            <w:vAlign w:val="center"/>
          </w:tcPr>
          <w:p w14:paraId="0200EA4E"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-674,488,869.78</w:t>
            </w:r>
          </w:p>
        </w:tc>
        <w:tc>
          <w:tcPr>
            <w:tcW w:w="803" w:type="dxa"/>
            <w:tcBorders>
              <w:top w:val="single" w:sz="2" w:space="0" w:color="auto"/>
              <w:left w:val="single" w:sz="2" w:space="0" w:color="auto"/>
              <w:bottom w:val="single" w:sz="2" w:space="0" w:color="auto"/>
              <w:right w:val="single" w:sz="2" w:space="0" w:color="auto"/>
            </w:tcBorders>
            <w:vAlign w:val="center"/>
          </w:tcPr>
          <w:p w14:paraId="782973D2"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60,747,681.56</w:t>
            </w:r>
          </w:p>
        </w:tc>
        <w:tc>
          <w:tcPr>
            <w:tcW w:w="804" w:type="dxa"/>
            <w:tcBorders>
              <w:top w:val="single" w:sz="2" w:space="0" w:color="auto"/>
              <w:left w:val="single" w:sz="2" w:space="0" w:color="auto"/>
              <w:bottom w:val="single" w:sz="2" w:space="0" w:color="auto"/>
              <w:right w:val="single" w:sz="2" w:space="0" w:color="auto"/>
            </w:tcBorders>
            <w:vAlign w:val="center"/>
          </w:tcPr>
          <w:p w14:paraId="694D360D" w14:textId="77777777" w:rsidR="00F73301" w:rsidRPr="00FA3F5C" w:rsidRDefault="00F73301" w:rsidP="008C49B7">
            <w:pPr>
              <w:snapToGrid w:val="0"/>
              <w:jc w:val="right"/>
              <w:rPr>
                <w:rFonts w:ascii="Times New Roman" w:eastAsia="宋体" w:hAnsi="Times New Roman" w:cs="Times New Roman"/>
                <w:sz w:val="16"/>
                <w:szCs w:val="16"/>
              </w:rPr>
            </w:pPr>
          </w:p>
        </w:tc>
      </w:tr>
      <w:tr w:rsidR="00F73301" w:rsidRPr="00FA3F5C" w14:paraId="7B82E705" w14:textId="77777777" w:rsidTr="00FA3F5C">
        <w:trPr>
          <w:jc w:val="center"/>
        </w:trPr>
        <w:tc>
          <w:tcPr>
            <w:tcW w:w="948" w:type="dxa"/>
            <w:tcBorders>
              <w:top w:val="single" w:sz="2" w:space="0" w:color="auto"/>
              <w:left w:val="single" w:sz="2" w:space="0" w:color="auto"/>
              <w:bottom w:val="single" w:sz="2" w:space="0" w:color="auto"/>
              <w:right w:val="single" w:sz="2" w:space="0" w:color="auto"/>
            </w:tcBorders>
            <w:shd w:val="clear" w:color="auto" w:fill="D3D3D3"/>
            <w:vAlign w:val="center"/>
          </w:tcPr>
          <w:p w14:paraId="1D27C6E1" w14:textId="77777777" w:rsidR="00F73301" w:rsidRPr="00FA3F5C" w:rsidRDefault="00F73301" w:rsidP="008C49B7">
            <w:pPr>
              <w:snapToGrid w:val="0"/>
              <w:rPr>
                <w:rFonts w:ascii="Times New Roman" w:eastAsia="宋体" w:hAnsi="Times New Roman" w:cs="Times New Roman"/>
                <w:sz w:val="16"/>
                <w:szCs w:val="16"/>
              </w:rPr>
            </w:pPr>
            <w:r w:rsidRPr="00FA3F5C">
              <w:rPr>
                <w:rFonts w:ascii="Times New Roman" w:eastAsia="宋体" w:hAnsi="Times New Roman" w:cs="Times New Roman"/>
                <w:sz w:val="16"/>
                <w:szCs w:val="16"/>
              </w:rPr>
              <w:t>Total</w:t>
            </w:r>
          </w:p>
        </w:tc>
        <w:tc>
          <w:tcPr>
            <w:tcW w:w="803" w:type="dxa"/>
            <w:tcBorders>
              <w:top w:val="single" w:sz="2" w:space="0" w:color="auto"/>
              <w:left w:val="single" w:sz="2" w:space="0" w:color="auto"/>
              <w:bottom w:val="single" w:sz="2" w:space="0" w:color="auto"/>
              <w:right w:val="single" w:sz="2" w:space="0" w:color="auto"/>
            </w:tcBorders>
            <w:vAlign w:val="center"/>
          </w:tcPr>
          <w:p w14:paraId="1A056BF3"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466,606,774.74</w:t>
            </w:r>
          </w:p>
        </w:tc>
        <w:tc>
          <w:tcPr>
            <w:tcW w:w="803" w:type="dxa"/>
            <w:tcBorders>
              <w:top w:val="single" w:sz="2" w:space="0" w:color="auto"/>
              <w:left w:val="single" w:sz="2" w:space="0" w:color="auto"/>
              <w:bottom w:val="single" w:sz="2" w:space="0" w:color="auto"/>
              <w:right w:val="single" w:sz="2" w:space="0" w:color="auto"/>
            </w:tcBorders>
            <w:vAlign w:val="center"/>
          </w:tcPr>
          <w:p w14:paraId="5D0B0452"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293,760,000.00</w:t>
            </w:r>
          </w:p>
        </w:tc>
        <w:tc>
          <w:tcPr>
            <w:tcW w:w="803" w:type="dxa"/>
            <w:tcBorders>
              <w:top w:val="single" w:sz="2" w:space="0" w:color="auto"/>
              <w:left w:val="single" w:sz="2" w:space="0" w:color="auto"/>
              <w:bottom w:val="single" w:sz="2" w:space="0" w:color="auto"/>
              <w:right w:val="single" w:sz="2" w:space="0" w:color="auto"/>
            </w:tcBorders>
            <w:vAlign w:val="center"/>
          </w:tcPr>
          <w:p w14:paraId="0AB19CBA"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60,000,000.00</w:t>
            </w:r>
          </w:p>
        </w:tc>
        <w:tc>
          <w:tcPr>
            <w:tcW w:w="803" w:type="dxa"/>
            <w:tcBorders>
              <w:top w:val="single" w:sz="2" w:space="0" w:color="auto"/>
              <w:left w:val="single" w:sz="2" w:space="0" w:color="auto"/>
              <w:bottom w:val="single" w:sz="2" w:space="0" w:color="auto"/>
              <w:right w:val="single" w:sz="2" w:space="0" w:color="auto"/>
            </w:tcBorders>
            <w:vAlign w:val="center"/>
          </w:tcPr>
          <w:p w14:paraId="5AD6445D"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36,553,349.02</w:t>
            </w:r>
          </w:p>
        </w:tc>
        <w:tc>
          <w:tcPr>
            <w:tcW w:w="803" w:type="dxa"/>
            <w:tcBorders>
              <w:top w:val="single" w:sz="2" w:space="0" w:color="auto"/>
              <w:left w:val="single" w:sz="2" w:space="0" w:color="auto"/>
              <w:bottom w:val="single" w:sz="2" w:space="0" w:color="auto"/>
              <w:right w:val="single" w:sz="2" w:space="0" w:color="auto"/>
            </w:tcBorders>
            <w:vAlign w:val="center"/>
          </w:tcPr>
          <w:p w14:paraId="690997D9"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0.00</w:t>
            </w:r>
          </w:p>
        </w:tc>
        <w:tc>
          <w:tcPr>
            <w:tcW w:w="803" w:type="dxa"/>
            <w:tcBorders>
              <w:top w:val="single" w:sz="2" w:space="0" w:color="auto"/>
              <w:left w:val="single" w:sz="2" w:space="0" w:color="auto"/>
              <w:bottom w:val="single" w:sz="2" w:space="0" w:color="auto"/>
              <w:right w:val="single" w:sz="2" w:space="0" w:color="auto"/>
            </w:tcBorders>
            <w:vAlign w:val="center"/>
          </w:tcPr>
          <w:p w14:paraId="30134789"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0.00</w:t>
            </w:r>
          </w:p>
        </w:tc>
        <w:tc>
          <w:tcPr>
            <w:tcW w:w="803" w:type="dxa"/>
            <w:tcBorders>
              <w:top w:val="single" w:sz="2" w:space="0" w:color="auto"/>
              <w:left w:val="single" w:sz="2" w:space="0" w:color="auto"/>
              <w:bottom w:val="single" w:sz="2" w:space="0" w:color="auto"/>
              <w:right w:val="single" w:sz="2" w:space="0" w:color="auto"/>
            </w:tcBorders>
            <w:vAlign w:val="center"/>
          </w:tcPr>
          <w:p w14:paraId="6EAC153A"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-1,683,572.42</w:t>
            </w:r>
          </w:p>
        </w:tc>
        <w:tc>
          <w:tcPr>
            <w:tcW w:w="803" w:type="dxa"/>
            <w:tcBorders>
              <w:top w:val="single" w:sz="2" w:space="0" w:color="auto"/>
              <w:left w:val="single" w:sz="2" w:space="0" w:color="auto"/>
              <w:bottom w:val="single" w:sz="2" w:space="0" w:color="auto"/>
              <w:right w:val="single" w:sz="2" w:space="0" w:color="auto"/>
            </w:tcBorders>
            <w:vAlign w:val="center"/>
          </w:tcPr>
          <w:p w14:paraId="5AB756B1"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0.00</w:t>
            </w:r>
          </w:p>
        </w:tc>
        <w:tc>
          <w:tcPr>
            <w:tcW w:w="805" w:type="dxa"/>
            <w:tcBorders>
              <w:top w:val="single" w:sz="2" w:space="0" w:color="auto"/>
              <w:left w:val="single" w:sz="2" w:space="0" w:color="auto"/>
              <w:bottom w:val="single" w:sz="2" w:space="0" w:color="auto"/>
              <w:right w:val="single" w:sz="2" w:space="0" w:color="auto"/>
            </w:tcBorders>
            <w:vAlign w:val="center"/>
          </w:tcPr>
          <w:p w14:paraId="4685B19F"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-674,488,869.78</w:t>
            </w:r>
          </w:p>
        </w:tc>
        <w:tc>
          <w:tcPr>
            <w:tcW w:w="803" w:type="dxa"/>
            <w:tcBorders>
              <w:top w:val="single" w:sz="2" w:space="0" w:color="auto"/>
              <w:left w:val="single" w:sz="2" w:space="0" w:color="auto"/>
              <w:bottom w:val="single" w:sz="2" w:space="0" w:color="auto"/>
              <w:right w:val="single" w:sz="2" w:space="0" w:color="auto"/>
            </w:tcBorders>
            <w:vAlign w:val="center"/>
          </w:tcPr>
          <w:p w14:paraId="11FBFB21" w14:textId="77777777" w:rsidR="00F73301" w:rsidRPr="00FA3F5C" w:rsidRDefault="00F73301" w:rsidP="008C49B7">
            <w:pPr>
              <w:snapToGrid w:val="0"/>
              <w:jc w:val="right"/>
              <w:rPr>
                <w:rFonts w:ascii="Times New Roman" w:eastAsia="宋体" w:hAnsi="Times New Roman" w:cs="Times New Roman"/>
                <w:sz w:val="16"/>
                <w:szCs w:val="16"/>
              </w:rPr>
            </w:pPr>
            <w:r w:rsidRPr="00FA3F5C">
              <w:rPr>
                <w:rFonts w:ascii="Times New Roman" w:eastAsia="宋体" w:hAnsi="Times New Roman" w:cs="Times New Roman"/>
                <w:sz w:val="16"/>
                <w:szCs w:val="16"/>
              </w:rPr>
              <w:t>60,747,681.56</w:t>
            </w:r>
          </w:p>
        </w:tc>
        <w:tc>
          <w:tcPr>
            <w:tcW w:w="804" w:type="dxa"/>
            <w:tcBorders>
              <w:top w:val="single" w:sz="2" w:space="0" w:color="auto"/>
              <w:left w:val="single" w:sz="2" w:space="0" w:color="auto"/>
              <w:bottom w:val="single" w:sz="2" w:space="0" w:color="auto"/>
              <w:right w:val="single" w:sz="2" w:space="0" w:color="auto"/>
            </w:tcBorders>
            <w:vAlign w:val="center"/>
          </w:tcPr>
          <w:p w14:paraId="0ADDD6B7" w14:textId="77777777" w:rsidR="00F73301" w:rsidRPr="00FA3F5C" w:rsidRDefault="00F73301" w:rsidP="008C49B7">
            <w:pPr>
              <w:snapToGrid w:val="0"/>
              <w:jc w:val="right"/>
              <w:rPr>
                <w:rFonts w:ascii="Times New Roman" w:eastAsia="宋体" w:hAnsi="Times New Roman" w:cs="Times New Roman"/>
                <w:sz w:val="16"/>
                <w:szCs w:val="16"/>
              </w:rPr>
            </w:pPr>
          </w:p>
        </w:tc>
      </w:tr>
    </w:tbl>
    <w:p w14:paraId="67E5A206"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415" w:name="_Toc989303"/>
      <w:r w:rsidRPr="00F73301">
        <w:rPr>
          <w:rFonts w:ascii="Times New Roman" w:eastAsia="宋体" w:hAnsi="Times New Roman" w:cs="Times New Roman"/>
          <w:b/>
          <w:bCs/>
          <w:sz w:val="24"/>
          <w:szCs w:val="24"/>
        </w:rPr>
        <w:t>(3) Other notes</w:t>
      </w:r>
      <w:bookmarkEnd w:id="415"/>
    </w:p>
    <w:p w14:paraId="6F85C014"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7926C1CA"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416" w:name="_Toc989304"/>
      <w:r w:rsidRPr="00F73301">
        <w:rPr>
          <w:rFonts w:ascii="Times New Roman" w:eastAsia="宋体" w:hAnsi="Times New Roman" w:cs="Times New Roman"/>
          <w:b/>
          <w:bCs/>
          <w:sz w:val="24"/>
          <w:szCs w:val="24"/>
        </w:rPr>
        <w:t>4. Operating revenue and cost of sales</w:t>
      </w:r>
      <w:bookmarkEnd w:id="416"/>
    </w:p>
    <w:p w14:paraId="5EE54C68"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6B577023" w14:textId="77777777" w:rsidTr="0001208F">
        <w:trPr>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DB10C8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3A22E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D590667"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1F7DB642" w14:textId="77777777" w:rsidTr="0001208F">
        <w:trPr>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475DCF0"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A99E29"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Revenue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E253C7F"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Cost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8EB76B"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Revenue</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1F514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Cost</w:t>
            </w:r>
          </w:p>
        </w:tc>
      </w:tr>
      <w:tr w:rsidR="00F73301" w:rsidRPr="00F73301" w14:paraId="7A43E61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C5D4E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Principal business</w:t>
            </w:r>
          </w:p>
        </w:tc>
        <w:tc>
          <w:tcPr>
            <w:tcW w:w="1928" w:type="dxa"/>
            <w:tcBorders>
              <w:top w:val="single" w:sz="2" w:space="0" w:color="auto"/>
              <w:left w:val="single" w:sz="2" w:space="0" w:color="auto"/>
              <w:bottom w:val="single" w:sz="2" w:space="0" w:color="auto"/>
              <w:right w:val="single" w:sz="2" w:space="0" w:color="auto"/>
            </w:tcBorders>
            <w:vAlign w:val="center"/>
          </w:tcPr>
          <w:p w14:paraId="24863E7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2,089,490,919.10</w:t>
            </w:r>
          </w:p>
        </w:tc>
        <w:tc>
          <w:tcPr>
            <w:tcW w:w="1928" w:type="dxa"/>
            <w:tcBorders>
              <w:top w:val="single" w:sz="2" w:space="0" w:color="auto"/>
              <w:left w:val="single" w:sz="2" w:space="0" w:color="auto"/>
              <w:bottom w:val="single" w:sz="2" w:space="0" w:color="auto"/>
              <w:right w:val="single" w:sz="2" w:space="0" w:color="auto"/>
            </w:tcBorders>
            <w:vAlign w:val="center"/>
          </w:tcPr>
          <w:p w14:paraId="4D18630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1,592,348,790.48</w:t>
            </w:r>
          </w:p>
        </w:tc>
        <w:tc>
          <w:tcPr>
            <w:tcW w:w="1928" w:type="dxa"/>
            <w:tcBorders>
              <w:top w:val="single" w:sz="2" w:space="0" w:color="auto"/>
              <w:left w:val="single" w:sz="2" w:space="0" w:color="auto"/>
              <w:bottom w:val="single" w:sz="2" w:space="0" w:color="auto"/>
              <w:right w:val="single" w:sz="2" w:space="0" w:color="auto"/>
            </w:tcBorders>
            <w:vAlign w:val="center"/>
          </w:tcPr>
          <w:p w14:paraId="3B9BFC0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2,336,107,373.08</w:t>
            </w:r>
          </w:p>
        </w:tc>
        <w:tc>
          <w:tcPr>
            <w:tcW w:w="1928" w:type="dxa"/>
            <w:tcBorders>
              <w:top w:val="single" w:sz="2" w:space="0" w:color="auto"/>
              <w:left w:val="single" w:sz="2" w:space="0" w:color="auto"/>
              <w:bottom w:val="single" w:sz="2" w:space="0" w:color="auto"/>
              <w:right w:val="single" w:sz="2" w:space="0" w:color="auto"/>
            </w:tcBorders>
            <w:vAlign w:val="center"/>
          </w:tcPr>
          <w:p w14:paraId="6A20756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1,630,962,247.88</w:t>
            </w:r>
          </w:p>
        </w:tc>
      </w:tr>
      <w:tr w:rsidR="00F73301" w:rsidRPr="00F73301" w14:paraId="35F9A9B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DF417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business</w:t>
            </w:r>
          </w:p>
        </w:tc>
        <w:tc>
          <w:tcPr>
            <w:tcW w:w="1928" w:type="dxa"/>
            <w:tcBorders>
              <w:top w:val="single" w:sz="2" w:space="0" w:color="auto"/>
              <w:left w:val="single" w:sz="2" w:space="0" w:color="auto"/>
              <w:bottom w:val="single" w:sz="2" w:space="0" w:color="auto"/>
              <w:right w:val="single" w:sz="2" w:space="0" w:color="auto"/>
            </w:tcBorders>
            <w:vAlign w:val="center"/>
          </w:tcPr>
          <w:p w14:paraId="24DE8FB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126,340,911.49</w:t>
            </w:r>
          </w:p>
        </w:tc>
        <w:tc>
          <w:tcPr>
            <w:tcW w:w="1928" w:type="dxa"/>
            <w:tcBorders>
              <w:top w:val="single" w:sz="2" w:space="0" w:color="auto"/>
              <w:left w:val="single" w:sz="2" w:space="0" w:color="auto"/>
              <w:bottom w:val="single" w:sz="2" w:space="0" w:color="auto"/>
              <w:right w:val="single" w:sz="2" w:space="0" w:color="auto"/>
            </w:tcBorders>
            <w:vAlign w:val="center"/>
          </w:tcPr>
          <w:p w14:paraId="093BA5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73,646,212.21</w:t>
            </w:r>
          </w:p>
        </w:tc>
        <w:tc>
          <w:tcPr>
            <w:tcW w:w="1928" w:type="dxa"/>
            <w:tcBorders>
              <w:top w:val="single" w:sz="2" w:space="0" w:color="auto"/>
              <w:left w:val="single" w:sz="2" w:space="0" w:color="auto"/>
              <w:bottom w:val="single" w:sz="2" w:space="0" w:color="auto"/>
              <w:right w:val="single" w:sz="2" w:space="0" w:color="auto"/>
            </w:tcBorders>
            <w:vAlign w:val="center"/>
          </w:tcPr>
          <w:p w14:paraId="5042AFE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118,253,618.83</w:t>
            </w:r>
          </w:p>
        </w:tc>
        <w:tc>
          <w:tcPr>
            <w:tcW w:w="1928" w:type="dxa"/>
            <w:tcBorders>
              <w:top w:val="single" w:sz="2" w:space="0" w:color="auto"/>
              <w:left w:val="single" w:sz="2" w:space="0" w:color="auto"/>
              <w:bottom w:val="single" w:sz="2" w:space="0" w:color="auto"/>
              <w:right w:val="single" w:sz="2" w:space="0" w:color="auto"/>
            </w:tcBorders>
            <w:vAlign w:val="center"/>
          </w:tcPr>
          <w:p w14:paraId="29622A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88,425,992.51</w:t>
            </w:r>
          </w:p>
        </w:tc>
      </w:tr>
      <w:tr w:rsidR="00F73301" w:rsidRPr="00F73301" w14:paraId="03DE82C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F18EE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5F0311B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c>
          <w:tcPr>
            <w:tcW w:w="1928" w:type="dxa"/>
            <w:tcBorders>
              <w:top w:val="single" w:sz="2" w:space="0" w:color="auto"/>
              <w:left w:val="single" w:sz="2" w:space="0" w:color="auto"/>
              <w:bottom w:val="single" w:sz="2" w:space="0" w:color="auto"/>
              <w:right w:val="single" w:sz="2" w:space="0" w:color="auto"/>
            </w:tcBorders>
            <w:vAlign w:val="center"/>
          </w:tcPr>
          <w:p w14:paraId="13CAD03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1,665,995,002.69</w:t>
            </w:r>
          </w:p>
        </w:tc>
        <w:tc>
          <w:tcPr>
            <w:tcW w:w="1928" w:type="dxa"/>
            <w:tcBorders>
              <w:top w:val="single" w:sz="2" w:space="0" w:color="auto"/>
              <w:left w:val="single" w:sz="2" w:space="0" w:color="auto"/>
              <w:bottom w:val="single" w:sz="2" w:space="0" w:color="auto"/>
              <w:right w:val="single" w:sz="2" w:space="0" w:color="auto"/>
            </w:tcBorders>
            <w:vAlign w:val="center"/>
          </w:tcPr>
          <w:p w14:paraId="66A21C0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2,454,360,991.91</w:t>
            </w:r>
          </w:p>
        </w:tc>
        <w:tc>
          <w:tcPr>
            <w:tcW w:w="1928" w:type="dxa"/>
            <w:tcBorders>
              <w:top w:val="single" w:sz="2" w:space="0" w:color="auto"/>
              <w:left w:val="single" w:sz="2" w:space="0" w:color="auto"/>
              <w:bottom w:val="single" w:sz="2" w:space="0" w:color="auto"/>
              <w:right w:val="single" w:sz="2" w:space="0" w:color="auto"/>
            </w:tcBorders>
            <w:vAlign w:val="center"/>
          </w:tcPr>
          <w:p w14:paraId="7419264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1,719,388,240.39</w:t>
            </w:r>
          </w:p>
        </w:tc>
      </w:tr>
    </w:tbl>
    <w:p w14:paraId="0A4BF86B" w14:textId="77777777" w:rsidR="00F73301" w:rsidRPr="00F73301" w:rsidRDefault="00F73301" w:rsidP="00FA3F5C">
      <w:pPr>
        <w:snapToGrid w:val="0"/>
        <w:spacing w:beforeLines="50" w:before="156" w:afterLines="50" w:after="156"/>
        <w:jc w:val="lowKashida"/>
        <w:rPr>
          <w:rFonts w:ascii="Times New Roman" w:eastAsia="宋体" w:hAnsi="Times New Roman" w:cs="Times New Roman"/>
          <w:sz w:val="24"/>
          <w:szCs w:val="24"/>
        </w:rPr>
      </w:pPr>
      <w:r w:rsidRPr="00F73301">
        <w:rPr>
          <w:rFonts w:ascii="Times New Roman" w:eastAsia="宋体" w:hAnsi="Times New Roman" w:cs="Times New Roman"/>
          <w:sz w:val="24"/>
          <w:szCs w:val="24"/>
        </w:rPr>
        <w:t>Relevant information of revenue:</w:t>
      </w:r>
    </w:p>
    <w:p w14:paraId="1F85D878"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927"/>
        <w:gridCol w:w="1928"/>
        <w:gridCol w:w="1928"/>
        <w:gridCol w:w="1928"/>
        <w:gridCol w:w="1928"/>
      </w:tblGrid>
      <w:tr w:rsidR="00F73301" w:rsidRPr="00F73301" w14:paraId="2C1F5D6F"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CE44E3"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Category of contracts</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35BBB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Segment 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70247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Segment 2</w:t>
            </w:r>
          </w:p>
        </w:tc>
        <w:tc>
          <w:tcPr>
            <w:tcW w:w="1928" w:type="dxa"/>
            <w:tcBorders>
              <w:top w:val="single" w:sz="2" w:space="0" w:color="auto"/>
              <w:left w:val="single" w:sz="2" w:space="0" w:color="auto"/>
              <w:bottom w:val="single" w:sz="2" w:space="0" w:color="auto"/>
              <w:right w:val="single" w:sz="2" w:space="0" w:color="auto"/>
            </w:tcBorders>
            <w:vAlign w:val="center"/>
          </w:tcPr>
          <w:p w14:paraId="3134BFA7" w14:textId="77777777" w:rsidR="00F73301" w:rsidRPr="00F73301" w:rsidRDefault="00F73301" w:rsidP="008C49B7">
            <w:pPr>
              <w:snapToGrid w:val="0"/>
              <w:jc w:val="center"/>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FA9474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r>
      <w:tr w:rsidR="00F73301" w:rsidRPr="00F73301" w14:paraId="5E2CF377"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50367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Product categories</w:t>
            </w:r>
          </w:p>
        </w:tc>
        <w:tc>
          <w:tcPr>
            <w:tcW w:w="1928" w:type="dxa"/>
            <w:tcBorders>
              <w:top w:val="single" w:sz="2" w:space="0" w:color="auto"/>
              <w:left w:val="single" w:sz="2" w:space="0" w:color="auto"/>
              <w:bottom w:val="single" w:sz="2" w:space="0" w:color="auto"/>
              <w:right w:val="single" w:sz="2" w:space="0" w:color="auto"/>
            </w:tcBorders>
            <w:vAlign w:val="center"/>
          </w:tcPr>
          <w:p w14:paraId="0246C74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c>
          <w:tcPr>
            <w:tcW w:w="1928" w:type="dxa"/>
            <w:tcBorders>
              <w:top w:val="single" w:sz="2" w:space="0" w:color="auto"/>
              <w:left w:val="single" w:sz="2" w:space="0" w:color="auto"/>
              <w:bottom w:val="single" w:sz="2" w:space="0" w:color="auto"/>
              <w:right w:val="single" w:sz="2" w:space="0" w:color="auto"/>
            </w:tcBorders>
            <w:vAlign w:val="center"/>
          </w:tcPr>
          <w:p w14:paraId="7057CA47"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2F7FDA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ECBDEB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r>
      <w:tr w:rsidR="00F73301" w:rsidRPr="00F73301" w14:paraId="22F894CE"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85114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F45343"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2B3164"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12B381"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7D1E19"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5A34CB3C"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35715D4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Semiconductor components</w:t>
            </w:r>
          </w:p>
        </w:tc>
        <w:tc>
          <w:tcPr>
            <w:tcW w:w="1928" w:type="dxa"/>
            <w:tcBorders>
              <w:top w:val="single" w:sz="2" w:space="0" w:color="auto"/>
              <w:left w:val="single" w:sz="2" w:space="0" w:color="auto"/>
              <w:bottom w:val="single" w:sz="2" w:space="0" w:color="auto"/>
              <w:right w:val="single" w:sz="2" w:space="0" w:color="auto"/>
            </w:tcBorders>
            <w:vAlign w:val="center"/>
          </w:tcPr>
          <w:p w14:paraId="591460B5"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2,034,347,104.96</w:t>
            </w:r>
          </w:p>
        </w:tc>
        <w:tc>
          <w:tcPr>
            <w:tcW w:w="1928" w:type="dxa"/>
            <w:tcBorders>
              <w:top w:val="single" w:sz="2" w:space="0" w:color="auto"/>
              <w:left w:val="single" w:sz="2" w:space="0" w:color="auto"/>
              <w:bottom w:val="single" w:sz="2" w:space="0" w:color="auto"/>
              <w:right w:val="single" w:sz="2" w:space="0" w:color="auto"/>
            </w:tcBorders>
            <w:vAlign w:val="center"/>
          </w:tcPr>
          <w:p w14:paraId="7DCED984"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37B8E0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604336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2,034,347,104.96</w:t>
            </w:r>
          </w:p>
        </w:tc>
      </w:tr>
      <w:tr w:rsidR="00F73301" w:rsidRPr="00F73301" w14:paraId="66531E3B"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3665AE5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Semiconductor chips</w:t>
            </w:r>
          </w:p>
        </w:tc>
        <w:tc>
          <w:tcPr>
            <w:tcW w:w="1928" w:type="dxa"/>
            <w:tcBorders>
              <w:top w:val="single" w:sz="2" w:space="0" w:color="auto"/>
              <w:left w:val="single" w:sz="2" w:space="0" w:color="auto"/>
              <w:bottom w:val="single" w:sz="2" w:space="0" w:color="auto"/>
              <w:right w:val="single" w:sz="2" w:space="0" w:color="auto"/>
            </w:tcBorders>
            <w:vAlign w:val="center"/>
          </w:tcPr>
          <w:p w14:paraId="75DD140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55,143,814.14</w:t>
            </w:r>
          </w:p>
        </w:tc>
        <w:tc>
          <w:tcPr>
            <w:tcW w:w="1928" w:type="dxa"/>
            <w:tcBorders>
              <w:top w:val="single" w:sz="2" w:space="0" w:color="auto"/>
              <w:left w:val="single" w:sz="2" w:space="0" w:color="auto"/>
              <w:bottom w:val="single" w:sz="2" w:space="0" w:color="auto"/>
              <w:right w:val="single" w:sz="2" w:space="0" w:color="auto"/>
            </w:tcBorders>
            <w:vAlign w:val="center"/>
          </w:tcPr>
          <w:p w14:paraId="3D55DF4E"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26484EF"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54C974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55,143,814.14</w:t>
            </w:r>
          </w:p>
        </w:tc>
      </w:tr>
      <w:tr w:rsidR="00F73301" w:rsidRPr="00F73301" w14:paraId="761FC7F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1DBBAF2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business</w:t>
            </w:r>
          </w:p>
        </w:tc>
        <w:tc>
          <w:tcPr>
            <w:tcW w:w="1928" w:type="dxa"/>
            <w:tcBorders>
              <w:top w:val="single" w:sz="2" w:space="0" w:color="auto"/>
              <w:left w:val="single" w:sz="2" w:space="0" w:color="auto"/>
              <w:bottom w:val="single" w:sz="2" w:space="0" w:color="auto"/>
              <w:right w:val="single" w:sz="2" w:space="0" w:color="auto"/>
            </w:tcBorders>
            <w:vAlign w:val="center"/>
          </w:tcPr>
          <w:p w14:paraId="443C20D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126,340,911.49</w:t>
            </w:r>
          </w:p>
        </w:tc>
        <w:tc>
          <w:tcPr>
            <w:tcW w:w="1928" w:type="dxa"/>
            <w:tcBorders>
              <w:top w:val="single" w:sz="2" w:space="0" w:color="auto"/>
              <w:left w:val="single" w:sz="2" w:space="0" w:color="auto"/>
              <w:bottom w:val="single" w:sz="2" w:space="0" w:color="auto"/>
              <w:right w:val="single" w:sz="2" w:space="0" w:color="auto"/>
            </w:tcBorders>
            <w:vAlign w:val="center"/>
          </w:tcPr>
          <w:p w14:paraId="51C4F3F5"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BCFD0A7"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E84578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126,340,911.49</w:t>
            </w:r>
          </w:p>
        </w:tc>
      </w:tr>
      <w:tr w:rsidR="00F73301" w:rsidRPr="00F73301" w14:paraId="492196A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3C471F5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0F8AAA9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c>
          <w:tcPr>
            <w:tcW w:w="1928" w:type="dxa"/>
            <w:tcBorders>
              <w:top w:val="single" w:sz="2" w:space="0" w:color="auto"/>
              <w:left w:val="single" w:sz="2" w:space="0" w:color="auto"/>
              <w:bottom w:val="single" w:sz="2" w:space="0" w:color="auto"/>
              <w:right w:val="single" w:sz="2" w:space="0" w:color="auto"/>
            </w:tcBorders>
            <w:vAlign w:val="center"/>
          </w:tcPr>
          <w:p w14:paraId="55C050F4"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DEE8D83"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3B7B1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r>
      <w:tr w:rsidR="00F73301" w:rsidRPr="00F73301" w14:paraId="4E4F744C"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9E4B8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Classification by operating region</w:t>
            </w:r>
          </w:p>
        </w:tc>
        <w:tc>
          <w:tcPr>
            <w:tcW w:w="1928" w:type="dxa"/>
            <w:tcBorders>
              <w:top w:val="single" w:sz="2" w:space="0" w:color="auto"/>
              <w:left w:val="single" w:sz="2" w:space="0" w:color="auto"/>
              <w:bottom w:val="single" w:sz="2" w:space="0" w:color="auto"/>
              <w:right w:val="single" w:sz="2" w:space="0" w:color="auto"/>
            </w:tcBorders>
            <w:vAlign w:val="center"/>
          </w:tcPr>
          <w:p w14:paraId="5BC379D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c>
          <w:tcPr>
            <w:tcW w:w="1928" w:type="dxa"/>
            <w:tcBorders>
              <w:top w:val="single" w:sz="2" w:space="0" w:color="auto"/>
              <w:left w:val="single" w:sz="2" w:space="0" w:color="auto"/>
              <w:bottom w:val="single" w:sz="2" w:space="0" w:color="auto"/>
              <w:right w:val="single" w:sz="2" w:space="0" w:color="auto"/>
            </w:tcBorders>
            <w:vAlign w:val="center"/>
          </w:tcPr>
          <w:p w14:paraId="75260F1C"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01E957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059C10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r>
      <w:tr w:rsidR="00F73301" w:rsidRPr="00F73301" w14:paraId="695B259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2D756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FCE80D"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5EFE15"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4650C9"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395EABD"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D5D405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68BDA58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Domestic</w:t>
            </w:r>
          </w:p>
        </w:tc>
        <w:tc>
          <w:tcPr>
            <w:tcW w:w="1928" w:type="dxa"/>
            <w:tcBorders>
              <w:top w:val="single" w:sz="2" w:space="0" w:color="auto"/>
              <w:left w:val="single" w:sz="2" w:space="0" w:color="auto"/>
              <w:bottom w:val="single" w:sz="2" w:space="0" w:color="auto"/>
              <w:right w:val="single" w:sz="2" w:space="0" w:color="auto"/>
            </w:tcBorders>
            <w:vAlign w:val="center"/>
          </w:tcPr>
          <w:p w14:paraId="4E85566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1,703,619,495.10</w:t>
            </w:r>
          </w:p>
        </w:tc>
        <w:tc>
          <w:tcPr>
            <w:tcW w:w="1928" w:type="dxa"/>
            <w:tcBorders>
              <w:top w:val="single" w:sz="2" w:space="0" w:color="auto"/>
              <w:left w:val="single" w:sz="2" w:space="0" w:color="auto"/>
              <w:bottom w:val="single" w:sz="2" w:space="0" w:color="auto"/>
              <w:right w:val="single" w:sz="2" w:space="0" w:color="auto"/>
            </w:tcBorders>
            <w:vAlign w:val="center"/>
          </w:tcPr>
          <w:p w14:paraId="6C4FDBF8"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EB6A849"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062E7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1,703,619,495.10</w:t>
            </w:r>
          </w:p>
        </w:tc>
      </w:tr>
      <w:tr w:rsidR="00F73301" w:rsidRPr="00F73301" w14:paraId="18901A8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7D7B1C0E"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Overseas</w:t>
            </w:r>
          </w:p>
        </w:tc>
        <w:tc>
          <w:tcPr>
            <w:tcW w:w="1928" w:type="dxa"/>
            <w:tcBorders>
              <w:top w:val="single" w:sz="2" w:space="0" w:color="auto"/>
              <w:left w:val="single" w:sz="2" w:space="0" w:color="auto"/>
              <w:bottom w:val="single" w:sz="2" w:space="0" w:color="auto"/>
              <w:right w:val="single" w:sz="2" w:space="0" w:color="auto"/>
            </w:tcBorders>
            <w:vAlign w:val="center"/>
          </w:tcPr>
          <w:p w14:paraId="76F0310E"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512,212,335.49</w:t>
            </w:r>
          </w:p>
        </w:tc>
        <w:tc>
          <w:tcPr>
            <w:tcW w:w="1928" w:type="dxa"/>
            <w:tcBorders>
              <w:top w:val="single" w:sz="2" w:space="0" w:color="auto"/>
              <w:left w:val="single" w:sz="2" w:space="0" w:color="auto"/>
              <w:bottom w:val="single" w:sz="2" w:space="0" w:color="auto"/>
              <w:right w:val="single" w:sz="2" w:space="0" w:color="auto"/>
            </w:tcBorders>
            <w:vAlign w:val="center"/>
          </w:tcPr>
          <w:p w14:paraId="7796DC8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197C770"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6CB192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512,212,335.49</w:t>
            </w:r>
          </w:p>
        </w:tc>
      </w:tr>
      <w:tr w:rsidR="00F73301" w:rsidRPr="00F73301" w14:paraId="6E66841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6B56531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lastRenderedPageBreak/>
              <w:t>Total</w:t>
            </w:r>
          </w:p>
        </w:tc>
        <w:tc>
          <w:tcPr>
            <w:tcW w:w="1928" w:type="dxa"/>
            <w:tcBorders>
              <w:top w:val="single" w:sz="2" w:space="0" w:color="auto"/>
              <w:left w:val="single" w:sz="2" w:space="0" w:color="auto"/>
              <w:bottom w:val="single" w:sz="2" w:space="0" w:color="auto"/>
              <w:right w:val="single" w:sz="2" w:space="0" w:color="auto"/>
            </w:tcBorders>
            <w:vAlign w:val="center"/>
          </w:tcPr>
          <w:p w14:paraId="69BF172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c>
          <w:tcPr>
            <w:tcW w:w="1928" w:type="dxa"/>
            <w:tcBorders>
              <w:top w:val="single" w:sz="2" w:space="0" w:color="auto"/>
              <w:left w:val="single" w:sz="2" w:space="0" w:color="auto"/>
              <w:bottom w:val="single" w:sz="2" w:space="0" w:color="auto"/>
              <w:right w:val="single" w:sz="2" w:space="0" w:color="auto"/>
            </w:tcBorders>
            <w:vAlign w:val="center"/>
          </w:tcPr>
          <w:p w14:paraId="62E77BF2"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58AD1C5"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99E711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r>
      <w:tr w:rsidR="00F73301" w:rsidRPr="00F73301" w14:paraId="5F746D92"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E600F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Market or customer type</w:t>
            </w:r>
          </w:p>
        </w:tc>
        <w:tc>
          <w:tcPr>
            <w:tcW w:w="1928" w:type="dxa"/>
            <w:tcBorders>
              <w:top w:val="single" w:sz="2" w:space="0" w:color="auto"/>
              <w:left w:val="single" w:sz="2" w:space="0" w:color="auto"/>
              <w:bottom w:val="single" w:sz="2" w:space="0" w:color="auto"/>
              <w:right w:val="single" w:sz="2" w:space="0" w:color="auto"/>
            </w:tcBorders>
            <w:vAlign w:val="center"/>
          </w:tcPr>
          <w:p w14:paraId="2BBF7D10"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2DA25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DBA6B34"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3AF8454"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9FA1821"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9C58D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0867E0"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85D252"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E25460"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FCBD6BE"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24A00CE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6A7C9369" w14:textId="77777777" w:rsidR="00F73301" w:rsidRPr="00F73301" w:rsidRDefault="00F73301" w:rsidP="008C49B7">
            <w:pPr>
              <w:snapToGrid w:val="0"/>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83012CA"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74D9B95"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75698EA"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0353787"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9882F2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1B27F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Contract type</w:t>
            </w:r>
          </w:p>
        </w:tc>
        <w:tc>
          <w:tcPr>
            <w:tcW w:w="1928" w:type="dxa"/>
            <w:tcBorders>
              <w:top w:val="single" w:sz="2" w:space="0" w:color="auto"/>
              <w:left w:val="single" w:sz="2" w:space="0" w:color="auto"/>
              <w:bottom w:val="single" w:sz="2" w:space="0" w:color="auto"/>
              <w:right w:val="single" w:sz="2" w:space="0" w:color="auto"/>
            </w:tcBorders>
            <w:vAlign w:val="center"/>
          </w:tcPr>
          <w:p w14:paraId="4BD853B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50F92E7"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1838D73"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ED62CFA"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049CA59"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853F8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E2C5C2"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C9614C"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A64E77"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1D0B5C"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F1CB30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19E490FA" w14:textId="77777777" w:rsidR="00F73301" w:rsidRPr="00F73301" w:rsidRDefault="00F73301" w:rsidP="008C49B7">
            <w:pPr>
              <w:snapToGrid w:val="0"/>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09A75B9"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0A32F2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F55734A"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C34C2A9"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19AC6AB6"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0BC62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Classification by time of commodity transfer</w:t>
            </w:r>
          </w:p>
        </w:tc>
        <w:tc>
          <w:tcPr>
            <w:tcW w:w="1928" w:type="dxa"/>
            <w:tcBorders>
              <w:top w:val="single" w:sz="2" w:space="0" w:color="auto"/>
              <w:left w:val="single" w:sz="2" w:space="0" w:color="auto"/>
              <w:bottom w:val="single" w:sz="2" w:space="0" w:color="auto"/>
              <w:right w:val="single" w:sz="2" w:space="0" w:color="auto"/>
            </w:tcBorders>
            <w:vAlign w:val="center"/>
          </w:tcPr>
          <w:p w14:paraId="7DBE17D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c>
          <w:tcPr>
            <w:tcW w:w="1928" w:type="dxa"/>
            <w:tcBorders>
              <w:top w:val="single" w:sz="2" w:space="0" w:color="auto"/>
              <w:left w:val="single" w:sz="2" w:space="0" w:color="auto"/>
              <w:bottom w:val="single" w:sz="2" w:space="0" w:color="auto"/>
              <w:right w:val="single" w:sz="2" w:space="0" w:color="auto"/>
            </w:tcBorders>
            <w:vAlign w:val="center"/>
          </w:tcPr>
          <w:p w14:paraId="00A48F9C"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4260FB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334BFBD"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r>
      <w:tr w:rsidR="00F73301" w:rsidRPr="00F73301" w14:paraId="51DAC630"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8692A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B5B70F"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3CADD7"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E5E075"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E0A9B0"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77E0B7DE"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50F20603"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Recognized at a point in time</w:t>
            </w:r>
          </w:p>
        </w:tc>
        <w:tc>
          <w:tcPr>
            <w:tcW w:w="1928" w:type="dxa"/>
            <w:tcBorders>
              <w:top w:val="single" w:sz="2" w:space="0" w:color="auto"/>
              <w:left w:val="single" w:sz="2" w:space="0" w:color="auto"/>
              <w:bottom w:val="single" w:sz="2" w:space="0" w:color="auto"/>
              <w:right w:val="single" w:sz="2" w:space="0" w:color="auto"/>
            </w:tcBorders>
            <w:vAlign w:val="center"/>
          </w:tcPr>
          <w:p w14:paraId="6FDD947A"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c>
          <w:tcPr>
            <w:tcW w:w="1928" w:type="dxa"/>
            <w:tcBorders>
              <w:top w:val="single" w:sz="2" w:space="0" w:color="auto"/>
              <w:left w:val="single" w:sz="2" w:space="0" w:color="auto"/>
              <w:bottom w:val="single" w:sz="2" w:space="0" w:color="auto"/>
              <w:right w:val="single" w:sz="2" w:space="0" w:color="auto"/>
            </w:tcBorders>
            <w:vAlign w:val="center"/>
          </w:tcPr>
          <w:p w14:paraId="22960209"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FD8D488"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5E474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r>
      <w:tr w:rsidR="00F73301" w:rsidRPr="00F73301" w14:paraId="6CDEAC5D"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02FABA76"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67CFE94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c>
          <w:tcPr>
            <w:tcW w:w="1928" w:type="dxa"/>
            <w:tcBorders>
              <w:top w:val="single" w:sz="2" w:space="0" w:color="auto"/>
              <w:left w:val="single" w:sz="2" w:space="0" w:color="auto"/>
              <w:bottom w:val="single" w:sz="2" w:space="0" w:color="auto"/>
              <w:right w:val="single" w:sz="2" w:space="0" w:color="auto"/>
            </w:tcBorders>
            <w:vAlign w:val="center"/>
          </w:tcPr>
          <w:p w14:paraId="2E3438C9"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4733D28"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3FDDB9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2,215,831,830.59</w:t>
            </w:r>
          </w:p>
        </w:tc>
      </w:tr>
      <w:tr w:rsidR="00F73301" w:rsidRPr="00F73301" w14:paraId="77438722"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874AB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Classification by contract term</w:t>
            </w:r>
          </w:p>
        </w:tc>
        <w:tc>
          <w:tcPr>
            <w:tcW w:w="1928" w:type="dxa"/>
            <w:tcBorders>
              <w:top w:val="single" w:sz="2" w:space="0" w:color="auto"/>
              <w:left w:val="single" w:sz="2" w:space="0" w:color="auto"/>
              <w:bottom w:val="single" w:sz="2" w:space="0" w:color="auto"/>
              <w:right w:val="single" w:sz="2" w:space="0" w:color="auto"/>
            </w:tcBorders>
            <w:vAlign w:val="center"/>
          </w:tcPr>
          <w:p w14:paraId="224A5414"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88857F0"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1A24F67"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ACD0B9F"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5DB4B512"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A4224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C3F29B"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3F050B"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B13D93"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9434A6"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1F617C0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78935B9D" w14:textId="77777777" w:rsidR="00F73301" w:rsidRPr="00F73301" w:rsidRDefault="00F73301" w:rsidP="008C49B7">
            <w:pPr>
              <w:snapToGrid w:val="0"/>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82E7B57"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A3E8243"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B180D0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4B85A0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D29A00F"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E00410"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Classification by sales channel</w:t>
            </w:r>
          </w:p>
        </w:tc>
        <w:tc>
          <w:tcPr>
            <w:tcW w:w="1928" w:type="dxa"/>
            <w:tcBorders>
              <w:top w:val="single" w:sz="2" w:space="0" w:color="auto"/>
              <w:left w:val="single" w:sz="2" w:space="0" w:color="auto"/>
              <w:bottom w:val="single" w:sz="2" w:space="0" w:color="auto"/>
              <w:right w:val="single" w:sz="2" w:space="0" w:color="auto"/>
            </w:tcBorders>
            <w:vAlign w:val="center"/>
          </w:tcPr>
          <w:p w14:paraId="2208CCC1"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6A3D42A"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60F371C"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0C1FD91"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34CD9158"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EE2702"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 xml:space="preserve">　</w:t>
            </w:r>
            <w:r w:rsidRPr="00F73301">
              <w:rPr>
                <w:rFonts w:ascii="Times New Roman" w:eastAsia="宋体" w:hAnsi="Times New Roman" w:cs="Times New Roman"/>
                <w:sz w:val="18"/>
                <w:szCs w:val="18"/>
              </w:rPr>
              <w:t>Of which:</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5B3D1D"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443CA8"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D7B892" w14:textId="77777777" w:rsidR="00F73301" w:rsidRPr="00F73301" w:rsidRDefault="00F73301" w:rsidP="008C49B7">
            <w:pPr>
              <w:snapToGrid w:val="0"/>
              <w:rPr>
                <w:rFonts w:ascii="Times New Roman" w:eastAsia="等线"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8D09414" w14:textId="77777777" w:rsidR="00F73301" w:rsidRPr="00F73301" w:rsidRDefault="00F73301" w:rsidP="008C49B7">
            <w:pPr>
              <w:snapToGrid w:val="0"/>
              <w:rPr>
                <w:rFonts w:ascii="Times New Roman" w:eastAsia="等线" w:hAnsi="Times New Roman" w:cs="Times New Roman"/>
                <w:sz w:val="18"/>
                <w:szCs w:val="18"/>
              </w:rPr>
            </w:pPr>
          </w:p>
        </w:tc>
      </w:tr>
      <w:tr w:rsidR="00F73301" w:rsidRPr="00F73301" w14:paraId="0ADA77A3"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vAlign w:val="center"/>
          </w:tcPr>
          <w:p w14:paraId="4D4D9AC9" w14:textId="77777777" w:rsidR="00F73301" w:rsidRPr="00F73301" w:rsidRDefault="00F73301" w:rsidP="008C49B7">
            <w:pPr>
              <w:snapToGrid w:val="0"/>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537E53D"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C62354B"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EA359D0"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BB932B0"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05AF0005" w14:textId="77777777" w:rsidTr="0001208F">
        <w:trPr>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2C58B1"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1928" w:type="dxa"/>
            <w:tcBorders>
              <w:top w:val="single" w:sz="2" w:space="0" w:color="auto"/>
              <w:left w:val="single" w:sz="2" w:space="0" w:color="auto"/>
              <w:bottom w:val="single" w:sz="2" w:space="0" w:color="auto"/>
              <w:right w:val="single" w:sz="2" w:space="0" w:color="auto"/>
            </w:tcBorders>
            <w:vAlign w:val="center"/>
          </w:tcPr>
          <w:p w14:paraId="12536C26"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68AC5F"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BA985B0" w14:textId="77777777" w:rsidR="00F73301" w:rsidRPr="00F73301" w:rsidRDefault="00F73301" w:rsidP="008C49B7">
            <w:pPr>
              <w:snapToGrid w:val="0"/>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17A8E38" w14:textId="77777777" w:rsidR="00F73301" w:rsidRPr="00F73301" w:rsidRDefault="00F73301" w:rsidP="008C49B7">
            <w:pPr>
              <w:snapToGrid w:val="0"/>
              <w:jc w:val="right"/>
              <w:rPr>
                <w:rFonts w:ascii="Times New Roman" w:eastAsia="宋体" w:hAnsi="Times New Roman" w:cs="Times New Roman"/>
                <w:sz w:val="18"/>
                <w:szCs w:val="18"/>
              </w:rPr>
            </w:pPr>
          </w:p>
        </w:tc>
      </w:tr>
    </w:tbl>
    <w:p w14:paraId="25A07518" w14:textId="77777777" w:rsidR="00F73301" w:rsidRPr="00F73301" w:rsidRDefault="00F73301" w:rsidP="00FA3F5C">
      <w:pPr>
        <w:snapToGrid w:val="0"/>
        <w:spacing w:beforeLines="50" w:before="156" w:afterLines="50" w:after="156"/>
        <w:jc w:val="lowKashida"/>
        <w:rPr>
          <w:rFonts w:ascii="Times New Roman" w:eastAsia="宋体" w:hAnsi="Times New Roman" w:cs="Times New Roman"/>
          <w:sz w:val="24"/>
          <w:szCs w:val="24"/>
        </w:rPr>
      </w:pPr>
      <w:r w:rsidRPr="00F73301">
        <w:rPr>
          <w:rFonts w:ascii="Times New Roman" w:eastAsia="宋体" w:hAnsi="Times New Roman" w:cs="Times New Roman"/>
          <w:sz w:val="24"/>
          <w:szCs w:val="24"/>
        </w:rPr>
        <w:t>Information about performance obligations:</w:t>
      </w:r>
    </w:p>
    <w:p w14:paraId="17B8D2D1" w14:textId="77777777" w:rsidR="00F73301" w:rsidRPr="00F73301" w:rsidRDefault="00F73301" w:rsidP="00FA3F5C">
      <w:pPr>
        <w:widowControl/>
        <w:snapToGrid w:val="0"/>
        <w:spacing w:beforeLines="50" w:before="156" w:afterLines="50" w:after="156"/>
        <w:jc w:val="lowKashida"/>
        <w:rPr>
          <w:rFonts w:ascii="Times New Roman" w:eastAsia="宋体" w:hAnsi="Times New Roman" w:cs="Times New Roman"/>
          <w:kern w:val="0"/>
          <w:sz w:val="24"/>
          <w:szCs w:val="24"/>
        </w:rPr>
      </w:pPr>
      <w:r w:rsidRPr="00F73301">
        <w:rPr>
          <w:rFonts w:ascii="Times New Roman" w:eastAsia="宋体" w:hAnsi="Times New Roman" w:cs="Times New Roman"/>
          <w:kern w:val="0"/>
          <w:sz w:val="24"/>
          <w:szCs w:val="24"/>
        </w:rPr>
        <w:t>None</w:t>
      </w:r>
    </w:p>
    <w:p w14:paraId="287C5F23" w14:textId="77777777" w:rsidR="00F73301" w:rsidRPr="00F73301" w:rsidRDefault="00F73301" w:rsidP="00FA3F5C">
      <w:pPr>
        <w:snapToGrid w:val="0"/>
        <w:spacing w:beforeLines="50" w:before="156" w:afterLines="50" w:after="156"/>
        <w:jc w:val="lowKashida"/>
        <w:rPr>
          <w:rFonts w:ascii="Times New Roman" w:eastAsia="宋体" w:hAnsi="Times New Roman" w:cs="Times New Roman"/>
          <w:sz w:val="24"/>
          <w:szCs w:val="24"/>
        </w:rPr>
      </w:pPr>
      <w:r w:rsidRPr="00F73301">
        <w:rPr>
          <w:rFonts w:ascii="Times New Roman" w:eastAsia="宋体" w:hAnsi="Times New Roman" w:cs="Times New Roman"/>
          <w:sz w:val="24"/>
          <w:szCs w:val="24"/>
        </w:rPr>
        <w:t>Information in relation to the transaction price apportioned to the residual contract performance obligation:</w:t>
      </w:r>
    </w:p>
    <w:p w14:paraId="465A98EE" w14:textId="77777777" w:rsidR="00F73301" w:rsidRPr="00F73301" w:rsidRDefault="00F73301" w:rsidP="00FA3F5C">
      <w:pPr>
        <w:snapToGrid w:val="0"/>
        <w:spacing w:beforeLines="50" w:before="156" w:afterLines="50" w:after="156"/>
        <w:jc w:val="lowKashida"/>
        <w:rPr>
          <w:rFonts w:ascii="Times New Roman" w:eastAsia="宋体" w:hAnsi="Times New Roman" w:cs="Times New Roman"/>
          <w:sz w:val="24"/>
          <w:szCs w:val="24"/>
        </w:rPr>
      </w:pPr>
      <w:r w:rsidRPr="00F73301">
        <w:rPr>
          <w:rFonts w:ascii="Times New Roman" w:eastAsia="宋体" w:hAnsi="Times New Roman" w:cs="Times New Roman"/>
          <w:sz w:val="24"/>
          <w:szCs w:val="24"/>
        </w:rPr>
        <w:t>At the end of the Reporting Period, the revenue corresponding to the performance obligations that have been contracted but have not been performed or completed was RMB681,465,768.20, of which RMB630,727,381.97 is expected to be recognized in 2023, and RMB50,738,386.23 in 2024, and RMB0.00 in 2025.</w:t>
      </w:r>
    </w:p>
    <w:p w14:paraId="1CA9CCC9" w14:textId="77777777" w:rsidR="00F73301" w:rsidRPr="00F73301" w:rsidRDefault="00F73301" w:rsidP="00FA3F5C">
      <w:pPr>
        <w:snapToGrid w:val="0"/>
        <w:spacing w:beforeLines="50" w:before="156" w:afterLines="50" w:after="156"/>
        <w:jc w:val="lowKashida"/>
        <w:rPr>
          <w:rFonts w:ascii="Times New Roman" w:eastAsia="宋体" w:hAnsi="Times New Roman" w:cs="Times New Roman"/>
          <w:sz w:val="24"/>
          <w:szCs w:val="24"/>
        </w:rPr>
      </w:pPr>
      <w:r w:rsidRPr="00F73301">
        <w:rPr>
          <w:rFonts w:ascii="Times New Roman" w:eastAsia="宋体" w:hAnsi="Times New Roman" w:cs="Times New Roman"/>
          <w:sz w:val="24"/>
          <w:szCs w:val="24"/>
        </w:rPr>
        <w:t>Other notes:</w:t>
      </w:r>
    </w:p>
    <w:p w14:paraId="39220B32" w14:textId="77777777" w:rsidR="00F73301" w:rsidRPr="00F73301" w:rsidRDefault="00F73301" w:rsidP="00FA3F5C">
      <w:pPr>
        <w:snapToGrid w:val="0"/>
        <w:spacing w:beforeLines="50" w:before="156" w:afterLines="50" w:after="156"/>
        <w:jc w:val="lowKashida"/>
        <w:rPr>
          <w:rFonts w:ascii="Times New Roman" w:eastAsia="等线" w:hAnsi="Times New Roman" w:cs="Times New Roman"/>
          <w:sz w:val="24"/>
          <w:szCs w:val="24"/>
        </w:rPr>
      </w:pPr>
    </w:p>
    <w:p w14:paraId="6A143E46" w14:textId="77777777" w:rsidR="00F73301" w:rsidRPr="00F73301" w:rsidRDefault="00F73301" w:rsidP="00FA3F5C">
      <w:pPr>
        <w:keepNext/>
        <w:keepLines/>
        <w:snapToGrid w:val="0"/>
        <w:spacing w:beforeLines="50" w:before="156" w:afterLines="50" w:after="156"/>
        <w:jc w:val="lowKashida"/>
        <w:outlineLvl w:val="2"/>
        <w:rPr>
          <w:rFonts w:ascii="Times New Roman" w:eastAsia="宋体" w:hAnsi="Times New Roman" w:cs="Times New Roman"/>
          <w:b/>
          <w:bCs/>
          <w:sz w:val="24"/>
          <w:szCs w:val="24"/>
        </w:rPr>
      </w:pPr>
      <w:bookmarkStart w:id="417" w:name="_Toc989305"/>
      <w:r w:rsidRPr="00F73301">
        <w:rPr>
          <w:rFonts w:ascii="Times New Roman" w:eastAsia="宋体" w:hAnsi="Times New Roman" w:cs="Times New Roman"/>
          <w:b/>
          <w:bCs/>
          <w:sz w:val="24"/>
          <w:szCs w:val="24"/>
        </w:rPr>
        <w:t>5. Investment income</w:t>
      </w:r>
      <w:bookmarkEnd w:id="417"/>
    </w:p>
    <w:p w14:paraId="25A5FDB7"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11F6BD8D"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0319B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FF53B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Current period cumulative</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3B1DE5"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 for the previous period</w:t>
            </w:r>
          </w:p>
        </w:tc>
      </w:tr>
      <w:tr w:rsidR="00F73301" w:rsidRPr="00F73301" w14:paraId="1BF75918"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D2782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long-term equity investments under cost method</w:t>
            </w:r>
          </w:p>
        </w:tc>
        <w:tc>
          <w:tcPr>
            <w:tcW w:w="3213" w:type="dxa"/>
            <w:tcBorders>
              <w:top w:val="single" w:sz="2" w:space="0" w:color="auto"/>
              <w:left w:val="single" w:sz="2" w:space="0" w:color="auto"/>
              <w:bottom w:val="single" w:sz="2" w:space="0" w:color="auto"/>
              <w:right w:val="single" w:sz="2" w:space="0" w:color="auto"/>
            </w:tcBorders>
            <w:vAlign w:val="center"/>
          </w:tcPr>
          <w:p w14:paraId="42585745"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18C982"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3,172,883.12</w:t>
            </w:r>
          </w:p>
        </w:tc>
      </w:tr>
      <w:tr w:rsidR="00F73301" w:rsidRPr="00F73301" w14:paraId="06F6BDC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21B187"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long-term equity investments under equity method</w:t>
            </w:r>
          </w:p>
        </w:tc>
        <w:tc>
          <w:tcPr>
            <w:tcW w:w="3213" w:type="dxa"/>
            <w:tcBorders>
              <w:top w:val="single" w:sz="2" w:space="0" w:color="auto"/>
              <w:left w:val="single" w:sz="2" w:space="0" w:color="auto"/>
              <w:bottom w:val="single" w:sz="2" w:space="0" w:color="auto"/>
              <w:right w:val="single" w:sz="2" w:space="0" w:color="auto"/>
            </w:tcBorders>
            <w:vAlign w:val="center"/>
          </w:tcPr>
          <w:p w14:paraId="56A470A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27,806,362.44</w:t>
            </w:r>
          </w:p>
        </w:tc>
        <w:tc>
          <w:tcPr>
            <w:tcW w:w="3213" w:type="dxa"/>
            <w:tcBorders>
              <w:top w:val="single" w:sz="2" w:space="0" w:color="auto"/>
              <w:left w:val="single" w:sz="2" w:space="0" w:color="auto"/>
              <w:bottom w:val="single" w:sz="2" w:space="0" w:color="auto"/>
              <w:right w:val="single" w:sz="2" w:space="0" w:color="auto"/>
            </w:tcBorders>
            <w:vAlign w:val="center"/>
          </w:tcPr>
          <w:p w14:paraId="7D82334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-349,114.45</w:t>
            </w:r>
          </w:p>
        </w:tc>
      </w:tr>
      <w:tr w:rsidR="00F73301" w:rsidRPr="00F73301" w14:paraId="6162B63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DB6D1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disposal of long-term equity investments</w:t>
            </w:r>
          </w:p>
        </w:tc>
        <w:tc>
          <w:tcPr>
            <w:tcW w:w="3213" w:type="dxa"/>
            <w:tcBorders>
              <w:top w:val="single" w:sz="2" w:space="0" w:color="auto"/>
              <w:left w:val="single" w:sz="2" w:space="0" w:color="auto"/>
              <w:bottom w:val="single" w:sz="2" w:space="0" w:color="auto"/>
              <w:right w:val="single" w:sz="2" w:space="0" w:color="auto"/>
            </w:tcBorders>
            <w:vAlign w:val="center"/>
          </w:tcPr>
          <w:p w14:paraId="76F5A1A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8,746,986.58</w:t>
            </w:r>
          </w:p>
        </w:tc>
        <w:tc>
          <w:tcPr>
            <w:tcW w:w="3213" w:type="dxa"/>
            <w:tcBorders>
              <w:top w:val="single" w:sz="2" w:space="0" w:color="auto"/>
              <w:left w:val="single" w:sz="2" w:space="0" w:color="auto"/>
              <w:bottom w:val="single" w:sz="2" w:space="0" w:color="auto"/>
              <w:right w:val="single" w:sz="2" w:space="0" w:color="auto"/>
            </w:tcBorders>
            <w:vAlign w:val="center"/>
          </w:tcPr>
          <w:p w14:paraId="4846DB95" w14:textId="77777777" w:rsidR="00F73301" w:rsidRPr="00F73301" w:rsidRDefault="00F73301" w:rsidP="008C49B7">
            <w:pPr>
              <w:snapToGrid w:val="0"/>
              <w:jc w:val="right"/>
              <w:rPr>
                <w:rFonts w:ascii="Times New Roman" w:eastAsia="宋体" w:hAnsi="Times New Roman" w:cs="Times New Roman"/>
                <w:sz w:val="18"/>
                <w:szCs w:val="18"/>
              </w:rPr>
            </w:pPr>
          </w:p>
        </w:tc>
      </w:tr>
      <w:tr w:rsidR="00F73301" w:rsidRPr="00F73301" w14:paraId="626CA5F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22F5936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financial products</w:t>
            </w:r>
          </w:p>
        </w:tc>
        <w:tc>
          <w:tcPr>
            <w:tcW w:w="3213" w:type="dxa"/>
            <w:tcBorders>
              <w:top w:val="single" w:sz="2" w:space="0" w:color="auto"/>
              <w:left w:val="single" w:sz="2" w:space="0" w:color="auto"/>
              <w:bottom w:val="single" w:sz="2" w:space="0" w:color="auto"/>
              <w:right w:val="single" w:sz="2" w:space="0" w:color="auto"/>
            </w:tcBorders>
            <w:vAlign w:val="center"/>
          </w:tcPr>
          <w:p w14:paraId="4224C96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1,380,112.49</w:t>
            </w:r>
          </w:p>
        </w:tc>
        <w:tc>
          <w:tcPr>
            <w:tcW w:w="3213" w:type="dxa"/>
            <w:tcBorders>
              <w:top w:val="single" w:sz="2" w:space="0" w:color="auto"/>
              <w:left w:val="single" w:sz="2" w:space="0" w:color="auto"/>
              <w:bottom w:val="single" w:sz="2" w:space="0" w:color="auto"/>
              <w:right w:val="single" w:sz="2" w:space="0" w:color="auto"/>
            </w:tcBorders>
            <w:vAlign w:val="center"/>
          </w:tcPr>
          <w:p w14:paraId="18507A33"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11,851,463.18</w:t>
            </w:r>
          </w:p>
        </w:tc>
      </w:tr>
      <w:tr w:rsidR="00F73301" w:rsidRPr="00F73301" w14:paraId="2626F289"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7D278104"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Interest income from discounted notes</w:t>
            </w:r>
          </w:p>
        </w:tc>
        <w:tc>
          <w:tcPr>
            <w:tcW w:w="3213" w:type="dxa"/>
            <w:tcBorders>
              <w:top w:val="single" w:sz="2" w:space="0" w:color="auto"/>
              <w:left w:val="single" w:sz="2" w:space="0" w:color="auto"/>
              <w:bottom w:val="single" w:sz="2" w:space="0" w:color="auto"/>
              <w:right w:val="single" w:sz="2" w:space="0" w:color="auto"/>
            </w:tcBorders>
            <w:vAlign w:val="center"/>
          </w:tcPr>
          <w:p w14:paraId="6F8D6E9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-2,293,471.89</w:t>
            </w:r>
          </w:p>
        </w:tc>
        <w:tc>
          <w:tcPr>
            <w:tcW w:w="3213" w:type="dxa"/>
            <w:tcBorders>
              <w:top w:val="single" w:sz="2" w:space="0" w:color="auto"/>
              <w:left w:val="single" w:sz="2" w:space="0" w:color="auto"/>
              <w:bottom w:val="single" w:sz="2" w:space="0" w:color="auto"/>
              <w:right w:val="single" w:sz="2" w:space="0" w:color="auto"/>
            </w:tcBorders>
            <w:vAlign w:val="center"/>
          </w:tcPr>
          <w:p w14:paraId="1FD76AB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-1,109,259.07</w:t>
            </w:r>
          </w:p>
        </w:tc>
      </w:tr>
      <w:tr w:rsidR="00F73301" w:rsidRPr="00F73301" w14:paraId="689A283E"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vAlign w:val="center"/>
          </w:tcPr>
          <w:p w14:paraId="3F3340BF"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Investment income from forward foreign exchange settlement and others</w:t>
            </w:r>
          </w:p>
        </w:tc>
        <w:tc>
          <w:tcPr>
            <w:tcW w:w="3213" w:type="dxa"/>
            <w:tcBorders>
              <w:top w:val="single" w:sz="2" w:space="0" w:color="auto"/>
              <w:left w:val="single" w:sz="2" w:space="0" w:color="auto"/>
              <w:bottom w:val="single" w:sz="2" w:space="0" w:color="auto"/>
              <w:right w:val="single" w:sz="2" w:space="0" w:color="auto"/>
            </w:tcBorders>
            <w:vAlign w:val="center"/>
          </w:tcPr>
          <w:p w14:paraId="2C47A419" w14:textId="77777777" w:rsidR="00F73301" w:rsidRPr="00F73301" w:rsidRDefault="00F73301" w:rsidP="008C49B7">
            <w:pPr>
              <w:snapToGrid w:val="0"/>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6F1C3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3,617,963.27</w:t>
            </w:r>
          </w:p>
        </w:tc>
      </w:tr>
      <w:tr w:rsidR="00F73301" w:rsidRPr="00F73301" w14:paraId="239C733A"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06D08D"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097B9EF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35,639,989.62</w:t>
            </w:r>
          </w:p>
        </w:tc>
        <w:tc>
          <w:tcPr>
            <w:tcW w:w="3213" w:type="dxa"/>
            <w:tcBorders>
              <w:top w:val="single" w:sz="2" w:space="0" w:color="auto"/>
              <w:left w:val="single" w:sz="2" w:space="0" w:color="auto"/>
              <w:bottom w:val="single" w:sz="2" w:space="0" w:color="auto"/>
              <w:right w:val="single" w:sz="2" w:space="0" w:color="auto"/>
            </w:tcBorders>
            <w:vAlign w:val="center"/>
          </w:tcPr>
          <w:p w14:paraId="668F542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17,183,936.05</w:t>
            </w:r>
          </w:p>
        </w:tc>
      </w:tr>
    </w:tbl>
    <w:p w14:paraId="43FD32BD"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418" w:name="_Toc989306"/>
      <w:r w:rsidRPr="00F73301">
        <w:rPr>
          <w:rFonts w:ascii="Times New Roman" w:eastAsia="宋体" w:hAnsi="Times New Roman" w:cs="Times New Roman"/>
          <w:b/>
          <w:bCs/>
          <w:sz w:val="24"/>
          <w:szCs w:val="24"/>
        </w:rPr>
        <w:t>6. Others</w:t>
      </w:r>
      <w:bookmarkEnd w:id="418"/>
    </w:p>
    <w:p w14:paraId="63905F1D"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349DCF4D" w14:textId="77777777" w:rsidR="00F73301" w:rsidRPr="00F73301" w:rsidRDefault="00F73301" w:rsidP="00FA3F5C">
      <w:pPr>
        <w:keepNext/>
        <w:keepLines/>
        <w:snapToGrid w:val="0"/>
        <w:spacing w:beforeLines="50" w:before="156" w:afterLines="50" w:after="156"/>
        <w:jc w:val="both"/>
        <w:outlineLvl w:val="1"/>
        <w:rPr>
          <w:rFonts w:ascii="Times New Roman" w:eastAsia="宋体" w:hAnsi="Times New Roman" w:cs="Times New Roman"/>
          <w:b/>
          <w:bCs/>
          <w:sz w:val="24"/>
          <w:szCs w:val="24"/>
        </w:rPr>
      </w:pPr>
      <w:bookmarkStart w:id="419" w:name="_Toc989307"/>
      <w:r w:rsidRPr="00F73301">
        <w:rPr>
          <w:rFonts w:ascii="Times New Roman" w:eastAsia="宋体" w:hAnsi="Times New Roman" w:cs="Times New Roman"/>
          <w:b/>
          <w:bCs/>
          <w:sz w:val="24"/>
          <w:szCs w:val="24"/>
        </w:rPr>
        <w:lastRenderedPageBreak/>
        <w:t>XVIII. Supplementary Materials</w:t>
      </w:r>
      <w:bookmarkEnd w:id="419"/>
    </w:p>
    <w:p w14:paraId="252688CD"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420" w:name="_Toc989308"/>
      <w:r w:rsidRPr="00F73301">
        <w:rPr>
          <w:rFonts w:ascii="Times New Roman" w:eastAsia="宋体" w:hAnsi="Times New Roman" w:cs="Times New Roman"/>
          <w:b/>
          <w:bCs/>
          <w:sz w:val="24"/>
          <w:szCs w:val="24"/>
        </w:rPr>
        <w:t>1. Items and amounts of non-recurring profit or loss</w:t>
      </w:r>
      <w:bookmarkEnd w:id="420"/>
    </w:p>
    <w:p w14:paraId="525AF36B"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Applicable   □ Not applicable</w:t>
      </w:r>
    </w:p>
    <w:p w14:paraId="06392CA3" w14:textId="77777777" w:rsidR="00F73301" w:rsidRPr="00F73301" w:rsidRDefault="00F73301" w:rsidP="00F73301">
      <w:pPr>
        <w:snapToGrid w:val="0"/>
        <w:spacing w:beforeLines="50" w:before="156" w:afterLines="50" w:after="156"/>
        <w:jc w:val="right"/>
        <w:rPr>
          <w:rFonts w:ascii="Times New Roman" w:eastAsia="宋体" w:hAnsi="Times New Roman" w:cs="Times New Roman"/>
          <w:sz w:val="24"/>
          <w:szCs w:val="24"/>
        </w:rPr>
      </w:pPr>
      <w:r w:rsidRPr="00F73301">
        <w:rPr>
          <w:rFonts w:ascii="Times New Roman" w:eastAsia="宋体" w:hAnsi="Times New Roman" w:cs="Times New Roman"/>
          <w:sz w:val="24"/>
          <w:szCs w:val="24"/>
        </w:rPr>
        <w:t>Unit: RMB</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3213"/>
        <w:gridCol w:w="3213"/>
        <w:gridCol w:w="3213"/>
      </w:tblGrid>
      <w:tr w:rsidR="00F73301" w:rsidRPr="00F73301" w14:paraId="590865A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7217BE"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Item</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05CC82"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Amount</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83741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Remarks</w:t>
            </w:r>
          </w:p>
        </w:tc>
      </w:tr>
      <w:tr w:rsidR="00F73301" w:rsidRPr="00F73301" w14:paraId="539C9200"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316BD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Gains on disposal of non-current assets, including write-off of provision for impairment</w:t>
            </w:r>
          </w:p>
        </w:tc>
        <w:tc>
          <w:tcPr>
            <w:tcW w:w="3213" w:type="dxa"/>
            <w:tcBorders>
              <w:top w:val="single" w:sz="2" w:space="0" w:color="auto"/>
              <w:left w:val="single" w:sz="2" w:space="0" w:color="auto"/>
              <w:bottom w:val="single" w:sz="2" w:space="0" w:color="auto"/>
              <w:right w:val="single" w:sz="2" w:space="0" w:color="auto"/>
            </w:tcBorders>
            <w:vAlign w:val="center"/>
          </w:tcPr>
          <w:p w14:paraId="2D03410B"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-220,257.03</w:t>
            </w:r>
          </w:p>
        </w:tc>
        <w:tc>
          <w:tcPr>
            <w:tcW w:w="3213" w:type="dxa"/>
            <w:tcBorders>
              <w:top w:val="single" w:sz="2" w:space="0" w:color="auto"/>
              <w:left w:val="single" w:sz="2" w:space="0" w:color="auto"/>
              <w:bottom w:val="single" w:sz="2" w:space="0" w:color="auto"/>
              <w:right w:val="single" w:sz="2" w:space="0" w:color="auto"/>
            </w:tcBorders>
            <w:vAlign w:val="center"/>
          </w:tcPr>
          <w:p w14:paraId="70E31B55"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76DA356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99E93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Government grants recorded in the current profit or loss (except for those acquired in the ordinary course of company's business, in line with national policies and regulations, or granted continuously according to certain standard quotas or amounts)</w:t>
            </w:r>
          </w:p>
        </w:tc>
        <w:tc>
          <w:tcPr>
            <w:tcW w:w="3213" w:type="dxa"/>
            <w:tcBorders>
              <w:top w:val="single" w:sz="2" w:space="0" w:color="auto"/>
              <w:left w:val="single" w:sz="2" w:space="0" w:color="auto"/>
              <w:bottom w:val="single" w:sz="2" w:space="0" w:color="auto"/>
              <w:right w:val="single" w:sz="2" w:space="0" w:color="auto"/>
            </w:tcBorders>
            <w:vAlign w:val="center"/>
          </w:tcPr>
          <w:p w14:paraId="03957778"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21,766,005.54</w:t>
            </w:r>
          </w:p>
        </w:tc>
        <w:tc>
          <w:tcPr>
            <w:tcW w:w="3213" w:type="dxa"/>
            <w:tcBorders>
              <w:top w:val="single" w:sz="2" w:space="0" w:color="auto"/>
              <w:left w:val="single" w:sz="2" w:space="0" w:color="auto"/>
              <w:bottom w:val="single" w:sz="2" w:space="0" w:color="auto"/>
              <w:right w:val="single" w:sz="2" w:space="0" w:color="auto"/>
            </w:tcBorders>
            <w:vAlign w:val="center"/>
          </w:tcPr>
          <w:p w14:paraId="1814F3D0"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610E436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3F64C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Gains on assets consigned to the third party for investment or management</w:t>
            </w:r>
          </w:p>
        </w:tc>
        <w:tc>
          <w:tcPr>
            <w:tcW w:w="3213" w:type="dxa"/>
            <w:tcBorders>
              <w:top w:val="single" w:sz="2" w:space="0" w:color="auto"/>
              <w:left w:val="single" w:sz="2" w:space="0" w:color="auto"/>
              <w:bottom w:val="single" w:sz="2" w:space="0" w:color="auto"/>
              <w:right w:val="single" w:sz="2" w:space="0" w:color="auto"/>
            </w:tcBorders>
            <w:vAlign w:val="center"/>
          </w:tcPr>
          <w:p w14:paraId="170A98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1,694,478.14</w:t>
            </w:r>
          </w:p>
        </w:tc>
        <w:tc>
          <w:tcPr>
            <w:tcW w:w="3213" w:type="dxa"/>
            <w:tcBorders>
              <w:top w:val="single" w:sz="2" w:space="0" w:color="auto"/>
              <w:left w:val="single" w:sz="2" w:space="0" w:color="auto"/>
              <w:bottom w:val="single" w:sz="2" w:space="0" w:color="auto"/>
              <w:right w:val="single" w:sz="2" w:space="0" w:color="auto"/>
            </w:tcBorders>
            <w:vAlign w:val="center"/>
          </w:tcPr>
          <w:p w14:paraId="0C84E33D"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2A4AC54C"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3C6848"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Gain/loss from change of fair value of trading financial assets and liabilities, and investment incomes from disposal of trading financial assets and liabilities as well as financial assets available for sale, other than valid hedging related to the Company's common businesses</w:t>
            </w:r>
          </w:p>
        </w:tc>
        <w:tc>
          <w:tcPr>
            <w:tcW w:w="3213" w:type="dxa"/>
            <w:tcBorders>
              <w:top w:val="single" w:sz="2" w:space="0" w:color="auto"/>
              <w:left w:val="single" w:sz="2" w:space="0" w:color="auto"/>
              <w:bottom w:val="single" w:sz="2" w:space="0" w:color="auto"/>
              <w:right w:val="single" w:sz="2" w:space="0" w:color="auto"/>
            </w:tcBorders>
            <w:vAlign w:val="center"/>
          </w:tcPr>
          <w:p w14:paraId="5779964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-15,580,233.35</w:t>
            </w:r>
          </w:p>
        </w:tc>
        <w:tc>
          <w:tcPr>
            <w:tcW w:w="3213" w:type="dxa"/>
            <w:tcBorders>
              <w:top w:val="single" w:sz="2" w:space="0" w:color="auto"/>
              <w:left w:val="single" w:sz="2" w:space="0" w:color="auto"/>
              <w:bottom w:val="single" w:sz="2" w:space="0" w:color="auto"/>
              <w:right w:val="single" w:sz="2" w:space="0" w:color="auto"/>
            </w:tcBorders>
            <w:vAlign w:val="center"/>
          </w:tcPr>
          <w:p w14:paraId="6E861E71"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269EFE93"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7FABF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Other non-operating revenue or expenditures</w:t>
            </w:r>
          </w:p>
        </w:tc>
        <w:tc>
          <w:tcPr>
            <w:tcW w:w="3213" w:type="dxa"/>
            <w:tcBorders>
              <w:top w:val="single" w:sz="2" w:space="0" w:color="auto"/>
              <w:left w:val="single" w:sz="2" w:space="0" w:color="auto"/>
              <w:bottom w:val="single" w:sz="2" w:space="0" w:color="auto"/>
              <w:right w:val="single" w:sz="2" w:space="0" w:color="auto"/>
            </w:tcBorders>
            <w:vAlign w:val="center"/>
          </w:tcPr>
          <w:p w14:paraId="69F59EF0"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-4,453,473.39</w:t>
            </w:r>
          </w:p>
        </w:tc>
        <w:tc>
          <w:tcPr>
            <w:tcW w:w="3213" w:type="dxa"/>
            <w:tcBorders>
              <w:top w:val="single" w:sz="2" w:space="0" w:color="auto"/>
              <w:left w:val="single" w:sz="2" w:space="0" w:color="auto"/>
              <w:bottom w:val="single" w:sz="2" w:space="0" w:color="auto"/>
              <w:right w:val="single" w:sz="2" w:space="0" w:color="auto"/>
            </w:tcBorders>
            <w:vAlign w:val="center"/>
          </w:tcPr>
          <w:p w14:paraId="0EDF4677"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7E76E135"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9921D9"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Less: Income tax effects</w:t>
            </w:r>
          </w:p>
        </w:tc>
        <w:tc>
          <w:tcPr>
            <w:tcW w:w="3213" w:type="dxa"/>
            <w:tcBorders>
              <w:top w:val="single" w:sz="2" w:space="0" w:color="auto"/>
              <w:left w:val="single" w:sz="2" w:space="0" w:color="auto"/>
              <w:bottom w:val="single" w:sz="2" w:space="0" w:color="auto"/>
              <w:right w:val="single" w:sz="2" w:space="0" w:color="auto"/>
            </w:tcBorders>
            <w:vAlign w:val="center"/>
          </w:tcPr>
          <w:p w14:paraId="59B45081"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1,041,676.13</w:t>
            </w:r>
          </w:p>
        </w:tc>
        <w:tc>
          <w:tcPr>
            <w:tcW w:w="3213" w:type="dxa"/>
            <w:tcBorders>
              <w:top w:val="single" w:sz="2" w:space="0" w:color="auto"/>
              <w:left w:val="single" w:sz="2" w:space="0" w:color="auto"/>
              <w:bottom w:val="single" w:sz="2" w:space="0" w:color="auto"/>
              <w:right w:val="single" w:sz="2" w:space="0" w:color="auto"/>
            </w:tcBorders>
            <w:vAlign w:val="center"/>
          </w:tcPr>
          <w:p w14:paraId="75815A6C"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747A4F11"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AAB7C0" w14:textId="77777777" w:rsidR="00F73301" w:rsidRPr="00F73301" w:rsidRDefault="00F73301" w:rsidP="008C49B7">
            <w:pPr>
              <w:snapToGrid w:val="0"/>
              <w:ind w:firstLineChars="200" w:firstLine="360"/>
              <w:rPr>
                <w:rFonts w:ascii="Times New Roman" w:eastAsia="宋体" w:hAnsi="Times New Roman" w:cs="Times New Roman"/>
                <w:sz w:val="18"/>
                <w:szCs w:val="18"/>
              </w:rPr>
            </w:pPr>
            <w:r w:rsidRPr="00F73301">
              <w:rPr>
                <w:rFonts w:ascii="Times New Roman" w:eastAsia="宋体" w:hAnsi="Times New Roman" w:cs="Times New Roman"/>
                <w:sz w:val="18"/>
                <w:szCs w:val="18"/>
              </w:rPr>
              <w:t>Minority interests effects</w:t>
            </w:r>
          </w:p>
        </w:tc>
        <w:tc>
          <w:tcPr>
            <w:tcW w:w="3213" w:type="dxa"/>
            <w:tcBorders>
              <w:top w:val="single" w:sz="2" w:space="0" w:color="auto"/>
              <w:left w:val="single" w:sz="2" w:space="0" w:color="auto"/>
              <w:bottom w:val="single" w:sz="2" w:space="0" w:color="auto"/>
              <w:right w:val="single" w:sz="2" w:space="0" w:color="auto"/>
            </w:tcBorders>
            <w:vAlign w:val="center"/>
          </w:tcPr>
          <w:p w14:paraId="7D580036"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1,414,109.40</w:t>
            </w:r>
          </w:p>
        </w:tc>
        <w:tc>
          <w:tcPr>
            <w:tcW w:w="3213" w:type="dxa"/>
            <w:tcBorders>
              <w:top w:val="single" w:sz="2" w:space="0" w:color="auto"/>
              <w:left w:val="single" w:sz="2" w:space="0" w:color="auto"/>
              <w:bottom w:val="single" w:sz="2" w:space="0" w:color="auto"/>
              <w:right w:val="single" w:sz="2" w:space="0" w:color="auto"/>
            </w:tcBorders>
            <w:vAlign w:val="center"/>
          </w:tcPr>
          <w:p w14:paraId="340D120D" w14:textId="77777777" w:rsidR="00F73301" w:rsidRPr="00F73301" w:rsidRDefault="00F73301" w:rsidP="008C49B7">
            <w:pPr>
              <w:snapToGrid w:val="0"/>
              <w:rPr>
                <w:rFonts w:ascii="Times New Roman" w:eastAsia="宋体" w:hAnsi="Times New Roman" w:cs="Times New Roman"/>
                <w:sz w:val="18"/>
                <w:szCs w:val="18"/>
              </w:rPr>
            </w:pPr>
          </w:p>
        </w:tc>
      </w:tr>
      <w:tr w:rsidR="00F73301" w:rsidRPr="00F73301" w14:paraId="50C19D4B" w14:textId="77777777" w:rsidTr="0001208F">
        <w:trPr>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3830EC"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Total</w:t>
            </w:r>
          </w:p>
        </w:tc>
        <w:tc>
          <w:tcPr>
            <w:tcW w:w="3213" w:type="dxa"/>
            <w:tcBorders>
              <w:top w:val="single" w:sz="2" w:space="0" w:color="auto"/>
              <w:left w:val="single" w:sz="2" w:space="0" w:color="auto"/>
              <w:bottom w:val="single" w:sz="2" w:space="0" w:color="auto"/>
              <w:right w:val="single" w:sz="2" w:space="0" w:color="auto"/>
            </w:tcBorders>
            <w:vAlign w:val="center"/>
          </w:tcPr>
          <w:p w14:paraId="6DB9770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750,734.38</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17D7E0" w14:textId="77777777" w:rsidR="00F73301" w:rsidRPr="00F73301" w:rsidRDefault="00F73301" w:rsidP="008C49B7">
            <w:pPr>
              <w:snapToGrid w:val="0"/>
              <w:rPr>
                <w:rFonts w:ascii="Times New Roman" w:eastAsia="等线" w:hAnsi="Times New Roman" w:cs="Times New Roman"/>
                <w:sz w:val="18"/>
                <w:szCs w:val="18"/>
              </w:rPr>
            </w:pPr>
          </w:p>
        </w:tc>
      </w:tr>
    </w:tbl>
    <w:p w14:paraId="2EBC15E5"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Details of other profit and loss items in line with the definition of non-recurring gains and losses:</w:t>
      </w:r>
    </w:p>
    <w:p w14:paraId="00A0CF42" w14:textId="624F3590"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00FA3F5C"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343BBB05"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There are no other profit and loss items in line with the definition of non-recurring gains and losses in the Company.</w:t>
      </w:r>
    </w:p>
    <w:p w14:paraId="72827074" w14:textId="77777777"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Note to defining the non-recurring profit and loss items listed in the </w:t>
      </w:r>
      <w:r w:rsidRPr="00F73301">
        <w:rPr>
          <w:rFonts w:ascii="Times New Roman" w:eastAsia="宋体" w:hAnsi="Times New Roman" w:cs="Times New Roman"/>
          <w:i/>
          <w:iCs/>
          <w:sz w:val="24"/>
          <w:szCs w:val="24"/>
        </w:rPr>
        <w:t>Explanatory Notice of Information Disclosure by Companies Offering Securities to the Public No. 1 - Non-recurring Gains and Losses</w:t>
      </w:r>
      <w:r w:rsidRPr="00F73301">
        <w:rPr>
          <w:rFonts w:ascii="Times New Roman" w:eastAsia="宋体" w:hAnsi="Times New Roman" w:cs="Times New Roman"/>
          <w:sz w:val="24"/>
          <w:szCs w:val="24"/>
        </w:rPr>
        <w:t xml:space="preserve"> as recurring profit and loss items</w:t>
      </w:r>
    </w:p>
    <w:p w14:paraId="1120FBFB" w14:textId="2A26F302"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00FA3F5C"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396F825C"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421" w:name="_Toc989309"/>
      <w:r w:rsidRPr="00F73301">
        <w:rPr>
          <w:rFonts w:ascii="Times New Roman" w:eastAsia="宋体" w:hAnsi="Times New Roman" w:cs="Times New Roman"/>
          <w:b/>
          <w:bCs/>
          <w:sz w:val="24"/>
          <w:szCs w:val="24"/>
        </w:rPr>
        <w:t>2. Return on equity and earnings per share</w:t>
      </w:r>
      <w:bookmarkEnd w:id="421"/>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409"/>
        <w:gridCol w:w="2410"/>
        <w:gridCol w:w="2410"/>
        <w:gridCol w:w="2410"/>
      </w:tblGrid>
      <w:tr w:rsidR="00F73301" w:rsidRPr="00F73301" w14:paraId="70F6CFF4" w14:textId="77777777" w:rsidTr="0001208F">
        <w:trPr>
          <w:jc w:val="center"/>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5E8C36A"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Profit of the Reporting Period</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9D71A1"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Weighted average ROE</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1D0934"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EPS</w:t>
            </w:r>
          </w:p>
        </w:tc>
      </w:tr>
      <w:tr w:rsidR="00F73301" w:rsidRPr="00F73301" w14:paraId="5AE063CA" w14:textId="77777777" w:rsidTr="0001208F">
        <w:trPr>
          <w:jc w:val="center"/>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94A918" w14:textId="77777777" w:rsidR="00F73301" w:rsidRPr="00F73301" w:rsidRDefault="00F73301" w:rsidP="008C49B7">
            <w:pPr>
              <w:snapToGrid w:val="0"/>
              <w:rPr>
                <w:rFonts w:ascii="Times New Roman" w:eastAsia="等线" w:hAnsi="Times New Roman" w:cs="Times New Roman"/>
                <w:sz w:val="18"/>
                <w:szCs w:val="18"/>
              </w:rPr>
            </w:pPr>
          </w:p>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D27D576" w14:textId="77777777" w:rsidR="00F73301" w:rsidRPr="00F73301" w:rsidRDefault="00F73301" w:rsidP="008C49B7">
            <w:pPr>
              <w:snapToGrid w:val="0"/>
              <w:rPr>
                <w:rFonts w:ascii="Times New Roman" w:eastAsia="等线"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34DE3D"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EPS-basic (RMB/share)</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33ECA36" w14:textId="77777777" w:rsidR="00F73301" w:rsidRPr="00F73301" w:rsidRDefault="00F73301" w:rsidP="008C49B7">
            <w:pPr>
              <w:snapToGrid w:val="0"/>
              <w:jc w:val="center"/>
              <w:rPr>
                <w:rFonts w:ascii="Times New Roman" w:eastAsia="宋体" w:hAnsi="Times New Roman" w:cs="Times New Roman"/>
                <w:sz w:val="18"/>
                <w:szCs w:val="18"/>
              </w:rPr>
            </w:pPr>
            <w:r w:rsidRPr="00F73301">
              <w:rPr>
                <w:rFonts w:ascii="Times New Roman" w:eastAsia="宋体" w:hAnsi="Times New Roman" w:cs="Times New Roman"/>
                <w:sz w:val="18"/>
                <w:szCs w:val="18"/>
              </w:rPr>
              <w:t>EPS-diluted (RMB/share)</w:t>
            </w:r>
          </w:p>
        </w:tc>
      </w:tr>
      <w:tr w:rsidR="00F73301" w:rsidRPr="00F73301" w14:paraId="403487F7"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6124FB"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 attributable to shareholders of ordinary shares</w:t>
            </w:r>
          </w:p>
        </w:tc>
        <w:tc>
          <w:tcPr>
            <w:tcW w:w="2410" w:type="dxa"/>
            <w:tcBorders>
              <w:top w:val="single" w:sz="2" w:space="0" w:color="auto"/>
              <w:left w:val="single" w:sz="2" w:space="0" w:color="auto"/>
              <w:bottom w:val="single" w:sz="2" w:space="0" w:color="auto"/>
              <w:right w:val="single" w:sz="2" w:space="0" w:color="auto"/>
            </w:tcBorders>
            <w:vAlign w:val="center"/>
          </w:tcPr>
          <w:p w14:paraId="42D4A0E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6.21%</w:t>
            </w:r>
          </w:p>
        </w:tc>
        <w:tc>
          <w:tcPr>
            <w:tcW w:w="2410" w:type="dxa"/>
            <w:tcBorders>
              <w:top w:val="single" w:sz="2" w:space="0" w:color="auto"/>
              <w:left w:val="single" w:sz="2" w:space="0" w:color="auto"/>
              <w:bottom w:val="single" w:sz="2" w:space="0" w:color="auto"/>
              <w:right w:val="single" w:sz="2" w:space="0" w:color="auto"/>
            </w:tcBorders>
            <w:vAlign w:val="center"/>
          </w:tcPr>
          <w:p w14:paraId="722D9129"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0.79</w:t>
            </w:r>
          </w:p>
        </w:tc>
        <w:tc>
          <w:tcPr>
            <w:tcW w:w="2410" w:type="dxa"/>
            <w:tcBorders>
              <w:top w:val="single" w:sz="2" w:space="0" w:color="auto"/>
              <w:left w:val="single" w:sz="2" w:space="0" w:color="auto"/>
              <w:bottom w:val="single" w:sz="2" w:space="0" w:color="auto"/>
              <w:right w:val="single" w:sz="2" w:space="0" w:color="auto"/>
            </w:tcBorders>
            <w:vAlign w:val="center"/>
          </w:tcPr>
          <w:p w14:paraId="5926CA8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0.79</w:t>
            </w:r>
          </w:p>
        </w:tc>
      </w:tr>
      <w:tr w:rsidR="00F73301" w:rsidRPr="00F73301" w14:paraId="7FEB92E5" w14:textId="77777777" w:rsidTr="0001208F">
        <w:trPr>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A50F04A" w14:textId="77777777" w:rsidR="00F73301" w:rsidRPr="00F73301" w:rsidRDefault="00F73301" w:rsidP="008C49B7">
            <w:pPr>
              <w:snapToGrid w:val="0"/>
              <w:rPr>
                <w:rFonts w:ascii="Times New Roman" w:eastAsia="宋体" w:hAnsi="Times New Roman" w:cs="Times New Roman"/>
                <w:sz w:val="18"/>
                <w:szCs w:val="18"/>
              </w:rPr>
            </w:pPr>
            <w:r w:rsidRPr="00F73301">
              <w:rPr>
                <w:rFonts w:ascii="Times New Roman" w:eastAsia="宋体" w:hAnsi="Times New Roman" w:cs="Times New Roman"/>
                <w:sz w:val="18"/>
                <w:szCs w:val="18"/>
              </w:rPr>
              <w:t>Net profit attributable to shareholders of ordinary shares after deducting non-recurring profit or loss</w:t>
            </w:r>
          </w:p>
        </w:tc>
        <w:tc>
          <w:tcPr>
            <w:tcW w:w="2410" w:type="dxa"/>
            <w:tcBorders>
              <w:top w:val="single" w:sz="2" w:space="0" w:color="auto"/>
              <w:left w:val="single" w:sz="2" w:space="0" w:color="auto"/>
              <w:bottom w:val="single" w:sz="2" w:space="0" w:color="auto"/>
              <w:right w:val="single" w:sz="2" w:space="0" w:color="auto"/>
            </w:tcBorders>
            <w:vAlign w:val="center"/>
          </w:tcPr>
          <w:p w14:paraId="4E1F0D64"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6.20%</w:t>
            </w:r>
          </w:p>
        </w:tc>
        <w:tc>
          <w:tcPr>
            <w:tcW w:w="2410" w:type="dxa"/>
            <w:tcBorders>
              <w:top w:val="single" w:sz="2" w:space="0" w:color="auto"/>
              <w:left w:val="single" w:sz="2" w:space="0" w:color="auto"/>
              <w:bottom w:val="single" w:sz="2" w:space="0" w:color="auto"/>
              <w:right w:val="single" w:sz="2" w:space="0" w:color="auto"/>
            </w:tcBorders>
            <w:vAlign w:val="center"/>
          </w:tcPr>
          <w:p w14:paraId="18518C3F"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0.79</w:t>
            </w:r>
          </w:p>
        </w:tc>
        <w:tc>
          <w:tcPr>
            <w:tcW w:w="2410" w:type="dxa"/>
            <w:tcBorders>
              <w:top w:val="single" w:sz="2" w:space="0" w:color="auto"/>
              <w:left w:val="single" w:sz="2" w:space="0" w:color="auto"/>
              <w:bottom w:val="single" w:sz="2" w:space="0" w:color="auto"/>
              <w:right w:val="single" w:sz="2" w:space="0" w:color="auto"/>
            </w:tcBorders>
            <w:vAlign w:val="center"/>
          </w:tcPr>
          <w:p w14:paraId="0B7E1B57" w14:textId="77777777" w:rsidR="00F73301" w:rsidRPr="00F73301" w:rsidRDefault="00F73301" w:rsidP="008C49B7">
            <w:pPr>
              <w:snapToGrid w:val="0"/>
              <w:jc w:val="right"/>
              <w:rPr>
                <w:rFonts w:ascii="Times New Roman" w:eastAsia="宋体" w:hAnsi="Times New Roman" w:cs="Times New Roman"/>
                <w:sz w:val="18"/>
                <w:szCs w:val="18"/>
              </w:rPr>
            </w:pPr>
            <w:r w:rsidRPr="00F73301">
              <w:rPr>
                <w:rFonts w:ascii="Times New Roman" w:eastAsia="宋体" w:hAnsi="Times New Roman" w:cs="Times New Roman"/>
                <w:sz w:val="18"/>
                <w:szCs w:val="18"/>
              </w:rPr>
              <w:t>0.79</w:t>
            </w:r>
          </w:p>
        </w:tc>
      </w:tr>
    </w:tbl>
    <w:p w14:paraId="0B6F6789"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422" w:name="_Toc989310"/>
      <w:r w:rsidRPr="00F73301">
        <w:rPr>
          <w:rFonts w:ascii="Times New Roman" w:eastAsia="宋体" w:hAnsi="Times New Roman" w:cs="Times New Roman"/>
          <w:b/>
          <w:bCs/>
          <w:sz w:val="24"/>
          <w:szCs w:val="24"/>
        </w:rPr>
        <w:t>3. Accounting data differences under PRC GAAP and those under IFRSs</w:t>
      </w:r>
      <w:bookmarkEnd w:id="422"/>
    </w:p>
    <w:p w14:paraId="4BE3AE7D"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423" w:name="_Toc989311"/>
      <w:r w:rsidRPr="00F73301">
        <w:rPr>
          <w:rFonts w:ascii="Times New Roman" w:eastAsia="宋体" w:hAnsi="Times New Roman" w:cs="Times New Roman"/>
          <w:b/>
          <w:bCs/>
          <w:sz w:val="24"/>
          <w:szCs w:val="24"/>
        </w:rPr>
        <w:t>(1) Differences between disclosed net profits and net assets in financial statements in accordance with international accounting standards and Chinese accounting standards</w:t>
      </w:r>
      <w:bookmarkEnd w:id="423"/>
    </w:p>
    <w:p w14:paraId="78A9C254" w14:textId="4BE19FCD"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00FA3F5C"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23911750"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424" w:name="_Toc989312"/>
      <w:r w:rsidRPr="00F73301">
        <w:rPr>
          <w:rFonts w:ascii="Times New Roman" w:eastAsia="宋体" w:hAnsi="Times New Roman" w:cs="Times New Roman"/>
          <w:b/>
          <w:bCs/>
          <w:sz w:val="24"/>
          <w:szCs w:val="24"/>
        </w:rPr>
        <w:lastRenderedPageBreak/>
        <w:t>(2) Differences between disclosed net profits and net assets in financial statements in accordance with foreign accounting standards and Chinese accounting standards</w:t>
      </w:r>
      <w:bookmarkEnd w:id="424"/>
    </w:p>
    <w:p w14:paraId="10382937" w14:textId="7598A8FA" w:rsidR="00F73301" w:rsidRPr="00F73301" w:rsidRDefault="00F73301" w:rsidP="00FA3F5C">
      <w:pPr>
        <w:snapToGrid w:val="0"/>
        <w:spacing w:beforeLines="50" w:before="156" w:afterLines="50" w:after="156"/>
        <w:jc w:val="both"/>
        <w:rPr>
          <w:rFonts w:ascii="Times New Roman" w:eastAsia="宋体" w:hAnsi="Times New Roman" w:cs="Times New Roman"/>
          <w:sz w:val="24"/>
          <w:szCs w:val="24"/>
        </w:rPr>
      </w:pPr>
      <w:r w:rsidRPr="00F73301">
        <w:rPr>
          <w:rFonts w:ascii="Times New Roman" w:eastAsia="宋体" w:hAnsi="Times New Roman" w:cs="Times New Roman"/>
          <w:sz w:val="24"/>
          <w:szCs w:val="24"/>
        </w:rPr>
        <w:t xml:space="preserve">□ Applicable   </w:t>
      </w:r>
      <w:r w:rsidR="00FA3F5C" w:rsidRPr="00F73301">
        <w:rPr>
          <w:rFonts w:ascii="Times New Roman" w:eastAsia="宋体" w:hAnsi="Times New Roman" w:cs="Times New Roman"/>
          <w:sz w:val="24"/>
          <w:szCs w:val="24"/>
        </w:rPr>
        <w:sym w:font="Wingdings 2" w:char="F052"/>
      </w:r>
      <w:r w:rsidRPr="00F73301">
        <w:rPr>
          <w:rFonts w:ascii="Times New Roman" w:eastAsia="宋体" w:hAnsi="Times New Roman" w:cs="Times New Roman"/>
          <w:sz w:val="24"/>
          <w:szCs w:val="24"/>
        </w:rPr>
        <w:t>Not applicable</w:t>
      </w:r>
    </w:p>
    <w:p w14:paraId="5591CB97" w14:textId="77777777" w:rsidR="00F73301" w:rsidRPr="00F73301" w:rsidRDefault="00F73301" w:rsidP="00FA3F5C">
      <w:pPr>
        <w:keepNext/>
        <w:keepLines/>
        <w:snapToGrid w:val="0"/>
        <w:spacing w:beforeLines="50" w:before="156" w:afterLines="50" w:after="156"/>
        <w:jc w:val="both"/>
        <w:outlineLvl w:val="3"/>
        <w:rPr>
          <w:rFonts w:ascii="Times New Roman" w:eastAsia="宋体" w:hAnsi="Times New Roman" w:cs="Times New Roman"/>
          <w:b/>
          <w:bCs/>
          <w:sz w:val="24"/>
          <w:szCs w:val="24"/>
        </w:rPr>
      </w:pPr>
      <w:bookmarkStart w:id="425" w:name="_Toc989313"/>
      <w:r w:rsidRPr="00F73301">
        <w:rPr>
          <w:rFonts w:ascii="Times New Roman" w:eastAsia="宋体" w:hAnsi="Times New Roman" w:cs="Times New Roman"/>
          <w:b/>
          <w:bCs/>
          <w:sz w:val="24"/>
          <w:szCs w:val="24"/>
        </w:rPr>
        <w:t>(3) Explain reasons for the differences between accounting data under domestic and overseas accounting standards; for any adjustment made to the difference existing in the data audited by the foreign auditing agent, such foreign auditing agent’s name shall be clearly stated.</w:t>
      </w:r>
      <w:bookmarkEnd w:id="425"/>
    </w:p>
    <w:p w14:paraId="553C4AED"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05135598" w14:textId="77777777" w:rsidR="00F73301" w:rsidRPr="00F73301" w:rsidRDefault="00F73301" w:rsidP="00FA3F5C">
      <w:pPr>
        <w:keepNext/>
        <w:keepLines/>
        <w:snapToGrid w:val="0"/>
        <w:spacing w:beforeLines="50" w:before="156" w:afterLines="50" w:after="156"/>
        <w:jc w:val="both"/>
        <w:outlineLvl w:val="2"/>
        <w:rPr>
          <w:rFonts w:ascii="Times New Roman" w:eastAsia="宋体" w:hAnsi="Times New Roman" w:cs="Times New Roman"/>
          <w:b/>
          <w:bCs/>
          <w:sz w:val="24"/>
          <w:szCs w:val="24"/>
        </w:rPr>
      </w:pPr>
      <w:bookmarkStart w:id="426" w:name="_Toc989314"/>
      <w:r w:rsidRPr="00F73301">
        <w:rPr>
          <w:rFonts w:ascii="Times New Roman" w:eastAsia="宋体" w:hAnsi="Times New Roman" w:cs="Times New Roman"/>
          <w:b/>
          <w:bCs/>
          <w:sz w:val="24"/>
          <w:szCs w:val="24"/>
        </w:rPr>
        <w:t>4. Others</w:t>
      </w:r>
      <w:bookmarkEnd w:id="426"/>
    </w:p>
    <w:p w14:paraId="51C7667C" w14:textId="77777777" w:rsidR="00F73301" w:rsidRPr="00F73301" w:rsidRDefault="00F73301" w:rsidP="00FA3F5C">
      <w:pPr>
        <w:snapToGrid w:val="0"/>
        <w:spacing w:beforeLines="50" w:before="156" w:afterLines="50" w:after="156"/>
        <w:jc w:val="both"/>
        <w:rPr>
          <w:rFonts w:ascii="Times New Roman" w:eastAsia="等线" w:hAnsi="Times New Roman" w:cs="Times New Roman"/>
          <w:sz w:val="24"/>
          <w:szCs w:val="24"/>
        </w:rPr>
      </w:pPr>
    </w:p>
    <w:p w14:paraId="69B37AB6" w14:textId="77777777" w:rsidR="00F73301" w:rsidRPr="00F73301" w:rsidRDefault="00F73301" w:rsidP="00F73301">
      <w:pPr>
        <w:snapToGrid w:val="0"/>
        <w:spacing w:beforeLines="50" w:before="156" w:afterLines="50" w:after="156"/>
        <w:rPr>
          <w:rFonts w:ascii="Times New Roman" w:eastAsia="等线" w:hAnsi="Times New Roman" w:cs="Times New Roman"/>
          <w:sz w:val="24"/>
          <w:szCs w:val="24"/>
        </w:rPr>
      </w:pPr>
    </w:p>
    <w:p w14:paraId="6EB3CD49" w14:textId="234181EF" w:rsidR="006B66B7" w:rsidRPr="00F73301" w:rsidRDefault="006B66B7" w:rsidP="00F73301">
      <w:pPr>
        <w:snapToGrid w:val="0"/>
        <w:spacing w:beforeLines="50" w:before="156" w:afterLines="50" w:after="156"/>
        <w:rPr>
          <w:rFonts w:ascii="Times New Roman" w:hAnsi="Times New Roman" w:cs="Times New Roman"/>
          <w:sz w:val="24"/>
          <w:szCs w:val="24"/>
        </w:rPr>
      </w:pPr>
    </w:p>
    <w:sectPr w:rsidR="006B66B7" w:rsidRPr="00F73301">
      <w:headerReference w:type="default" r:id="rId12"/>
      <w:footerReference w:type="default" r:id="rId13"/>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8D16E" w14:textId="77777777" w:rsidR="00EB45EB" w:rsidRDefault="00EB45EB">
      <w:r>
        <w:separator/>
      </w:r>
    </w:p>
  </w:endnote>
  <w:endnote w:type="continuationSeparator" w:id="0">
    <w:p w14:paraId="2B37B4D4" w14:textId="77777777" w:rsidR="00EB45EB" w:rsidRDefault="00EB45EB">
      <w:r>
        <w:continuationSeparator/>
      </w:r>
    </w:p>
  </w:endnote>
  <w:endnote w:type="continuationNotice" w:id="1">
    <w:p w14:paraId="73944772" w14:textId="77777777" w:rsidR="00EB45EB" w:rsidRDefault="00EB4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878EA" w14:textId="25F37E14" w:rsidR="006A6236" w:rsidRPr="008C49B7" w:rsidRDefault="006A6236" w:rsidP="008C49B7">
    <w:pPr>
      <w:pStyle w:val="fotter1"/>
      <w:adjustRightInd w:val="0"/>
      <w:snapToGrid w:val="0"/>
      <w:rPr>
        <w:rFonts w:ascii="Times New Roman" w:hAnsi="Times New Roman" w:cs="Times New Roman"/>
      </w:rPr>
    </w:pPr>
    <w:r w:rsidRPr="008C49B7">
      <w:rPr>
        <w:rFonts w:ascii="Times New Roman" w:hAnsi="Times New Roman" w:cs="Times New Roman"/>
      </w:rPr>
      <w:fldChar w:fldCharType="begin"/>
    </w:r>
    <w:r w:rsidRPr="008C49B7">
      <w:rPr>
        <w:rFonts w:ascii="Times New Roman" w:hAnsi="Times New Roman" w:cs="Times New Roman"/>
      </w:rPr>
      <w:instrText>PAGE   \* MERGEFORMAT</w:instrText>
    </w:r>
    <w:r w:rsidRPr="008C49B7">
      <w:rPr>
        <w:rFonts w:ascii="Times New Roman" w:hAnsi="Times New Roman" w:cs="Times New Roman"/>
      </w:rPr>
      <w:fldChar w:fldCharType="separate"/>
    </w:r>
    <w:r w:rsidR="00026C0F">
      <w:rPr>
        <w:rFonts w:ascii="Times New Roman" w:hAnsi="Times New Roman" w:cs="Times New Roman"/>
        <w:noProof/>
      </w:rPr>
      <w:t>4</w:t>
    </w:r>
    <w:r w:rsidRPr="008C49B7">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697B6" w14:textId="77777777" w:rsidR="00EB45EB" w:rsidRDefault="00EB45EB">
      <w:r>
        <w:separator/>
      </w:r>
    </w:p>
  </w:footnote>
  <w:footnote w:type="continuationSeparator" w:id="0">
    <w:p w14:paraId="1B378DAD" w14:textId="77777777" w:rsidR="00EB45EB" w:rsidRDefault="00EB45EB">
      <w:r>
        <w:continuationSeparator/>
      </w:r>
    </w:p>
  </w:footnote>
  <w:footnote w:type="continuationNotice" w:id="1">
    <w:p w14:paraId="496FAD20" w14:textId="77777777" w:rsidR="00EB45EB" w:rsidRDefault="00EB45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6F96" w14:textId="77777777" w:rsidR="006A6236" w:rsidRPr="008C49B7" w:rsidRDefault="006A6236" w:rsidP="008C49B7">
    <w:pPr>
      <w:pStyle w:val="Header1"/>
      <w:pBdr>
        <w:bottom w:val="single" w:sz="6" w:space="1" w:color="auto"/>
      </w:pBdr>
      <w:adjustRightInd w:val="0"/>
      <w:snapToGrid w:val="0"/>
      <w:rPr>
        <w:rFonts w:ascii="Times New Roman" w:hAnsi="Times New Roman" w:cs="Times New Roman"/>
      </w:rPr>
    </w:pPr>
    <w:r w:rsidRPr="008C49B7">
      <w:rPr>
        <w:rFonts w:ascii="Times New Roman" w:hAnsi="Times New Roman" w:cs="Times New Roman"/>
      </w:rPr>
      <w:t xml:space="preserve">Full Text of the 2023 Semi-annual Report of Yangzhou </w:t>
    </w:r>
    <w:proofErr w:type="spellStart"/>
    <w:r w:rsidRPr="008C49B7">
      <w:rPr>
        <w:rFonts w:ascii="Times New Roman" w:hAnsi="Times New Roman" w:cs="Times New Roman"/>
      </w:rPr>
      <w:t>Yangjie</w:t>
    </w:r>
    <w:proofErr w:type="spellEnd"/>
    <w:r w:rsidRPr="008C49B7">
      <w:rPr>
        <w:rFonts w:ascii="Times New Roman" w:hAnsi="Times New Roman" w:cs="Times New Roman"/>
      </w:rPr>
      <w:t xml:space="preserve"> Electronic Technology </w:t>
    </w:r>
    <w:proofErr w:type="spellStart"/>
    <w:proofErr w:type="gramStart"/>
    <w:r w:rsidRPr="008C49B7">
      <w:rPr>
        <w:rFonts w:ascii="Times New Roman" w:hAnsi="Times New Roman" w:cs="Times New Roman"/>
      </w:rPr>
      <w:t>Co.,Ltd</w:t>
    </w:r>
    <w:proofErr w:type="spellEnd"/>
    <w:r w:rsidRPr="008C49B7">
      <w:rPr>
        <w:rFonts w:ascii="Times New Roman" w:hAnsi="Times New Roman" w:cs="Times New Roman"/>
      </w:rPr>
      <w:t>.</w:t>
    </w:r>
    <w:proofErr w:type="gramEnd"/>
    <w:r w:rsidRPr="008C49B7">
      <w:rPr>
        <w:rFonts w:ascii="Times New Roman" w:hAnsi="Times New Roman" w:cs="Times New Roma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c2MzI0Nzc2MTA3NTNS0lEKTi0uzszPAykwqgUA4myN/SwAAAA="/>
  </w:docVars>
  <w:rsids>
    <w:rsidRoot w:val="006B66B7"/>
    <w:rsid w:val="0001208F"/>
    <w:rsid w:val="00026C0F"/>
    <w:rsid w:val="000B66B3"/>
    <w:rsid w:val="000E1650"/>
    <w:rsid w:val="000F4698"/>
    <w:rsid w:val="00134899"/>
    <w:rsid w:val="00142AD3"/>
    <w:rsid w:val="00160313"/>
    <w:rsid w:val="002071BC"/>
    <w:rsid w:val="002349C6"/>
    <w:rsid w:val="00273CFE"/>
    <w:rsid w:val="0029650E"/>
    <w:rsid w:val="002B6206"/>
    <w:rsid w:val="002E544B"/>
    <w:rsid w:val="002E5613"/>
    <w:rsid w:val="00396DB8"/>
    <w:rsid w:val="003B52B3"/>
    <w:rsid w:val="003D4A86"/>
    <w:rsid w:val="004425DE"/>
    <w:rsid w:val="004547D5"/>
    <w:rsid w:val="00454D40"/>
    <w:rsid w:val="004E1211"/>
    <w:rsid w:val="004F7BC8"/>
    <w:rsid w:val="005158F1"/>
    <w:rsid w:val="005F6495"/>
    <w:rsid w:val="00651FCD"/>
    <w:rsid w:val="0066314B"/>
    <w:rsid w:val="00686128"/>
    <w:rsid w:val="006A6236"/>
    <w:rsid w:val="006B0D45"/>
    <w:rsid w:val="006B66B7"/>
    <w:rsid w:val="006C7ADB"/>
    <w:rsid w:val="006C7D34"/>
    <w:rsid w:val="006E1BF2"/>
    <w:rsid w:val="006E75D5"/>
    <w:rsid w:val="00750EEC"/>
    <w:rsid w:val="00800FD7"/>
    <w:rsid w:val="0081094A"/>
    <w:rsid w:val="00830742"/>
    <w:rsid w:val="008A539F"/>
    <w:rsid w:val="008C49B7"/>
    <w:rsid w:val="00914F61"/>
    <w:rsid w:val="00977AE2"/>
    <w:rsid w:val="00977B10"/>
    <w:rsid w:val="009F7FBC"/>
    <w:rsid w:val="00A13D5B"/>
    <w:rsid w:val="00A51E09"/>
    <w:rsid w:val="00A700B2"/>
    <w:rsid w:val="00A7396D"/>
    <w:rsid w:val="00A91E52"/>
    <w:rsid w:val="00A9288A"/>
    <w:rsid w:val="00A962B3"/>
    <w:rsid w:val="00AD1D55"/>
    <w:rsid w:val="00AE0D5B"/>
    <w:rsid w:val="00AE6574"/>
    <w:rsid w:val="00B02758"/>
    <w:rsid w:val="00B475AC"/>
    <w:rsid w:val="00BE2461"/>
    <w:rsid w:val="00C0474E"/>
    <w:rsid w:val="00C0599E"/>
    <w:rsid w:val="00C61DAB"/>
    <w:rsid w:val="00C701BB"/>
    <w:rsid w:val="00C73F50"/>
    <w:rsid w:val="00C92173"/>
    <w:rsid w:val="00CD3115"/>
    <w:rsid w:val="00CD62ED"/>
    <w:rsid w:val="00D162F5"/>
    <w:rsid w:val="00D47065"/>
    <w:rsid w:val="00D55EFF"/>
    <w:rsid w:val="00D70DE6"/>
    <w:rsid w:val="00D90A30"/>
    <w:rsid w:val="00D955CB"/>
    <w:rsid w:val="00DB405D"/>
    <w:rsid w:val="00E01218"/>
    <w:rsid w:val="00E03926"/>
    <w:rsid w:val="00E26865"/>
    <w:rsid w:val="00E43CAD"/>
    <w:rsid w:val="00E44607"/>
    <w:rsid w:val="00E61E39"/>
    <w:rsid w:val="00E65311"/>
    <w:rsid w:val="00EA798C"/>
    <w:rsid w:val="00EB25E7"/>
    <w:rsid w:val="00EB45EB"/>
    <w:rsid w:val="00EF1B5A"/>
    <w:rsid w:val="00F27CC5"/>
    <w:rsid w:val="00F525AD"/>
    <w:rsid w:val="00F73301"/>
    <w:rsid w:val="00F87479"/>
    <w:rsid w:val="00FA3F5C"/>
    <w:rsid w:val="00FC24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E44F7"/>
  <w15:docId w15:val="{4860125C-060E-4D95-89B7-836FDD7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unhideWhenUsed/>
    <w:qFormat/>
    <w:rsid w:val="008C49B7"/>
    <w:pPr>
      <w:keepNext/>
      <w:keepLines/>
      <w:adjustRightInd w:val="0"/>
      <w:snapToGrid w:val="0"/>
      <w:spacing w:beforeLines="50" w:before="156" w:afterLines="50" w:after="156"/>
      <w:jc w:val="both"/>
      <w:outlineLvl w:val="1"/>
    </w:pPr>
    <w:rPr>
      <w:rFonts w:ascii="Times New Roman" w:eastAsia="宋体" w:hAnsi="Times New Roman" w:cs="Times New Roman"/>
      <w:b/>
      <w:bCs/>
      <w:sz w:val="24"/>
      <w:szCs w:val="24"/>
    </w:rPr>
  </w:style>
  <w:style w:type="paragraph" w:styleId="3">
    <w:name w:val="heading 3"/>
    <w:basedOn w:val="a"/>
    <w:next w:val="a"/>
    <w:link w:val="30"/>
    <w:uiPriority w:val="99"/>
    <w:qFormat/>
    <w:rsid w:val="008C49B7"/>
    <w:pPr>
      <w:keepNext/>
      <w:keepLines/>
      <w:adjustRightInd w:val="0"/>
      <w:snapToGrid w:val="0"/>
      <w:spacing w:beforeLines="50" w:before="156" w:afterLines="50" w:after="156"/>
      <w:jc w:val="both"/>
      <w:outlineLvl w:val="2"/>
    </w:pPr>
    <w:rPr>
      <w:rFonts w:ascii="Times New Roman" w:eastAsia="宋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qFormat/>
    <w:pPr>
      <w:jc w:val="right"/>
    </w:pPr>
    <w:rPr>
      <w:rFonts w:ascii="宋体" w:eastAsia="宋体"/>
      <w:sz w:val="18"/>
      <w:szCs w:val="18"/>
    </w:rPr>
  </w:style>
  <w:style w:type="paragraph" w:customStyle="1" w:styleId="headingh1">
    <w:name w:val="heading h1"/>
    <w:basedOn w:val="a"/>
    <w:next w:val="a"/>
    <w:uiPriority w:val="9"/>
    <w:qFormat/>
    <w:rsid w:val="008C49B7"/>
    <w:pPr>
      <w:keepNext/>
      <w:keepLines/>
      <w:adjustRightInd w:val="0"/>
      <w:snapToGrid w:val="0"/>
      <w:spacing w:beforeLines="50" w:before="156" w:afterLines="50" w:after="156"/>
      <w:jc w:val="center"/>
      <w:outlineLvl w:val="0"/>
    </w:pPr>
    <w:rPr>
      <w:rFonts w:ascii="Times New Roman" w:eastAsia="宋体" w:hAnsi="Times New Roman" w:cs="Times New Roman"/>
      <w:b/>
      <w:bCs/>
      <w:kern w:val="44"/>
      <w:sz w:val="24"/>
      <w:szCs w:val="24"/>
    </w:rPr>
  </w:style>
  <w:style w:type="paragraph" w:customStyle="1" w:styleId="fotter1">
    <w:name w:val="fotter 1"/>
    <w:qFormat/>
    <w:pPr>
      <w:jc w:val="right"/>
    </w:pPr>
    <w:rPr>
      <w:rFonts w:ascii="宋体" w:eastAsia="宋体"/>
      <w:sz w:val="18"/>
      <w:szCs w:val="18"/>
    </w:rPr>
  </w:style>
  <w:style w:type="paragraph" w:styleId="1">
    <w:name w:val="toc 1"/>
    <w:basedOn w:val="a"/>
    <w:next w:val="a"/>
    <w:autoRedefine/>
    <w:uiPriority w:val="39"/>
    <w:qFormat/>
  </w:style>
  <w:style w:type="paragraph" w:styleId="21">
    <w:name w:val="toc 2"/>
    <w:basedOn w:val="a"/>
    <w:next w:val="a"/>
    <w:autoRedefine/>
    <w:uiPriority w:val="39"/>
    <w:unhideWhenUsed/>
    <w:qFormat/>
    <w:pPr>
      <w:ind w:leftChars="200" w:left="420"/>
    </w:pPr>
  </w:style>
  <w:style w:type="paragraph" w:styleId="a3">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character" w:styleId="a4">
    <w:name w:val="Hyperlink"/>
    <w:basedOn w:val="a0"/>
    <w:uiPriority w:val="99"/>
    <w:unhideWhenUsed/>
    <w:qFormat/>
    <w:rPr>
      <w:color w:val="0000FF"/>
      <w:u w:val="single"/>
    </w:rPr>
  </w:style>
  <w:style w:type="character" w:styleId="a5">
    <w:name w:val="Emphasis"/>
    <w:basedOn w:val="a0"/>
    <w:uiPriority w:val="20"/>
    <w:qFormat/>
    <w:rPr>
      <w:i/>
      <w:iCs/>
    </w:rPr>
  </w:style>
  <w:style w:type="paragraph" w:styleId="a6">
    <w:name w:val="header"/>
    <w:basedOn w:val="a"/>
    <w:link w:val="a7"/>
    <w:uiPriority w:val="99"/>
    <w:unhideWhenUsed/>
    <w:qFormat/>
    <w:rsid w:val="00EA798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EA798C"/>
    <w:rPr>
      <w:sz w:val="18"/>
      <w:szCs w:val="18"/>
    </w:rPr>
  </w:style>
  <w:style w:type="paragraph" w:styleId="a8">
    <w:name w:val="footer"/>
    <w:basedOn w:val="a"/>
    <w:link w:val="a9"/>
    <w:uiPriority w:val="99"/>
    <w:unhideWhenUsed/>
    <w:qFormat/>
    <w:rsid w:val="00EA798C"/>
    <w:pPr>
      <w:tabs>
        <w:tab w:val="center" w:pos="4153"/>
        <w:tab w:val="right" w:pos="8306"/>
      </w:tabs>
      <w:snapToGrid w:val="0"/>
    </w:pPr>
    <w:rPr>
      <w:sz w:val="18"/>
      <w:szCs w:val="18"/>
    </w:rPr>
  </w:style>
  <w:style w:type="character" w:customStyle="1" w:styleId="a9">
    <w:name w:val="页脚 字符"/>
    <w:basedOn w:val="a0"/>
    <w:link w:val="a8"/>
    <w:uiPriority w:val="99"/>
    <w:qFormat/>
    <w:rsid w:val="00EA798C"/>
    <w:rPr>
      <w:sz w:val="18"/>
      <w:szCs w:val="18"/>
    </w:rPr>
  </w:style>
  <w:style w:type="character" w:styleId="aa">
    <w:name w:val="annotation reference"/>
    <w:basedOn w:val="a0"/>
    <w:uiPriority w:val="99"/>
    <w:semiHidden/>
    <w:unhideWhenUsed/>
    <w:qFormat/>
    <w:rsid w:val="00C92173"/>
    <w:rPr>
      <w:sz w:val="21"/>
      <w:szCs w:val="21"/>
    </w:rPr>
  </w:style>
  <w:style w:type="paragraph" w:styleId="ab">
    <w:name w:val="annotation text"/>
    <w:basedOn w:val="a"/>
    <w:link w:val="ac"/>
    <w:uiPriority w:val="99"/>
    <w:semiHidden/>
    <w:unhideWhenUsed/>
    <w:qFormat/>
    <w:rsid w:val="00C92173"/>
  </w:style>
  <w:style w:type="character" w:customStyle="1" w:styleId="ac">
    <w:name w:val="批注文字 字符"/>
    <w:basedOn w:val="a0"/>
    <w:link w:val="ab"/>
    <w:uiPriority w:val="99"/>
    <w:semiHidden/>
    <w:qFormat/>
    <w:rsid w:val="00C92173"/>
  </w:style>
  <w:style w:type="paragraph" w:styleId="ad">
    <w:name w:val="annotation subject"/>
    <w:basedOn w:val="ab"/>
    <w:next w:val="ab"/>
    <w:link w:val="ae"/>
    <w:uiPriority w:val="99"/>
    <w:semiHidden/>
    <w:unhideWhenUsed/>
    <w:qFormat/>
    <w:rsid w:val="00C92173"/>
    <w:rPr>
      <w:b/>
      <w:bCs/>
    </w:rPr>
  </w:style>
  <w:style w:type="character" w:customStyle="1" w:styleId="ae">
    <w:name w:val="批注主题 字符"/>
    <w:basedOn w:val="ac"/>
    <w:link w:val="ad"/>
    <w:uiPriority w:val="99"/>
    <w:semiHidden/>
    <w:qFormat/>
    <w:rsid w:val="00C92173"/>
    <w:rPr>
      <w:b/>
      <w:bCs/>
    </w:rPr>
  </w:style>
  <w:style w:type="paragraph" w:styleId="af">
    <w:name w:val="Balloon Text"/>
    <w:basedOn w:val="a"/>
    <w:link w:val="af0"/>
    <w:uiPriority w:val="99"/>
    <w:semiHidden/>
    <w:unhideWhenUsed/>
    <w:qFormat/>
    <w:rsid w:val="00C92173"/>
    <w:rPr>
      <w:sz w:val="18"/>
      <w:szCs w:val="18"/>
    </w:rPr>
  </w:style>
  <w:style w:type="character" w:customStyle="1" w:styleId="af0">
    <w:name w:val="批注框文本 字符"/>
    <w:basedOn w:val="a0"/>
    <w:link w:val="af"/>
    <w:uiPriority w:val="99"/>
    <w:semiHidden/>
    <w:qFormat/>
    <w:rsid w:val="00C92173"/>
    <w:rPr>
      <w:sz w:val="18"/>
      <w:szCs w:val="18"/>
    </w:rPr>
  </w:style>
  <w:style w:type="numbering" w:customStyle="1" w:styleId="10">
    <w:name w:val="无列表1"/>
    <w:next w:val="a2"/>
    <w:uiPriority w:val="99"/>
    <w:semiHidden/>
    <w:unhideWhenUsed/>
    <w:rsid w:val="00F73301"/>
  </w:style>
  <w:style w:type="character" w:customStyle="1" w:styleId="11">
    <w:name w:val="访问过的超链接1"/>
    <w:basedOn w:val="a0"/>
    <w:uiPriority w:val="99"/>
    <w:semiHidden/>
    <w:unhideWhenUsed/>
    <w:qFormat/>
    <w:rsid w:val="00F73301"/>
    <w:rPr>
      <w:color w:val="954F72"/>
      <w:u w:val="single"/>
    </w:rPr>
  </w:style>
  <w:style w:type="character" w:customStyle="1" w:styleId="20">
    <w:name w:val="标题 2 字符"/>
    <w:basedOn w:val="a0"/>
    <w:link w:val="2"/>
    <w:uiPriority w:val="9"/>
    <w:qFormat/>
    <w:rsid w:val="008C49B7"/>
    <w:rPr>
      <w:rFonts w:ascii="Times New Roman" w:eastAsia="宋体" w:hAnsi="Times New Roman" w:cs="Times New Roman"/>
      <w:b/>
      <w:bCs/>
      <w:sz w:val="24"/>
      <w:szCs w:val="24"/>
    </w:rPr>
  </w:style>
  <w:style w:type="character" w:customStyle="1" w:styleId="30">
    <w:name w:val="标题 3 字符"/>
    <w:basedOn w:val="a0"/>
    <w:link w:val="3"/>
    <w:uiPriority w:val="99"/>
    <w:qFormat/>
    <w:rsid w:val="008C49B7"/>
    <w:rPr>
      <w:rFonts w:ascii="Times New Roman" w:eastAsia="宋体" w:hAnsi="Times New Roman" w:cs="Times New Roman"/>
      <w:b/>
      <w:bCs/>
      <w:sz w:val="24"/>
      <w:szCs w:val="24"/>
    </w:rPr>
  </w:style>
  <w:style w:type="character" w:styleId="af1">
    <w:name w:val="FollowedHyperlink"/>
    <w:basedOn w:val="a0"/>
    <w:uiPriority w:val="99"/>
    <w:semiHidden/>
    <w:unhideWhenUsed/>
    <w:rsid w:val="00F73301"/>
    <w:rPr>
      <w:color w:val="954F72" w:themeColor="followedHyperlink"/>
      <w:u w:val="single"/>
    </w:rPr>
  </w:style>
  <w:style w:type="numbering" w:customStyle="1" w:styleId="22">
    <w:name w:val="无列表2"/>
    <w:next w:val="a2"/>
    <w:uiPriority w:val="99"/>
    <w:semiHidden/>
    <w:unhideWhenUsed/>
    <w:rsid w:val="00F73301"/>
  </w:style>
  <w:style w:type="numbering" w:customStyle="1" w:styleId="31">
    <w:name w:val="无列表3"/>
    <w:next w:val="a2"/>
    <w:uiPriority w:val="99"/>
    <w:semiHidden/>
    <w:unhideWhenUsed/>
    <w:rsid w:val="00F73301"/>
  </w:style>
  <w:style w:type="paragraph" w:styleId="af2">
    <w:name w:val="Revision"/>
    <w:hidden/>
    <w:uiPriority w:val="99"/>
    <w:semiHidden/>
    <w:rsid w:val="00F73301"/>
  </w:style>
  <w:style w:type="character" w:customStyle="1" w:styleId="12">
    <w:name w:val="未处理的提及1"/>
    <w:basedOn w:val="a0"/>
    <w:uiPriority w:val="99"/>
    <w:semiHidden/>
    <w:unhideWhenUsed/>
    <w:rsid w:val="00FC2420"/>
    <w:rPr>
      <w:color w:val="605E5C"/>
      <w:shd w:val="clear" w:color="auto" w:fill="E1DFDD"/>
    </w:rPr>
  </w:style>
  <w:style w:type="character" w:customStyle="1" w:styleId="UnresolvedMention">
    <w:name w:val="Unresolved Mention"/>
    <w:basedOn w:val="a0"/>
    <w:uiPriority w:val="99"/>
    <w:semiHidden/>
    <w:unhideWhenUsed/>
    <w:rsid w:val="003D4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5231">
      <w:bodyDiv w:val="1"/>
      <w:marLeft w:val="0"/>
      <w:marRight w:val="0"/>
      <w:marTop w:val="0"/>
      <w:marBottom w:val="0"/>
      <w:divBdr>
        <w:top w:val="none" w:sz="0" w:space="0" w:color="auto"/>
        <w:left w:val="none" w:sz="0" w:space="0" w:color="auto"/>
        <w:bottom w:val="none" w:sz="0" w:space="0" w:color="auto"/>
        <w:right w:val="none" w:sz="0" w:space="0" w:color="auto"/>
      </w:divBdr>
    </w:div>
    <w:div w:id="17857768">
      <w:bodyDiv w:val="1"/>
      <w:marLeft w:val="0"/>
      <w:marRight w:val="0"/>
      <w:marTop w:val="0"/>
      <w:marBottom w:val="0"/>
      <w:divBdr>
        <w:top w:val="none" w:sz="0" w:space="0" w:color="auto"/>
        <w:left w:val="none" w:sz="0" w:space="0" w:color="auto"/>
        <w:bottom w:val="none" w:sz="0" w:space="0" w:color="auto"/>
        <w:right w:val="none" w:sz="0" w:space="0" w:color="auto"/>
      </w:divBdr>
    </w:div>
    <w:div w:id="23946231">
      <w:bodyDiv w:val="1"/>
      <w:marLeft w:val="0"/>
      <w:marRight w:val="0"/>
      <w:marTop w:val="0"/>
      <w:marBottom w:val="0"/>
      <w:divBdr>
        <w:top w:val="none" w:sz="0" w:space="0" w:color="auto"/>
        <w:left w:val="none" w:sz="0" w:space="0" w:color="auto"/>
        <w:bottom w:val="none" w:sz="0" w:space="0" w:color="auto"/>
        <w:right w:val="none" w:sz="0" w:space="0" w:color="auto"/>
      </w:divBdr>
    </w:div>
    <w:div w:id="104423804">
      <w:bodyDiv w:val="1"/>
      <w:marLeft w:val="0"/>
      <w:marRight w:val="0"/>
      <w:marTop w:val="0"/>
      <w:marBottom w:val="0"/>
      <w:divBdr>
        <w:top w:val="none" w:sz="0" w:space="0" w:color="auto"/>
        <w:left w:val="none" w:sz="0" w:space="0" w:color="auto"/>
        <w:bottom w:val="none" w:sz="0" w:space="0" w:color="auto"/>
        <w:right w:val="none" w:sz="0" w:space="0" w:color="auto"/>
      </w:divBdr>
    </w:div>
    <w:div w:id="116684153">
      <w:bodyDiv w:val="1"/>
      <w:marLeft w:val="0"/>
      <w:marRight w:val="0"/>
      <w:marTop w:val="0"/>
      <w:marBottom w:val="0"/>
      <w:divBdr>
        <w:top w:val="none" w:sz="0" w:space="0" w:color="auto"/>
        <w:left w:val="none" w:sz="0" w:space="0" w:color="auto"/>
        <w:bottom w:val="none" w:sz="0" w:space="0" w:color="auto"/>
        <w:right w:val="none" w:sz="0" w:space="0" w:color="auto"/>
      </w:divBdr>
    </w:div>
    <w:div w:id="135757639">
      <w:bodyDiv w:val="1"/>
      <w:marLeft w:val="0"/>
      <w:marRight w:val="0"/>
      <w:marTop w:val="0"/>
      <w:marBottom w:val="0"/>
      <w:divBdr>
        <w:top w:val="none" w:sz="0" w:space="0" w:color="auto"/>
        <w:left w:val="none" w:sz="0" w:space="0" w:color="auto"/>
        <w:bottom w:val="none" w:sz="0" w:space="0" w:color="auto"/>
        <w:right w:val="none" w:sz="0" w:space="0" w:color="auto"/>
      </w:divBdr>
    </w:div>
    <w:div w:id="155001403">
      <w:bodyDiv w:val="1"/>
      <w:marLeft w:val="0"/>
      <w:marRight w:val="0"/>
      <w:marTop w:val="0"/>
      <w:marBottom w:val="0"/>
      <w:divBdr>
        <w:top w:val="none" w:sz="0" w:space="0" w:color="auto"/>
        <w:left w:val="none" w:sz="0" w:space="0" w:color="auto"/>
        <w:bottom w:val="none" w:sz="0" w:space="0" w:color="auto"/>
        <w:right w:val="none" w:sz="0" w:space="0" w:color="auto"/>
      </w:divBdr>
    </w:div>
    <w:div w:id="208349461">
      <w:bodyDiv w:val="1"/>
      <w:marLeft w:val="0"/>
      <w:marRight w:val="0"/>
      <w:marTop w:val="0"/>
      <w:marBottom w:val="0"/>
      <w:divBdr>
        <w:top w:val="none" w:sz="0" w:space="0" w:color="auto"/>
        <w:left w:val="none" w:sz="0" w:space="0" w:color="auto"/>
        <w:bottom w:val="none" w:sz="0" w:space="0" w:color="auto"/>
        <w:right w:val="none" w:sz="0" w:space="0" w:color="auto"/>
      </w:divBdr>
    </w:div>
    <w:div w:id="230972693">
      <w:bodyDiv w:val="1"/>
      <w:marLeft w:val="0"/>
      <w:marRight w:val="0"/>
      <w:marTop w:val="0"/>
      <w:marBottom w:val="0"/>
      <w:divBdr>
        <w:top w:val="none" w:sz="0" w:space="0" w:color="auto"/>
        <w:left w:val="none" w:sz="0" w:space="0" w:color="auto"/>
        <w:bottom w:val="none" w:sz="0" w:space="0" w:color="auto"/>
        <w:right w:val="none" w:sz="0" w:space="0" w:color="auto"/>
      </w:divBdr>
    </w:div>
    <w:div w:id="246770591">
      <w:bodyDiv w:val="1"/>
      <w:marLeft w:val="0"/>
      <w:marRight w:val="0"/>
      <w:marTop w:val="0"/>
      <w:marBottom w:val="0"/>
      <w:divBdr>
        <w:top w:val="none" w:sz="0" w:space="0" w:color="auto"/>
        <w:left w:val="none" w:sz="0" w:space="0" w:color="auto"/>
        <w:bottom w:val="none" w:sz="0" w:space="0" w:color="auto"/>
        <w:right w:val="none" w:sz="0" w:space="0" w:color="auto"/>
      </w:divBdr>
    </w:div>
    <w:div w:id="248543202">
      <w:bodyDiv w:val="1"/>
      <w:marLeft w:val="0"/>
      <w:marRight w:val="0"/>
      <w:marTop w:val="0"/>
      <w:marBottom w:val="0"/>
      <w:divBdr>
        <w:top w:val="none" w:sz="0" w:space="0" w:color="auto"/>
        <w:left w:val="none" w:sz="0" w:space="0" w:color="auto"/>
        <w:bottom w:val="none" w:sz="0" w:space="0" w:color="auto"/>
        <w:right w:val="none" w:sz="0" w:space="0" w:color="auto"/>
      </w:divBdr>
    </w:div>
    <w:div w:id="251398249">
      <w:bodyDiv w:val="1"/>
      <w:marLeft w:val="0"/>
      <w:marRight w:val="0"/>
      <w:marTop w:val="0"/>
      <w:marBottom w:val="0"/>
      <w:divBdr>
        <w:top w:val="none" w:sz="0" w:space="0" w:color="auto"/>
        <w:left w:val="none" w:sz="0" w:space="0" w:color="auto"/>
        <w:bottom w:val="none" w:sz="0" w:space="0" w:color="auto"/>
        <w:right w:val="none" w:sz="0" w:space="0" w:color="auto"/>
      </w:divBdr>
    </w:div>
    <w:div w:id="258173377">
      <w:bodyDiv w:val="1"/>
      <w:marLeft w:val="0"/>
      <w:marRight w:val="0"/>
      <w:marTop w:val="0"/>
      <w:marBottom w:val="0"/>
      <w:divBdr>
        <w:top w:val="none" w:sz="0" w:space="0" w:color="auto"/>
        <w:left w:val="none" w:sz="0" w:space="0" w:color="auto"/>
        <w:bottom w:val="none" w:sz="0" w:space="0" w:color="auto"/>
        <w:right w:val="none" w:sz="0" w:space="0" w:color="auto"/>
      </w:divBdr>
    </w:div>
    <w:div w:id="276105359">
      <w:bodyDiv w:val="1"/>
      <w:marLeft w:val="0"/>
      <w:marRight w:val="0"/>
      <w:marTop w:val="0"/>
      <w:marBottom w:val="0"/>
      <w:divBdr>
        <w:top w:val="none" w:sz="0" w:space="0" w:color="auto"/>
        <w:left w:val="none" w:sz="0" w:space="0" w:color="auto"/>
        <w:bottom w:val="none" w:sz="0" w:space="0" w:color="auto"/>
        <w:right w:val="none" w:sz="0" w:space="0" w:color="auto"/>
      </w:divBdr>
    </w:div>
    <w:div w:id="283772721">
      <w:bodyDiv w:val="1"/>
      <w:marLeft w:val="0"/>
      <w:marRight w:val="0"/>
      <w:marTop w:val="0"/>
      <w:marBottom w:val="0"/>
      <w:divBdr>
        <w:top w:val="none" w:sz="0" w:space="0" w:color="auto"/>
        <w:left w:val="none" w:sz="0" w:space="0" w:color="auto"/>
        <w:bottom w:val="none" w:sz="0" w:space="0" w:color="auto"/>
        <w:right w:val="none" w:sz="0" w:space="0" w:color="auto"/>
      </w:divBdr>
    </w:div>
    <w:div w:id="302582873">
      <w:bodyDiv w:val="1"/>
      <w:marLeft w:val="0"/>
      <w:marRight w:val="0"/>
      <w:marTop w:val="0"/>
      <w:marBottom w:val="0"/>
      <w:divBdr>
        <w:top w:val="none" w:sz="0" w:space="0" w:color="auto"/>
        <w:left w:val="none" w:sz="0" w:space="0" w:color="auto"/>
        <w:bottom w:val="none" w:sz="0" w:space="0" w:color="auto"/>
        <w:right w:val="none" w:sz="0" w:space="0" w:color="auto"/>
      </w:divBdr>
    </w:div>
    <w:div w:id="303464226">
      <w:bodyDiv w:val="1"/>
      <w:marLeft w:val="0"/>
      <w:marRight w:val="0"/>
      <w:marTop w:val="0"/>
      <w:marBottom w:val="0"/>
      <w:divBdr>
        <w:top w:val="none" w:sz="0" w:space="0" w:color="auto"/>
        <w:left w:val="none" w:sz="0" w:space="0" w:color="auto"/>
        <w:bottom w:val="none" w:sz="0" w:space="0" w:color="auto"/>
        <w:right w:val="none" w:sz="0" w:space="0" w:color="auto"/>
      </w:divBdr>
    </w:div>
    <w:div w:id="321860800">
      <w:bodyDiv w:val="1"/>
      <w:marLeft w:val="0"/>
      <w:marRight w:val="0"/>
      <w:marTop w:val="0"/>
      <w:marBottom w:val="0"/>
      <w:divBdr>
        <w:top w:val="none" w:sz="0" w:space="0" w:color="auto"/>
        <w:left w:val="none" w:sz="0" w:space="0" w:color="auto"/>
        <w:bottom w:val="none" w:sz="0" w:space="0" w:color="auto"/>
        <w:right w:val="none" w:sz="0" w:space="0" w:color="auto"/>
      </w:divBdr>
    </w:div>
    <w:div w:id="322197298">
      <w:bodyDiv w:val="1"/>
      <w:marLeft w:val="0"/>
      <w:marRight w:val="0"/>
      <w:marTop w:val="0"/>
      <w:marBottom w:val="0"/>
      <w:divBdr>
        <w:top w:val="none" w:sz="0" w:space="0" w:color="auto"/>
        <w:left w:val="none" w:sz="0" w:space="0" w:color="auto"/>
        <w:bottom w:val="none" w:sz="0" w:space="0" w:color="auto"/>
        <w:right w:val="none" w:sz="0" w:space="0" w:color="auto"/>
      </w:divBdr>
    </w:div>
    <w:div w:id="359016971">
      <w:bodyDiv w:val="1"/>
      <w:marLeft w:val="0"/>
      <w:marRight w:val="0"/>
      <w:marTop w:val="0"/>
      <w:marBottom w:val="0"/>
      <w:divBdr>
        <w:top w:val="none" w:sz="0" w:space="0" w:color="auto"/>
        <w:left w:val="none" w:sz="0" w:space="0" w:color="auto"/>
        <w:bottom w:val="none" w:sz="0" w:space="0" w:color="auto"/>
        <w:right w:val="none" w:sz="0" w:space="0" w:color="auto"/>
      </w:divBdr>
    </w:div>
    <w:div w:id="380403373">
      <w:bodyDiv w:val="1"/>
      <w:marLeft w:val="0"/>
      <w:marRight w:val="0"/>
      <w:marTop w:val="0"/>
      <w:marBottom w:val="0"/>
      <w:divBdr>
        <w:top w:val="none" w:sz="0" w:space="0" w:color="auto"/>
        <w:left w:val="none" w:sz="0" w:space="0" w:color="auto"/>
        <w:bottom w:val="none" w:sz="0" w:space="0" w:color="auto"/>
        <w:right w:val="none" w:sz="0" w:space="0" w:color="auto"/>
      </w:divBdr>
    </w:div>
    <w:div w:id="384641416">
      <w:bodyDiv w:val="1"/>
      <w:marLeft w:val="0"/>
      <w:marRight w:val="0"/>
      <w:marTop w:val="0"/>
      <w:marBottom w:val="0"/>
      <w:divBdr>
        <w:top w:val="none" w:sz="0" w:space="0" w:color="auto"/>
        <w:left w:val="none" w:sz="0" w:space="0" w:color="auto"/>
        <w:bottom w:val="none" w:sz="0" w:space="0" w:color="auto"/>
        <w:right w:val="none" w:sz="0" w:space="0" w:color="auto"/>
      </w:divBdr>
    </w:div>
    <w:div w:id="473105396">
      <w:bodyDiv w:val="1"/>
      <w:marLeft w:val="0"/>
      <w:marRight w:val="0"/>
      <w:marTop w:val="0"/>
      <w:marBottom w:val="0"/>
      <w:divBdr>
        <w:top w:val="none" w:sz="0" w:space="0" w:color="auto"/>
        <w:left w:val="none" w:sz="0" w:space="0" w:color="auto"/>
        <w:bottom w:val="none" w:sz="0" w:space="0" w:color="auto"/>
        <w:right w:val="none" w:sz="0" w:space="0" w:color="auto"/>
      </w:divBdr>
    </w:div>
    <w:div w:id="504788838">
      <w:bodyDiv w:val="1"/>
      <w:marLeft w:val="0"/>
      <w:marRight w:val="0"/>
      <w:marTop w:val="0"/>
      <w:marBottom w:val="0"/>
      <w:divBdr>
        <w:top w:val="none" w:sz="0" w:space="0" w:color="auto"/>
        <w:left w:val="none" w:sz="0" w:space="0" w:color="auto"/>
        <w:bottom w:val="none" w:sz="0" w:space="0" w:color="auto"/>
        <w:right w:val="none" w:sz="0" w:space="0" w:color="auto"/>
      </w:divBdr>
    </w:div>
    <w:div w:id="552891193">
      <w:bodyDiv w:val="1"/>
      <w:marLeft w:val="0"/>
      <w:marRight w:val="0"/>
      <w:marTop w:val="0"/>
      <w:marBottom w:val="0"/>
      <w:divBdr>
        <w:top w:val="none" w:sz="0" w:space="0" w:color="auto"/>
        <w:left w:val="none" w:sz="0" w:space="0" w:color="auto"/>
        <w:bottom w:val="none" w:sz="0" w:space="0" w:color="auto"/>
        <w:right w:val="none" w:sz="0" w:space="0" w:color="auto"/>
      </w:divBdr>
    </w:div>
    <w:div w:id="557472215">
      <w:bodyDiv w:val="1"/>
      <w:marLeft w:val="0"/>
      <w:marRight w:val="0"/>
      <w:marTop w:val="0"/>
      <w:marBottom w:val="0"/>
      <w:divBdr>
        <w:top w:val="none" w:sz="0" w:space="0" w:color="auto"/>
        <w:left w:val="none" w:sz="0" w:space="0" w:color="auto"/>
        <w:bottom w:val="none" w:sz="0" w:space="0" w:color="auto"/>
        <w:right w:val="none" w:sz="0" w:space="0" w:color="auto"/>
      </w:divBdr>
    </w:div>
    <w:div w:id="596210652">
      <w:bodyDiv w:val="1"/>
      <w:marLeft w:val="0"/>
      <w:marRight w:val="0"/>
      <w:marTop w:val="0"/>
      <w:marBottom w:val="0"/>
      <w:divBdr>
        <w:top w:val="none" w:sz="0" w:space="0" w:color="auto"/>
        <w:left w:val="none" w:sz="0" w:space="0" w:color="auto"/>
        <w:bottom w:val="none" w:sz="0" w:space="0" w:color="auto"/>
        <w:right w:val="none" w:sz="0" w:space="0" w:color="auto"/>
      </w:divBdr>
    </w:div>
    <w:div w:id="598174115">
      <w:bodyDiv w:val="1"/>
      <w:marLeft w:val="0"/>
      <w:marRight w:val="0"/>
      <w:marTop w:val="0"/>
      <w:marBottom w:val="0"/>
      <w:divBdr>
        <w:top w:val="none" w:sz="0" w:space="0" w:color="auto"/>
        <w:left w:val="none" w:sz="0" w:space="0" w:color="auto"/>
        <w:bottom w:val="none" w:sz="0" w:space="0" w:color="auto"/>
        <w:right w:val="none" w:sz="0" w:space="0" w:color="auto"/>
      </w:divBdr>
    </w:div>
    <w:div w:id="625237168">
      <w:bodyDiv w:val="1"/>
      <w:marLeft w:val="0"/>
      <w:marRight w:val="0"/>
      <w:marTop w:val="0"/>
      <w:marBottom w:val="0"/>
      <w:divBdr>
        <w:top w:val="none" w:sz="0" w:space="0" w:color="auto"/>
        <w:left w:val="none" w:sz="0" w:space="0" w:color="auto"/>
        <w:bottom w:val="none" w:sz="0" w:space="0" w:color="auto"/>
        <w:right w:val="none" w:sz="0" w:space="0" w:color="auto"/>
      </w:divBdr>
    </w:div>
    <w:div w:id="632444165">
      <w:bodyDiv w:val="1"/>
      <w:marLeft w:val="0"/>
      <w:marRight w:val="0"/>
      <w:marTop w:val="0"/>
      <w:marBottom w:val="0"/>
      <w:divBdr>
        <w:top w:val="none" w:sz="0" w:space="0" w:color="auto"/>
        <w:left w:val="none" w:sz="0" w:space="0" w:color="auto"/>
        <w:bottom w:val="none" w:sz="0" w:space="0" w:color="auto"/>
        <w:right w:val="none" w:sz="0" w:space="0" w:color="auto"/>
      </w:divBdr>
    </w:div>
    <w:div w:id="648168732">
      <w:bodyDiv w:val="1"/>
      <w:marLeft w:val="0"/>
      <w:marRight w:val="0"/>
      <w:marTop w:val="0"/>
      <w:marBottom w:val="0"/>
      <w:divBdr>
        <w:top w:val="none" w:sz="0" w:space="0" w:color="auto"/>
        <w:left w:val="none" w:sz="0" w:space="0" w:color="auto"/>
        <w:bottom w:val="none" w:sz="0" w:space="0" w:color="auto"/>
        <w:right w:val="none" w:sz="0" w:space="0" w:color="auto"/>
      </w:divBdr>
      <w:divsChild>
        <w:div w:id="771778201">
          <w:marLeft w:val="0"/>
          <w:marRight w:val="0"/>
          <w:marTop w:val="0"/>
          <w:marBottom w:val="0"/>
          <w:divBdr>
            <w:top w:val="none" w:sz="0" w:space="0" w:color="auto"/>
            <w:left w:val="none" w:sz="0" w:space="0" w:color="auto"/>
            <w:bottom w:val="none" w:sz="0" w:space="0" w:color="auto"/>
            <w:right w:val="none" w:sz="0" w:space="0" w:color="auto"/>
          </w:divBdr>
        </w:div>
      </w:divsChild>
    </w:div>
    <w:div w:id="670528581">
      <w:bodyDiv w:val="1"/>
      <w:marLeft w:val="0"/>
      <w:marRight w:val="0"/>
      <w:marTop w:val="0"/>
      <w:marBottom w:val="0"/>
      <w:divBdr>
        <w:top w:val="none" w:sz="0" w:space="0" w:color="auto"/>
        <w:left w:val="none" w:sz="0" w:space="0" w:color="auto"/>
        <w:bottom w:val="none" w:sz="0" w:space="0" w:color="auto"/>
        <w:right w:val="none" w:sz="0" w:space="0" w:color="auto"/>
      </w:divBdr>
    </w:div>
    <w:div w:id="687489210">
      <w:bodyDiv w:val="1"/>
      <w:marLeft w:val="0"/>
      <w:marRight w:val="0"/>
      <w:marTop w:val="0"/>
      <w:marBottom w:val="0"/>
      <w:divBdr>
        <w:top w:val="none" w:sz="0" w:space="0" w:color="auto"/>
        <w:left w:val="none" w:sz="0" w:space="0" w:color="auto"/>
        <w:bottom w:val="none" w:sz="0" w:space="0" w:color="auto"/>
        <w:right w:val="none" w:sz="0" w:space="0" w:color="auto"/>
      </w:divBdr>
    </w:div>
    <w:div w:id="701635080">
      <w:bodyDiv w:val="1"/>
      <w:marLeft w:val="0"/>
      <w:marRight w:val="0"/>
      <w:marTop w:val="0"/>
      <w:marBottom w:val="0"/>
      <w:divBdr>
        <w:top w:val="none" w:sz="0" w:space="0" w:color="auto"/>
        <w:left w:val="none" w:sz="0" w:space="0" w:color="auto"/>
        <w:bottom w:val="none" w:sz="0" w:space="0" w:color="auto"/>
        <w:right w:val="none" w:sz="0" w:space="0" w:color="auto"/>
      </w:divBdr>
    </w:div>
    <w:div w:id="729958683">
      <w:bodyDiv w:val="1"/>
      <w:marLeft w:val="0"/>
      <w:marRight w:val="0"/>
      <w:marTop w:val="0"/>
      <w:marBottom w:val="0"/>
      <w:divBdr>
        <w:top w:val="none" w:sz="0" w:space="0" w:color="auto"/>
        <w:left w:val="none" w:sz="0" w:space="0" w:color="auto"/>
        <w:bottom w:val="none" w:sz="0" w:space="0" w:color="auto"/>
        <w:right w:val="none" w:sz="0" w:space="0" w:color="auto"/>
      </w:divBdr>
    </w:div>
    <w:div w:id="743063865">
      <w:bodyDiv w:val="1"/>
      <w:marLeft w:val="0"/>
      <w:marRight w:val="0"/>
      <w:marTop w:val="0"/>
      <w:marBottom w:val="0"/>
      <w:divBdr>
        <w:top w:val="none" w:sz="0" w:space="0" w:color="auto"/>
        <w:left w:val="none" w:sz="0" w:space="0" w:color="auto"/>
        <w:bottom w:val="none" w:sz="0" w:space="0" w:color="auto"/>
        <w:right w:val="none" w:sz="0" w:space="0" w:color="auto"/>
      </w:divBdr>
    </w:div>
    <w:div w:id="821508254">
      <w:bodyDiv w:val="1"/>
      <w:marLeft w:val="0"/>
      <w:marRight w:val="0"/>
      <w:marTop w:val="0"/>
      <w:marBottom w:val="0"/>
      <w:divBdr>
        <w:top w:val="none" w:sz="0" w:space="0" w:color="auto"/>
        <w:left w:val="none" w:sz="0" w:space="0" w:color="auto"/>
        <w:bottom w:val="none" w:sz="0" w:space="0" w:color="auto"/>
        <w:right w:val="none" w:sz="0" w:space="0" w:color="auto"/>
      </w:divBdr>
    </w:div>
    <w:div w:id="883718148">
      <w:bodyDiv w:val="1"/>
      <w:marLeft w:val="0"/>
      <w:marRight w:val="0"/>
      <w:marTop w:val="0"/>
      <w:marBottom w:val="0"/>
      <w:divBdr>
        <w:top w:val="none" w:sz="0" w:space="0" w:color="auto"/>
        <w:left w:val="none" w:sz="0" w:space="0" w:color="auto"/>
        <w:bottom w:val="none" w:sz="0" w:space="0" w:color="auto"/>
        <w:right w:val="none" w:sz="0" w:space="0" w:color="auto"/>
      </w:divBdr>
    </w:div>
    <w:div w:id="888029127">
      <w:bodyDiv w:val="1"/>
      <w:marLeft w:val="0"/>
      <w:marRight w:val="0"/>
      <w:marTop w:val="0"/>
      <w:marBottom w:val="0"/>
      <w:divBdr>
        <w:top w:val="none" w:sz="0" w:space="0" w:color="auto"/>
        <w:left w:val="none" w:sz="0" w:space="0" w:color="auto"/>
        <w:bottom w:val="none" w:sz="0" w:space="0" w:color="auto"/>
        <w:right w:val="none" w:sz="0" w:space="0" w:color="auto"/>
      </w:divBdr>
    </w:div>
    <w:div w:id="894008112">
      <w:bodyDiv w:val="1"/>
      <w:marLeft w:val="0"/>
      <w:marRight w:val="0"/>
      <w:marTop w:val="0"/>
      <w:marBottom w:val="0"/>
      <w:divBdr>
        <w:top w:val="none" w:sz="0" w:space="0" w:color="auto"/>
        <w:left w:val="none" w:sz="0" w:space="0" w:color="auto"/>
        <w:bottom w:val="none" w:sz="0" w:space="0" w:color="auto"/>
        <w:right w:val="none" w:sz="0" w:space="0" w:color="auto"/>
      </w:divBdr>
    </w:div>
    <w:div w:id="906064022">
      <w:bodyDiv w:val="1"/>
      <w:marLeft w:val="0"/>
      <w:marRight w:val="0"/>
      <w:marTop w:val="0"/>
      <w:marBottom w:val="0"/>
      <w:divBdr>
        <w:top w:val="none" w:sz="0" w:space="0" w:color="auto"/>
        <w:left w:val="none" w:sz="0" w:space="0" w:color="auto"/>
        <w:bottom w:val="none" w:sz="0" w:space="0" w:color="auto"/>
        <w:right w:val="none" w:sz="0" w:space="0" w:color="auto"/>
      </w:divBdr>
    </w:div>
    <w:div w:id="960913198">
      <w:bodyDiv w:val="1"/>
      <w:marLeft w:val="0"/>
      <w:marRight w:val="0"/>
      <w:marTop w:val="0"/>
      <w:marBottom w:val="0"/>
      <w:divBdr>
        <w:top w:val="none" w:sz="0" w:space="0" w:color="auto"/>
        <w:left w:val="none" w:sz="0" w:space="0" w:color="auto"/>
        <w:bottom w:val="none" w:sz="0" w:space="0" w:color="auto"/>
        <w:right w:val="none" w:sz="0" w:space="0" w:color="auto"/>
      </w:divBdr>
    </w:div>
    <w:div w:id="967513608">
      <w:bodyDiv w:val="1"/>
      <w:marLeft w:val="0"/>
      <w:marRight w:val="0"/>
      <w:marTop w:val="0"/>
      <w:marBottom w:val="0"/>
      <w:divBdr>
        <w:top w:val="none" w:sz="0" w:space="0" w:color="auto"/>
        <w:left w:val="none" w:sz="0" w:space="0" w:color="auto"/>
        <w:bottom w:val="none" w:sz="0" w:space="0" w:color="auto"/>
        <w:right w:val="none" w:sz="0" w:space="0" w:color="auto"/>
      </w:divBdr>
    </w:div>
    <w:div w:id="970206945">
      <w:bodyDiv w:val="1"/>
      <w:marLeft w:val="0"/>
      <w:marRight w:val="0"/>
      <w:marTop w:val="0"/>
      <w:marBottom w:val="0"/>
      <w:divBdr>
        <w:top w:val="none" w:sz="0" w:space="0" w:color="auto"/>
        <w:left w:val="none" w:sz="0" w:space="0" w:color="auto"/>
        <w:bottom w:val="none" w:sz="0" w:space="0" w:color="auto"/>
        <w:right w:val="none" w:sz="0" w:space="0" w:color="auto"/>
      </w:divBdr>
    </w:div>
    <w:div w:id="1028873875">
      <w:bodyDiv w:val="1"/>
      <w:marLeft w:val="0"/>
      <w:marRight w:val="0"/>
      <w:marTop w:val="0"/>
      <w:marBottom w:val="0"/>
      <w:divBdr>
        <w:top w:val="none" w:sz="0" w:space="0" w:color="auto"/>
        <w:left w:val="none" w:sz="0" w:space="0" w:color="auto"/>
        <w:bottom w:val="none" w:sz="0" w:space="0" w:color="auto"/>
        <w:right w:val="none" w:sz="0" w:space="0" w:color="auto"/>
      </w:divBdr>
    </w:div>
    <w:div w:id="1051929761">
      <w:bodyDiv w:val="1"/>
      <w:marLeft w:val="0"/>
      <w:marRight w:val="0"/>
      <w:marTop w:val="0"/>
      <w:marBottom w:val="0"/>
      <w:divBdr>
        <w:top w:val="none" w:sz="0" w:space="0" w:color="auto"/>
        <w:left w:val="none" w:sz="0" w:space="0" w:color="auto"/>
        <w:bottom w:val="none" w:sz="0" w:space="0" w:color="auto"/>
        <w:right w:val="none" w:sz="0" w:space="0" w:color="auto"/>
      </w:divBdr>
    </w:div>
    <w:div w:id="1062827584">
      <w:bodyDiv w:val="1"/>
      <w:marLeft w:val="0"/>
      <w:marRight w:val="0"/>
      <w:marTop w:val="0"/>
      <w:marBottom w:val="0"/>
      <w:divBdr>
        <w:top w:val="none" w:sz="0" w:space="0" w:color="auto"/>
        <w:left w:val="none" w:sz="0" w:space="0" w:color="auto"/>
        <w:bottom w:val="none" w:sz="0" w:space="0" w:color="auto"/>
        <w:right w:val="none" w:sz="0" w:space="0" w:color="auto"/>
      </w:divBdr>
    </w:div>
    <w:div w:id="1097947734">
      <w:bodyDiv w:val="1"/>
      <w:marLeft w:val="0"/>
      <w:marRight w:val="0"/>
      <w:marTop w:val="0"/>
      <w:marBottom w:val="0"/>
      <w:divBdr>
        <w:top w:val="none" w:sz="0" w:space="0" w:color="auto"/>
        <w:left w:val="none" w:sz="0" w:space="0" w:color="auto"/>
        <w:bottom w:val="none" w:sz="0" w:space="0" w:color="auto"/>
        <w:right w:val="none" w:sz="0" w:space="0" w:color="auto"/>
      </w:divBdr>
    </w:div>
    <w:div w:id="1110903192">
      <w:bodyDiv w:val="1"/>
      <w:marLeft w:val="0"/>
      <w:marRight w:val="0"/>
      <w:marTop w:val="0"/>
      <w:marBottom w:val="0"/>
      <w:divBdr>
        <w:top w:val="none" w:sz="0" w:space="0" w:color="auto"/>
        <w:left w:val="none" w:sz="0" w:space="0" w:color="auto"/>
        <w:bottom w:val="none" w:sz="0" w:space="0" w:color="auto"/>
        <w:right w:val="none" w:sz="0" w:space="0" w:color="auto"/>
      </w:divBdr>
    </w:div>
    <w:div w:id="1151484751">
      <w:bodyDiv w:val="1"/>
      <w:marLeft w:val="0"/>
      <w:marRight w:val="0"/>
      <w:marTop w:val="0"/>
      <w:marBottom w:val="0"/>
      <w:divBdr>
        <w:top w:val="none" w:sz="0" w:space="0" w:color="auto"/>
        <w:left w:val="none" w:sz="0" w:space="0" w:color="auto"/>
        <w:bottom w:val="none" w:sz="0" w:space="0" w:color="auto"/>
        <w:right w:val="none" w:sz="0" w:space="0" w:color="auto"/>
      </w:divBdr>
    </w:div>
    <w:div w:id="1158115369">
      <w:bodyDiv w:val="1"/>
      <w:marLeft w:val="0"/>
      <w:marRight w:val="0"/>
      <w:marTop w:val="0"/>
      <w:marBottom w:val="0"/>
      <w:divBdr>
        <w:top w:val="none" w:sz="0" w:space="0" w:color="auto"/>
        <w:left w:val="none" w:sz="0" w:space="0" w:color="auto"/>
        <w:bottom w:val="none" w:sz="0" w:space="0" w:color="auto"/>
        <w:right w:val="none" w:sz="0" w:space="0" w:color="auto"/>
      </w:divBdr>
    </w:div>
    <w:div w:id="1173103575">
      <w:bodyDiv w:val="1"/>
      <w:marLeft w:val="0"/>
      <w:marRight w:val="0"/>
      <w:marTop w:val="0"/>
      <w:marBottom w:val="0"/>
      <w:divBdr>
        <w:top w:val="none" w:sz="0" w:space="0" w:color="auto"/>
        <w:left w:val="none" w:sz="0" w:space="0" w:color="auto"/>
        <w:bottom w:val="none" w:sz="0" w:space="0" w:color="auto"/>
        <w:right w:val="none" w:sz="0" w:space="0" w:color="auto"/>
      </w:divBdr>
    </w:div>
    <w:div w:id="1204713925">
      <w:bodyDiv w:val="1"/>
      <w:marLeft w:val="0"/>
      <w:marRight w:val="0"/>
      <w:marTop w:val="0"/>
      <w:marBottom w:val="0"/>
      <w:divBdr>
        <w:top w:val="none" w:sz="0" w:space="0" w:color="auto"/>
        <w:left w:val="none" w:sz="0" w:space="0" w:color="auto"/>
        <w:bottom w:val="none" w:sz="0" w:space="0" w:color="auto"/>
        <w:right w:val="none" w:sz="0" w:space="0" w:color="auto"/>
      </w:divBdr>
    </w:div>
    <w:div w:id="1220629909">
      <w:bodyDiv w:val="1"/>
      <w:marLeft w:val="0"/>
      <w:marRight w:val="0"/>
      <w:marTop w:val="0"/>
      <w:marBottom w:val="0"/>
      <w:divBdr>
        <w:top w:val="none" w:sz="0" w:space="0" w:color="auto"/>
        <w:left w:val="none" w:sz="0" w:space="0" w:color="auto"/>
        <w:bottom w:val="none" w:sz="0" w:space="0" w:color="auto"/>
        <w:right w:val="none" w:sz="0" w:space="0" w:color="auto"/>
      </w:divBdr>
    </w:div>
    <w:div w:id="1240990158">
      <w:bodyDiv w:val="1"/>
      <w:marLeft w:val="0"/>
      <w:marRight w:val="0"/>
      <w:marTop w:val="0"/>
      <w:marBottom w:val="0"/>
      <w:divBdr>
        <w:top w:val="none" w:sz="0" w:space="0" w:color="auto"/>
        <w:left w:val="none" w:sz="0" w:space="0" w:color="auto"/>
        <w:bottom w:val="none" w:sz="0" w:space="0" w:color="auto"/>
        <w:right w:val="none" w:sz="0" w:space="0" w:color="auto"/>
      </w:divBdr>
    </w:div>
    <w:div w:id="1296251136">
      <w:bodyDiv w:val="1"/>
      <w:marLeft w:val="0"/>
      <w:marRight w:val="0"/>
      <w:marTop w:val="0"/>
      <w:marBottom w:val="0"/>
      <w:divBdr>
        <w:top w:val="none" w:sz="0" w:space="0" w:color="auto"/>
        <w:left w:val="none" w:sz="0" w:space="0" w:color="auto"/>
        <w:bottom w:val="none" w:sz="0" w:space="0" w:color="auto"/>
        <w:right w:val="none" w:sz="0" w:space="0" w:color="auto"/>
      </w:divBdr>
    </w:div>
    <w:div w:id="1361973093">
      <w:bodyDiv w:val="1"/>
      <w:marLeft w:val="0"/>
      <w:marRight w:val="0"/>
      <w:marTop w:val="0"/>
      <w:marBottom w:val="0"/>
      <w:divBdr>
        <w:top w:val="none" w:sz="0" w:space="0" w:color="auto"/>
        <w:left w:val="none" w:sz="0" w:space="0" w:color="auto"/>
        <w:bottom w:val="none" w:sz="0" w:space="0" w:color="auto"/>
        <w:right w:val="none" w:sz="0" w:space="0" w:color="auto"/>
      </w:divBdr>
    </w:div>
    <w:div w:id="1380856766">
      <w:bodyDiv w:val="1"/>
      <w:marLeft w:val="0"/>
      <w:marRight w:val="0"/>
      <w:marTop w:val="0"/>
      <w:marBottom w:val="0"/>
      <w:divBdr>
        <w:top w:val="none" w:sz="0" w:space="0" w:color="auto"/>
        <w:left w:val="none" w:sz="0" w:space="0" w:color="auto"/>
        <w:bottom w:val="none" w:sz="0" w:space="0" w:color="auto"/>
        <w:right w:val="none" w:sz="0" w:space="0" w:color="auto"/>
      </w:divBdr>
    </w:div>
    <w:div w:id="1384599758">
      <w:bodyDiv w:val="1"/>
      <w:marLeft w:val="0"/>
      <w:marRight w:val="0"/>
      <w:marTop w:val="0"/>
      <w:marBottom w:val="0"/>
      <w:divBdr>
        <w:top w:val="none" w:sz="0" w:space="0" w:color="auto"/>
        <w:left w:val="none" w:sz="0" w:space="0" w:color="auto"/>
        <w:bottom w:val="none" w:sz="0" w:space="0" w:color="auto"/>
        <w:right w:val="none" w:sz="0" w:space="0" w:color="auto"/>
      </w:divBdr>
    </w:div>
    <w:div w:id="1385524531">
      <w:bodyDiv w:val="1"/>
      <w:marLeft w:val="0"/>
      <w:marRight w:val="0"/>
      <w:marTop w:val="0"/>
      <w:marBottom w:val="0"/>
      <w:divBdr>
        <w:top w:val="none" w:sz="0" w:space="0" w:color="auto"/>
        <w:left w:val="none" w:sz="0" w:space="0" w:color="auto"/>
        <w:bottom w:val="none" w:sz="0" w:space="0" w:color="auto"/>
        <w:right w:val="none" w:sz="0" w:space="0" w:color="auto"/>
      </w:divBdr>
    </w:div>
    <w:div w:id="1385912892">
      <w:bodyDiv w:val="1"/>
      <w:marLeft w:val="0"/>
      <w:marRight w:val="0"/>
      <w:marTop w:val="0"/>
      <w:marBottom w:val="0"/>
      <w:divBdr>
        <w:top w:val="none" w:sz="0" w:space="0" w:color="auto"/>
        <w:left w:val="none" w:sz="0" w:space="0" w:color="auto"/>
        <w:bottom w:val="none" w:sz="0" w:space="0" w:color="auto"/>
        <w:right w:val="none" w:sz="0" w:space="0" w:color="auto"/>
      </w:divBdr>
    </w:div>
    <w:div w:id="1386681222">
      <w:bodyDiv w:val="1"/>
      <w:marLeft w:val="0"/>
      <w:marRight w:val="0"/>
      <w:marTop w:val="0"/>
      <w:marBottom w:val="0"/>
      <w:divBdr>
        <w:top w:val="none" w:sz="0" w:space="0" w:color="auto"/>
        <w:left w:val="none" w:sz="0" w:space="0" w:color="auto"/>
        <w:bottom w:val="none" w:sz="0" w:space="0" w:color="auto"/>
        <w:right w:val="none" w:sz="0" w:space="0" w:color="auto"/>
      </w:divBdr>
    </w:div>
    <w:div w:id="1426802347">
      <w:bodyDiv w:val="1"/>
      <w:marLeft w:val="0"/>
      <w:marRight w:val="0"/>
      <w:marTop w:val="0"/>
      <w:marBottom w:val="0"/>
      <w:divBdr>
        <w:top w:val="none" w:sz="0" w:space="0" w:color="auto"/>
        <w:left w:val="none" w:sz="0" w:space="0" w:color="auto"/>
        <w:bottom w:val="none" w:sz="0" w:space="0" w:color="auto"/>
        <w:right w:val="none" w:sz="0" w:space="0" w:color="auto"/>
      </w:divBdr>
    </w:div>
    <w:div w:id="1467047291">
      <w:bodyDiv w:val="1"/>
      <w:marLeft w:val="0"/>
      <w:marRight w:val="0"/>
      <w:marTop w:val="0"/>
      <w:marBottom w:val="0"/>
      <w:divBdr>
        <w:top w:val="none" w:sz="0" w:space="0" w:color="auto"/>
        <w:left w:val="none" w:sz="0" w:space="0" w:color="auto"/>
        <w:bottom w:val="none" w:sz="0" w:space="0" w:color="auto"/>
        <w:right w:val="none" w:sz="0" w:space="0" w:color="auto"/>
      </w:divBdr>
    </w:div>
    <w:div w:id="1469320844">
      <w:bodyDiv w:val="1"/>
      <w:marLeft w:val="0"/>
      <w:marRight w:val="0"/>
      <w:marTop w:val="0"/>
      <w:marBottom w:val="0"/>
      <w:divBdr>
        <w:top w:val="none" w:sz="0" w:space="0" w:color="auto"/>
        <w:left w:val="none" w:sz="0" w:space="0" w:color="auto"/>
        <w:bottom w:val="none" w:sz="0" w:space="0" w:color="auto"/>
        <w:right w:val="none" w:sz="0" w:space="0" w:color="auto"/>
      </w:divBdr>
    </w:div>
    <w:div w:id="1488670691">
      <w:bodyDiv w:val="1"/>
      <w:marLeft w:val="0"/>
      <w:marRight w:val="0"/>
      <w:marTop w:val="0"/>
      <w:marBottom w:val="0"/>
      <w:divBdr>
        <w:top w:val="none" w:sz="0" w:space="0" w:color="auto"/>
        <w:left w:val="none" w:sz="0" w:space="0" w:color="auto"/>
        <w:bottom w:val="none" w:sz="0" w:space="0" w:color="auto"/>
        <w:right w:val="none" w:sz="0" w:space="0" w:color="auto"/>
      </w:divBdr>
    </w:div>
    <w:div w:id="1496602920">
      <w:bodyDiv w:val="1"/>
      <w:marLeft w:val="0"/>
      <w:marRight w:val="0"/>
      <w:marTop w:val="0"/>
      <w:marBottom w:val="0"/>
      <w:divBdr>
        <w:top w:val="none" w:sz="0" w:space="0" w:color="auto"/>
        <w:left w:val="none" w:sz="0" w:space="0" w:color="auto"/>
        <w:bottom w:val="none" w:sz="0" w:space="0" w:color="auto"/>
        <w:right w:val="none" w:sz="0" w:space="0" w:color="auto"/>
      </w:divBdr>
    </w:div>
    <w:div w:id="1527328059">
      <w:bodyDiv w:val="1"/>
      <w:marLeft w:val="0"/>
      <w:marRight w:val="0"/>
      <w:marTop w:val="0"/>
      <w:marBottom w:val="0"/>
      <w:divBdr>
        <w:top w:val="none" w:sz="0" w:space="0" w:color="auto"/>
        <w:left w:val="none" w:sz="0" w:space="0" w:color="auto"/>
        <w:bottom w:val="none" w:sz="0" w:space="0" w:color="auto"/>
        <w:right w:val="none" w:sz="0" w:space="0" w:color="auto"/>
      </w:divBdr>
    </w:div>
    <w:div w:id="1548570537">
      <w:bodyDiv w:val="1"/>
      <w:marLeft w:val="0"/>
      <w:marRight w:val="0"/>
      <w:marTop w:val="0"/>
      <w:marBottom w:val="0"/>
      <w:divBdr>
        <w:top w:val="none" w:sz="0" w:space="0" w:color="auto"/>
        <w:left w:val="none" w:sz="0" w:space="0" w:color="auto"/>
        <w:bottom w:val="none" w:sz="0" w:space="0" w:color="auto"/>
        <w:right w:val="none" w:sz="0" w:space="0" w:color="auto"/>
      </w:divBdr>
    </w:div>
    <w:div w:id="1559704676">
      <w:bodyDiv w:val="1"/>
      <w:marLeft w:val="0"/>
      <w:marRight w:val="0"/>
      <w:marTop w:val="0"/>
      <w:marBottom w:val="0"/>
      <w:divBdr>
        <w:top w:val="none" w:sz="0" w:space="0" w:color="auto"/>
        <w:left w:val="none" w:sz="0" w:space="0" w:color="auto"/>
        <w:bottom w:val="none" w:sz="0" w:space="0" w:color="auto"/>
        <w:right w:val="none" w:sz="0" w:space="0" w:color="auto"/>
      </w:divBdr>
    </w:div>
    <w:div w:id="1575775036">
      <w:bodyDiv w:val="1"/>
      <w:marLeft w:val="0"/>
      <w:marRight w:val="0"/>
      <w:marTop w:val="0"/>
      <w:marBottom w:val="0"/>
      <w:divBdr>
        <w:top w:val="none" w:sz="0" w:space="0" w:color="auto"/>
        <w:left w:val="none" w:sz="0" w:space="0" w:color="auto"/>
        <w:bottom w:val="none" w:sz="0" w:space="0" w:color="auto"/>
        <w:right w:val="none" w:sz="0" w:space="0" w:color="auto"/>
      </w:divBdr>
    </w:div>
    <w:div w:id="1600093722">
      <w:bodyDiv w:val="1"/>
      <w:marLeft w:val="0"/>
      <w:marRight w:val="0"/>
      <w:marTop w:val="0"/>
      <w:marBottom w:val="0"/>
      <w:divBdr>
        <w:top w:val="none" w:sz="0" w:space="0" w:color="auto"/>
        <w:left w:val="none" w:sz="0" w:space="0" w:color="auto"/>
        <w:bottom w:val="none" w:sz="0" w:space="0" w:color="auto"/>
        <w:right w:val="none" w:sz="0" w:space="0" w:color="auto"/>
      </w:divBdr>
    </w:div>
    <w:div w:id="1600406266">
      <w:bodyDiv w:val="1"/>
      <w:marLeft w:val="0"/>
      <w:marRight w:val="0"/>
      <w:marTop w:val="0"/>
      <w:marBottom w:val="0"/>
      <w:divBdr>
        <w:top w:val="none" w:sz="0" w:space="0" w:color="auto"/>
        <w:left w:val="none" w:sz="0" w:space="0" w:color="auto"/>
        <w:bottom w:val="none" w:sz="0" w:space="0" w:color="auto"/>
        <w:right w:val="none" w:sz="0" w:space="0" w:color="auto"/>
      </w:divBdr>
    </w:div>
    <w:div w:id="1606839207">
      <w:bodyDiv w:val="1"/>
      <w:marLeft w:val="0"/>
      <w:marRight w:val="0"/>
      <w:marTop w:val="0"/>
      <w:marBottom w:val="0"/>
      <w:divBdr>
        <w:top w:val="none" w:sz="0" w:space="0" w:color="auto"/>
        <w:left w:val="none" w:sz="0" w:space="0" w:color="auto"/>
        <w:bottom w:val="none" w:sz="0" w:space="0" w:color="auto"/>
        <w:right w:val="none" w:sz="0" w:space="0" w:color="auto"/>
      </w:divBdr>
    </w:div>
    <w:div w:id="1664090554">
      <w:bodyDiv w:val="1"/>
      <w:marLeft w:val="0"/>
      <w:marRight w:val="0"/>
      <w:marTop w:val="0"/>
      <w:marBottom w:val="0"/>
      <w:divBdr>
        <w:top w:val="none" w:sz="0" w:space="0" w:color="auto"/>
        <w:left w:val="none" w:sz="0" w:space="0" w:color="auto"/>
        <w:bottom w:val="none" w:sz="0" w:space="0" w:color="auto"/>
        <w:right w:val="none" w:sz="0" w:space="0" w:color="auto"/>
      </w:divBdr>
    </w:div>
    <w:div w:id="1665888994">
      <w:bodyDiv w:val="1"/>
      <w:marLeft w:val="0"/>
      <w:marRight w:val="0"/>
      <w:marTop w:val="0"/>
      <w:marBottom w:val="0"/>
      <w:divBdr>
        <w:top w:val="none" w:sz="0" w:space="0" w:color="auto"/>
        <w:left w:val="none" w:sz="0" w:space="0" w:color="auto"/>
        <w:bottom w:val="none" w:sz="0" w:space="0" w:color="auto"/>
        <w:right w:val="none" w:sz="0" w:space="0" w:color="auto"/>
      </w:divBdr>
    </w:div>
    <w:div w:id="1669557933">
      <w:bodyDiv w:val="1"/>
      <w:marLeft w:val="0"/>
      <w:marRight w:val="0"/>
      <w:marTop w:val="0"/>
      <w:marBottom w:val="0"/>
      <w:divBdr>
        <w:top w:val="none" w:sz="0" w:space="0" w:color="auto"/>
        <w:left w:val="none" w:sz="0" w:space="0" w:color="auto"/>
        <w:bottom w:val="none" w:sz="0" w:space="0" w:color="auto"/>
        <w:right w:val="none" w:sz="0" w:space="0" w:color="auto"/>
      </w:divBdr>
    </w:div>
    <w:div w:id="1682388022">
      <w:bodyDiv w:val="1"/>
      <w:marLeft w:val="0"/>
      <w:marRight w:val="0"/>
      <w:marTop w:val="0"/>
      <w:marBottom w:val="0"/>
      <w:divBdr>
        <w:top w:val="none" w:sz="0" w:space="0" w:color="auto"/>
        <w:left w:val="none" w:sz="0" w:space="0" w:color="auto"/>
        <w:bottom w:val="none" w:sz="0" w:space="0" w:color="auto"/>
        <w:right w:val="none" w:sz="0" w:space="0" w:color="auto"/>
      </w:divBdr>
    </w:div>
    <w:div w:id="1717124352">
      <w:bodyDiv w:val="1"/>
      <w:marLeft w:val="0"/>
      <w:marRight w:val="0"/>
      <w:marTop w:val="0"/>
      <w:marBottom w:val="0"/>
      <w:divBdr>
        <w:top w:val="none" w:sz="0" w:space="0" w:color="auto"/>
        <w:left w:val="none" w:sz="0" w:space="0" w:color="auto"/>
        <w:bottom w:val="none" w:sz="0" w:space="0" w:color="auto"/>
        <w:right w:val="none" w:sz="0" w:space="0" w:color="auto"/>
      </w:divBdr>
    </w:div>
    <w:div w:id="1757707418">
      <w:bodyDiv w:val="1"/>
      <w:marLeft w:val="0"/>
      <w:marRight w:val="0"/>
      <w:marTop w:val="0"/>
      <w:marBottom w:val="0"/>
      <w:divBdr>
        <w:top w:val="none" w:sz="0" w:space="0" w:color="auto"/>
        <w:left w:val="none" w:sz="0" w:space="0" w:color="auto"/>
        <w:bottom w:val="none" w:sz="0" w:space="0" w:color="auto"/>
        <w:right w:val="none" w:sz="0" w:space="0" w:color="auto"/>
      </w:divBdr>
    </w:div>
    <w:div w:id="1797874585">
      <w:bodyDiv w:val="1"/>
      <w:marLeft w:val="0"/>
      <w:marRight w:val="0"/>
      <w:marTop w:val="0"/>
      <w:marBottom w:val="0"/>
      <w:divBdr>
        <w:top w:val="none" w:sz="0" w:space="0" w:color="auto"/>
        <w:left w:val="none" w:sz="0" w:space="0" w:color="auto"/>
        <w:bottom w:val="none" w:sz="0" w:space="0" w:color="auto"/>
        <w:right w:val="none" w:sz="0" w:space="0" w:color="auto"/>
      </w:divBdr>
    </w:div>
    <w:div w:id="1806656840">
      <w:bodyDiv w:val="1"/>
      <w:marLeft w:val="0"/>
      <w:marRight w:val="0"/>
      <w:marTop w:val="0"/>
      <w:marBottom w:val="0"/>
      <w:divBdr>
        <w:top w:val="none" w:sz="0" w:space="0" w:color="auto"/>
        <w:left w:val="none" w:sz="0" w:space="0" w:color="auto"/>
        <w:bottom w:val="none" w:sz="0" w:space="0" w:color="auto"/>
        <w:right w:val="none" w:sz="0" w:space="0" w:color="auto"/>
      </w:divBdr>
    </w:div>
    <w:div w:id="1868444578">
      <w:bodyDiv w:val="1"/>
      <w:marLeft w:val="0"/>
      <w:marRight w:val="0"/>
      <w:marTop w:val="0"/>
      <w:marBottom w:val="0"/>
      <w:divBdr>
        <w:top w:val="none" w:sz="0" w:space="0" w:color="auto"/>
        <w:left w:val="none" w:sz="0" w:space="0" w:color="auto"/>
        <w:bottom w:val="none" w:sz="0" w:space="0" w:color="auto"/>
        <w:right w:val="none" w:sz="0" w:space="0" w:color="auto"/>
      </w:divBdr>
    </w:div>
    <w:div w:id="1871216451">
      <w:bodyDiv w:val="1"/>
      <w:marLeft w:val="0"/>
      <w:marRight w:val="0"/>
      <w:marTop w:val="0"/>
      <w:marBottom w:val="0"/>
      <w:divBdr>
        <w:top w:val="none" w:sz="0" w:space="0" w:color="auto"/>
        <w:left w:val="none" w:sz="0" w:space="0" w:color="auto"/>
        <w:bottom w:val="none" w:sz="0" w:space="0" w:color="auto"/>
        <w:right w:val="none" w:sz="0" w:space="0" w:color="auto"/>
      </w:divBdr>
    </w:div>
    <w:div w:id="1878423001">
      <w:bodyDiv w:val="1"/>
      <w:marLeft w:val="0"/>
      <w:marRight w:val="0"/>
      <w:marTop w:val="0"/>
      <w:marBottom w:val="0"/>
      <w:divBdr>
        <w:top w:val="none" w:sz="0" w:space="0" w:color="auto"/>
        <w:left w:val="none" w:sz="0" w:space="0" w:color="auto"/>
        <w:bottom w:val="none" w:sz="0" w:space="0" w:color="auto"/>
        <w:right w:val="none" w:sz="0" w:space="0" w:color="auto"/>
      </w:divBdr>
    </w:div>
    <w:div w:id="1975134010">
      <w:bodyDiv w:val="1"/>
      <w:marLeft w:val="0"/>
      <w:marRight w:val="0"/>
      <w:marTop w:val="0"/>
      <w:marBottom w:val="0"/>
      <w:divBdr>
        <w:top w:val="none" w:sz="0" w:space="0" w:color="auto"/>
        <w:left w:val="none" w:sz="0" w:space="0" w:color="auto"/>
        <w:bottom w:val="none" w:sz="0" w:space="0" w:color="auto"/>
        <w:right w:val="none" w:sz="0" w:space="0" w:color="auto"/>
      </w:divBdr>
    </w:div>
    <w:div w:id="2014911527">
      <w:bodyDiv w:val="1"/>
      <w:marLeft w:val="0"/>
      <w:marRight w:val="0"/>
      <w:marTop w:val="0"/>
      <w:marBottom w:val="0"/>
      <w:divBdr>
        <w:top w:val="none" w:sz="0" w:space="0" w:color="auto"/>
        <w:left w:val="none" w:sz="0" w:space="0" w:color="auto"/>
        <w:bottom w:val="none" w:sz="0" w:space="0" w:color="auto"/>
        <w:right w:val="none" w:sz="0" w:space="0" w:color="auto"/>
      </w:divBdr>
    </w:div>
    <w:div w:id="2047557750">
      <w:bodyDiv w:val="1"/>
      <w:marLeft w:val="0"/>
      <w:marRight w:val="0"/>
      <w:marTop w:val="0"/>
      <w:marBottom w:val="0"/>
      <w:divBdr>
        <w:top w:val="none" w:sz="0" w:space="0" w:color="auto"/>
        <w:left w:val="none" w:sz="0" w:space="0" w:color="auto"/>
        <w:bottom w:val="none" w:sz="0" w:space="0" w:color="auto"/>
        <w:right w:val="none" w:sz="0" w:space="0" w:color="auto"/>
      </w:divBdr>
    </w:div>
    <w:div w:id="2064064941">
      <w:bodyDiv w:val="1"/>
      <w:marLeft w:val="0"/>
      <w:marRight w:val="0"/>
      <w:marTop w:val="0"/>
      <w:marBottom w:val="0"/>
      <w:divBdr>
        <w:top w:val="none" w:sz="0" w:space="0" w:color="auto"/>
        <w:left w:val="none" w:sz="0" w:space="0" w:color="auto"/>
        <w:bottom w:val="none" w:sz="0" w:space="0" w:color="auto"/>
        <w:right w:val="none" w:sz="0" w:space="0" w:color="auto"/>
      </w:divBdr>
    </w:div>
    <w:div w:id="2113090442">
      <w:bodyDiv w:val="1"/>
      <w:marLeft w:val="0"/>
      <w:marRight w:val="0"/>
      <w:marTop w:val="0"/>
      <w:marBottom w:val="0"/>
      <w:divBdr>
        <w:top w:val="none" w:sz="0" w:space="0" w:color="auto"/>
        <w:left w:val="none" w:sz="0" w:space="0" w:color="auto"/>
        <w:bottom w:val="none" w:sz="0" w:space="0" w:color="auto"/>
        <w:right w:val="none" w:sz="0" w:space="0" w:color="auto"/>
      </w:divBdr>
    </w:div>
    <w:div w:id="2146776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www.cninfo.com.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win-server\&#26381;&#21153;&#22120;&#36164;&#26009;4\&#23458;&#25143;\&#20854;&#20182;&#23458;&#25143;&#32763;&#35793;&#20219;&#21153;\2023&#24180;\8&#26376;\&#25196;&#26480;&#31185;&#25216;\0819\1.%20&#21407;&#25991;\www.cninfo.com.c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ninfo.com.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www.cninfo.com.cn" TargetMode="External"/><Relationship Id="rId4" Type="http://schemas.openxmlformats.org/officeDocument/2006/relationships/webSettings" Target="webSettings.xml"/><Relationship Id="rId9" Type="http://schemas.openxmlformats.org/officeDocument/2006/relationships/hyperlink" Target="file:///\\win-server\&#26381;&#21153;&#22120;&#36164;&#26009;4\&#23458;&#25143;\&#20854;&#20182;&#23458;&#25143;&#32763;&#35793;&#20219;&#21153;\2023&#24180;\8&#26376;\&#25196;&#26480;&#31185;&#25216;\0819\1.%20&#21407;&#25991;\www.cninfo.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86F62-C234-48DE-A4C7-C7B0FF13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156</Pages>
  <Words>52918</Words>
  <Characters>301634</Characters>
  <Application>Microsoft Office Word</Application>
  <DocSecurity>0</DocSecurity>
  <Lines>2513</Lines>
  <Paragraphs>707</Paragraphs>
  <ScaleCrop>false</ScaleCrop>
  <Company>Organization</Company>
  <LinksUpToDate>false</LinksUpToDate>
  <CharactersWithSpaces>353845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秦楠</cp:lastModifiedBy>
  <cp:revision>53</cp:revision>
  <dcterms:created xsi:type="dcterms:W3CDTF">2023-08-19T09:30:00Z</dcterms:created>
  <dcterms:modified xsi:type="dcterms:W3CDTF">2023-08-26T01:19:00Z</dcterms:modified>
</cp:coreProperties>
</file>